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b w:val="0"/>
          <w:sz w:val="44"/>
          <w:szCs w:val="44"/>
          <w:lang w:val="en-US" w:eastAsia="zh-CN"/>
        </w:rPr>
      </w:pPr>
      <w:r>
        <w:rPr>
          <w:rFonts w:hint="eastAsia" w:ascii="黑体" w:hAnsi="黑体" w:eastAsia="黑体" w:cs="黑体"/>
          <w:b w:val="0"/>
          <w:sz w:val="32"/>
          <w:szCs w:val="32"/>
          <w:lang w:val="en-US" w:eastAsia="zh-CN"/>
        </w:rPr>
        <w:t>附件4</w:t>
      </w:r>
    </w:p>
    <w:p>
      <w:pPr>
        <w:jc w:val="center"/>
        <w:rPr>
          <w:rFonts w:hint="eastAsia" w:ascii="方正小标宋简体" w:hAnsi="方正小标宋简体" w:eastAsia="方正小标宋简体" w:cs="方正小标宋简体"/>
          <w:b w:val="0"/>
          <w:sz w:val="44"/>
          <w:szCs w:val="44"/>
          <w:lang w:val="en-US" w:eastAsia="zh-CN"/>
        </w:rPr>
      </w:pPr>
      <w:r>
        <w:rPr>
          <w:rFonts w:hint="eastAsia" w:ascii="方正小标宋简体" w:hAnsi="方正小标宋简体" w:eastAsia="方正小标宋简体" w:cs="方正小标宋简体"/>
          <w:b w:val="0"/>
          <w:sz w:val="44"/>
          <w:szCs w:val="44"/>
          <w:lang w:val="en-US" w:eastAsia="zh-CN"/>
        </w:rPr>
        <w:t>2023年自治区安全生产执法检查重点事项指导目录（非煤矿山企业）</w:t>
      </w:r>
    </w:p>
    <w:tbl>
      <w:tblPr>
        <w:tblStyle w:val="5"/>
        <w:tblW w:w="139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5"/>
        <w:gridCol w:w="3"/>
        <w:gridCol w:w="910"/>
        <w:gridCol w:w="394"/>
        <w:gridCol w:w="595"/>
        <w:gridCol w:w="3449"/>
        <w:gridCol w:w="3234"/>
        <w:gridCol w:w="22"/>
        <w:gridCol w:w="2932"/>
        <w:gridCol w:w="1724"/>
        <w:gridCol w:w="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93" w:hRule="atLeast"/>
          <w:tblHeader/>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序号</w:t>
            </w:r>
          </w:p>
        </w:tc>
        <w:tc>
          <w:tcPr>
            <w:tcW w:w="18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执法检查重点事项内容</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检查依据</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有关规范性文件及标准要求</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处罚依据</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585" w:hRule="atLeast"/>
        </w:trPr>
        <w:tc>
          <w:tcPr>
            <w:tcW w:w="139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金属非金属地下矿山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w:t>
            </w:r>
          </w:p>
        </w:tc>
        <w:tc>
          <w:tcPr>
            <w:tcW w:w="1899"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1.1安全生产许可证取得</w:t>
            </w:r>
          </w:p>
        </w:tc>
        <w:tc>
          <w:tcPr>
            <w:tcW w:w="344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《安全生产许可证条例》第二条  国家对矿山企业、建筑施工企业和危险化学品、烟花爆竹、民用爆炸物品生产企业（以下统称企业）实行安全生产许可制度。</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企业未取得安全生产许可证的，不得从事生产活动。</w:t>
            </w:r>
          </w:p>
        </w:tc>
        <w:tc>
          <w:tcPr>
            <w:tcW w:w="3256"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《安全生产许可证条例》第十九条  违反本条例规定，未取得安全生产许可证擅自进行生产的，责令停止生产，没收违法所得，并处10万元以上50万元以下的罚款；造成重大事故或者其他严重后果，构成犯罪的，依法追究刑事责任。</w:t>
            </w:r>
          </w:p>
        </w:tc>
        <w:tc>
          <w:tcPr>
            <w:tcW w:w="172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144"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16"/>
                <w:szCs w:val="16"/>
                <w:u w:val="none"/>
                <w:lang w:val="en-US" w:eastAsia="zh-CN" w:bidi="ar"/>
              </w:rPr>
            </w:pPr>
          </w:p>
        </w:tc>
        <w:tc>
          <w:tcPr>
            <w:tcW w:w="18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1.2 安全生产许可证延期</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《安全生产许可证条例》第九条  安全生产许可证的有效期为3年。安全生产许可证有效期满需要延期的，企业应当于期满前3个月向原安全生产许可证颁发管理机关办理延期手续。</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979"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8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1.3 安全生产许可证变更</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《非煤矿矿山企业安全生产许可证实施办法》(国家安全生产监督管理总局令第20号)第二十一条  非煤矿矿山企业在安全生产许可证有效期内有下列情形之一的，应当自工商营业执照变更之日起30个工作日内向原安全生产许可证颁发管理机关申请变更安全生产许可证：</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（一）变更单位名称的；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（二）变更主要负责人的；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（三）变更单位地址的；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（四）变更经济类型的；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（五）变更许可范围的。</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《非煤矿矿山企业安全生产许可证实施办法》(国家安全生产监督管理总局令第20号)第四十四条  非煤矿矿山企业在安全生产许可证有效期内，出现需要变更安全生产许可证的情形，未按本实施办法第二十一条的规定申请、办理变更手续的，责令限期办理变更手续，并处1万元以上3万元以下罚款。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745"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8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1.4因采矿许可证到期及被暂扣、撤销、吊销和注销等交回安全生产许可证</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《非煤矿矿山企业安全生产许可证条例实施办法》(国家安全生产监督管理总局令第20号)第二十八条  非煤矿矿山企业发现在安全生产许可证有效期内采矿许可证到期失效的，应当在采矿许可证到期前15日内向原安全生产许可证颁发管理机关报告，并交回安全生产许可证正本和副本。</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采矿许可证被暂扣、撤销、吊销和注销的，非煤矿矿山企业应当在暂扣、撤销、吊销和注销后5日内向原安全生产许可证颁发管理机关报告，并交回安全生产许可证正本和副本。</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《非煤矿矿山企业安全生产许可证条例实施办法》(国家安全生产监督管理总局令第20号)第四十三条  非煤矿矿山企业在安全生产许可证有效期内出现采矿许可证有效期届满和采矿许可证被暂扣、撤销、吊销、注销的情况，未依照本实施办法第二十八条的规定向安全生产许可证颁发管理机关报告并交回安全生产许可证的，处1万元以上3万元以下罚款。</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169"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8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1.5 转让、冒用安全生产许可证或者使用伪造的安全生产许可证</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《安全生产许可证条例》第十三条  企业不得转让、冒用安全生产许可证或者使用伪造的安全生产许可证。</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《安全生产许可证条例》第二十一条  违反本条例规定，转让安全生产许可证的，没收违法所得，处10万元以上50万元以下的罚款，并吊销其安全生产许可证；构成犯罪的，依法追究刑事责任；接受转让的，依照本条例第十九条的规定处罚。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冒用安全生产许可证或者使用伪造的安全生产许可证的，依照本条例第十九条的规定处罚。</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8185"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2</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基本图纸及与实际符合情况</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未保存基本图纸或图实不符</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    ……</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《金属非金属矿山安全规程》（GB16423-2020）4.1.10地下矿山应保存下列图纸，并根据实际情况的变化及时更新：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———矿区地形地质图、水文地质图（含平面和剖面）；</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———开拓系统图；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———中段平面图；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———通风系统图；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———井上、井下对排照图；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———压风、供水、排水系统图；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———通信系统图；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———供配电系统图；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———井下避灾路线图；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———相邻采区或矿山本矿山空间位置关系图。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图中应正确标记：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———已掘进巷道和计划掘进巷道的位置、名称、规格；</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———采空区和已充填采空区、废弃井巷和设计开采的采位的位置、名称与尺寸；</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———通风、防尘、防火、防水、排水等主要设备和设施的位置；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———风流方向，人员安全撤离的路线和安全出口；</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———井下通信设备位置；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———采空区及废弃井巷的处理方式、进度、现状及地表塌陷区的位置。</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sz w:val="22"/>
                <w:szCs w:val="22"/>
                <w:u w:val="none"/>
              </w:rPr>
            </w:pPr>
            <w:r>
              <w:rPr>
                <w:rFonts w:hint="eastAsia" w:ascii="仿宋_GB2312" w:hAnsi="等线" w:eastAsia="仿宋_GB2312" w:cs="仿宋_GB2312"/>
                <w:i w:val="0"/>
                <w:color w:val="000000"/>
                <w:kern w:val="0"/>
                <w:sz w:val="22"/>
                <w:szCs w:val="22"/>
                <w:u w:val="none"/>
                <w:lang w:val="en-US" w:eastAsia="zh-CN" w:bidi="ar"/>
              </w:rPr>
              <w:t>按设计执行。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采掘系统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3.1 矿井的安全出口</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《金属非金属矿山安全规程》（GB16423-2020）6.1.1.1矿井的安全出口应符合下列规定：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———每个矿井至少应有两个相互独立、间距不小于30ｍ、直达地面的安全出口；矿体一翼走向长度超过1000ｍ时，此翼应有安全出口；</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———每个生产水平或中段至少应有两个便于行人的安全出口，并应同通往地面的安全出口相通；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———井巷的分道口应有路标，注明其所在地点及通往地面出口的方向；</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———安全出口应定期检查，保证其处于良好状态。</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169"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3.2 出入井管理</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《金属非金属矿山安全规程》（GB16423-2020）4.7.8地下矿山企业应建立健全下井人员出入矿井登记和检查制度。入井人员应随身携带符合安全要求的照明灯具和自救器。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《安全生产违法行为行政处罚办法》第四十五条  生产经营单位及其主要负责人或者其他人员有下列行为之一的，给予警告，并可以对生产经营单位处1万元以上3万元以下罚款，对其主要负责人、其他有关人员处1千元以上1万元以下的罚款：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（一）违法操作规程或者安全管理规定作业的；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25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3.3 顶板分级管理制度或管控措施</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《金属非金属矿山安全规程》（GB16423-2020）6.3.1.12应建立采场顶板分级管理制度。对顶板不稳固的采场，应有监控手段和处理措施。</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456"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3.4 按设计要求对不稳固岩层采掘支护</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《金属非金属矿山安全规程》（GB16423-2020）6.3.1.12  人员需要进入的采场作业面的顶板和侧面应保持稳定，矿岩不稳固时应采取支护措施。因爆破或其他原因而破坏的支护应及时修复，确认安全后方准作业。</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5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3.5 地压管理</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《金属非金属矿山安全规程》（GB16423-2020）6.3.1.14工程地质复杂、有严重地压活动的矿山，应遵守下列规定：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———设立专门机构或专职人员负责地压管理工作，做好现场监测和预测、预报工作；</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216"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3.6生产作业区采空区处理</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《金属非金属矿山安全规程》（GB16423-2020）6.3.1.15采用空场法采矿的矿山，应采取充填、隔离或强制崩落围岩的措施，及时处理采空区。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3.7保安矿柱</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《金属非金属矿山安全规程》（GB16423-2020）6.3.1.6应严格保持矿柱（含顶柱、底柱和间柱等）的尺寸、形状和直立度；应有专人检查和管理，确保矿柱的稳定性。</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576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3.8禁止使用空场法采矿（无底柱采矿法）采场内人工装运作业、横撑支柱采矿法</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《国家安全监管总局关于发布金属非金属矿山禁止使用的设备及工艺目录（第一批）的通知》（安监总管一〔2013〕101号）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新建、改建、扩建的金属非金属地下矿山一律禁止使用下列设备及工艺，现有生产地下矿山在用的下列设备及工艺，按照规定时限予以强制淘汰。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18．空场法采矿（无底柱采矿法）采场内人工装运作业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19．横撑支柱采矿法</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968"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3.9禁止使用集中铲装作业时人工装卸矿岩、未安装捕尘装置的干式凿岩作业、主要无轨运输巷道采用人力或畜力运输矿岩</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《国家安全监管总局关于发布金属非金属矿山禁止使用的设备及工艺目录（第二批）的通知》（安监总管一〔2015〕13号）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5. 集中铲装作业时人工装卸矿岩；</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6．未安装捕尘装置的干式凿岩作业；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7．主要无轨运输巷道及露天采场采用人力或畜力运输矿岩</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74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3.10发包单位与外包单位安全生产管理协议</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《中华人民共和国安全生产法》第四十九条　生产经营单位不得将生产经营项目、场所、设备发包或者出租给不具备安全生产条件或者相应资质的单位或者个人。</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1101"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提升系统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4.1过卷保护装置及防坠装置</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《中华人民共和国安全生产法》第三十六条  安全设备的设计、制造、安装、使用、检测、维修、改造和报废，应当符合国家标准或者行业标准。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0"/>
                <w:szCs w:val="20"/>
                <w:u w:val="none"/>
                <w:lang w:val="en-US" w:eastAsia="zh-CN" w:bidi="ar"/>
              </w:rPr>
              <w:t>《金属非金属矿山安全规程》（GB16423-2020）6.4.4.16竖井提升系统应符合下列规定：</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———过卷段应设过卷缓冲装置或者楔形罐道，使过卷容器能够平稳地在过卷段内停住；</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深度大于800ｍ的竖井应设过卷缓冲装置，使过卷容器在缓冲装置内平稳停住，并不再反向下滑或反弹；</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———楔形罐道的楔形部分的斜度为1％；包括较宽部分的直线段在内的长度不小于过卷段高度的2/3；摩擦式提升系统的下行容器应比上行容器提前接触楔形罐道，提前距离不小于1ｍ。</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1"/>
                <w:szCs w:val="21"/>
                <w:u w:val="none"/>
                <w:lang w:val="en-US" w:eastAsia="zh-CN" w:bidi="ar"/>
              </w:rPr>
              <w:br w:type="textWrapping"/>
            </w:r>
            <w:r>
              <w:rPr>
                <w:rFonts w:hint="eastAsia" w:ascii="仿宋_GB2312" w:hAnsi="等线" w:eastAsia="仿宋_GB2312" w:cs="仿宋_GB2312"/>
                <w:i w:val="0"/>
                <w:color w:val="000000"/>
                <w:kern w:val="0"/>
                <w:sz w:val="21"/>
                <w:szCs w:val="21"/>
                <w:u w:val="none"/>
                <w:lang w:val="en-US" w:eastAsia="zh-CN" w:bidi="ar"/>
              </w:rPr>
              <w:t>…………</w:t>
            </w:r>
            <w:r>
              <w:rPr>
                <w:rFonts w:hint="eastAsia" w:ascii="仿宋_GB2312" w:hAnsi="等线" w:eastAsia="仿宋_GB2312" w:cs="仿宋_GB2312"/>
                <w:i w:val="0"/>
                <w:color w:val="000000"/>
                <w:kern w:val="0"/>
                <w:sz w:val="21"/>
                <w:szCs w:val="21"/>
                <w:u w:val="none"/>
                <w:lang w:val="en-US" w:eastAsia="zh-CN" w:bidi="ar"/>
              </w:rPr>
              <w:br w:type="textWrapping"/>
            </w:r>
            <w:r>
              <w:rPr>
                <w:rFonts w:hint="eastAsia" w:ascii="仿宋_GB2312" w:hAnsi="等线" w:eastAsia="仿宋_GB2312" w:cs="仿宋_GB2312"/>
                <w:i w:val="0"/>
                <w:color w:val="000000"/>
                <w:kern w:val="0"/>
                <w:sz w:val="21"/>
                <w:szCs w:val="21"/>
                <w:u w:val="none"/>
                <w:lang w:val="en-US" w:eastAsia="zh-CN" w:bidi="ar"/>
              </w:rPr>
              <w:t>（二）安全设备的安装、使用、检测、改造和报废不符合国家标准或者行业标准的；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等线"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95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4.2提升系统的保护和闭锁连锁装置</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《中华人民共和国安全生产法》第三十六条  安全设备的设计、制造、安装、使用、检测、改造和报废，应当符合国家标准或者行业标准。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《金属非金属矿山安全规程》（GB16423-2020）6.4.4.20主要提升矿、废石的罐笼提升系统应符合下列规定：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———井口和井下各中段马头门应设自动安全门，并与提升机连锁；</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———井口和井下各中段马头门应设摇台；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———采用钢丝绳罐道时，井下各中段应设稳罐装置；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———摇台和稳罐装置应与提升机闭锁。</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352"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4.3提升设备定期维保及检测</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《中华人民共和国安全生产法》第三十六条  安全设备的设计、制造、安装、使用、检测、改造和报废，应当符合国家标准或者行业标准。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0"/>
                <w:szCs w:val="20"/>
                <w:u w:val="none"/>
                <w:lang w:val="en-US" w:eastAsia="zh-CN" w:bidi="ar"/>
              </w:rPr>
              <w:t>《金属非金属矿山安全规程》（GB16423-2020）6.4.4.29竖井提升系统应按照下列要求进行检查，发现问题立即处理，并将检查和处理结果记录存档：</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———提升系统的钢丝绳、悬挂装置、提升容器、防坠器等，每天由专人检查1次，每月由矿机电部门组织检查1次；</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———提升机的卷筒或摩擦轮、制动装置、调绳装置、传动装置、电动机和控制设备以及各种保护装置和闭锁装置等，每天由专人检查1次，每月由矿机电部门组织检查1次；</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———提升容器的防坠器、连接装置、保险链、罐门、导向槽、罐体、罐内阻车器等，每天由专人检查1次，每月由矿机电部门组织检查1次；</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———天轮、导向轮、过卷缓冲装置、罐道、尾绳隔离装置、安全门、摇台、阻车器、装卸矿设施等，每月由专人检查1次；</w:t>
            </w:r>
            <w:r>
              <w:rPr>
                <w:rFonts w:hint="eastAsia" w:ascii="仿宋_GB2312" w:hAnsi="等线" w:eastAsia="仿宋_GB2312" w:cs="仿宋_GB2312"/>
                <w:i w:val="0"/>
                <w:color w:val="000000"/>
                <w:kern w:val="0"/>
                <w:sz w:val="20"/>
                <w:szCs w:val="20"/>
                <w:u w:val="none"/>
                <w:lang w:val="en-US" w:eastAsia="zh-CN" w:bidi="ar"/>
              </w:rPr>
              <w:br w:type="textWrapping"/>
            </w:r>
            <w:r>
              <w:rPr>
                <w:rFonts w:hint="eastAsia" w:ascii="仿宋_GB2312" w:hAnsi="等线" w:eastAsia="仿宋_GB2312" w:cs="仿宋_GB2312"/>
                <w:i w:val="0"/>
                <w:color w:val="000000"/>
                <w:kern w:val="0"/>
                <w:sz w:val="20"/>
                <w:szCs w:val="20"/>
                <w:u w:val="none"/>
                <w:lang w:val="en-US" w:eastAsia="zh-CN" w:bidi="ar"/>
              </w:rPr>
              <w:t>———新安装或大修后的单绳罐笼防坠器应进行脱钩试验，合格后方可使用；在用防坠器每半年进行1次不脱钩试验；每年进行1次脱钩试验；防坠器的抓捕器断面减少20％或者导向套衬瓦一侧磨损超过3ｍｍ时应更换。</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818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4.4禁止使用非定型竖井罐笼、Φ1.2米以下（不含Φ1.2米）用于升降人员的提升绞车、KJ型矿井提升机、JKA型矿井提升机、XKT型矿井提升机、带式制动矿用提升绞车、TKD型提升机电控装置及使用继电器结构原理的提升机电控装置</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《国家安全监管总局关于发布金属非金属矿山禁止使用的设备及工艺目录（第一批）的通知》（安监总管一〔2013〕101号）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新建、改建、扩建的金属非金属地下矿山一律禁止使用下列设备及工艺，现有生产地下矿山在用的下列设备及工艺，按照规定时限予以强制淘汰。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1．非定型竖井罐笼（自发布之日起一年后禁止使用）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2．Φ1.2米以下（不含Φ1.2米）用于升降人员的提升绞车（自发布之日起一年后禁止使用）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3．KJ型矿井提升机（自发布之日起一年后禁止使用）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4．JKA型矿井提升机（自发布之日起一年后禁止使用）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5．XKT型矿井提升机（自发布之日起一年后禁止使用）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6．JTK型矿用提升绞车（自发布之日起一年半后禁止用于主提升）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7．带式制动矿用提升绞车（自发布之日起立即禁止用于主提升）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国家安全监管总局关于发布金属非金属矿山禁止使用的设备及工艺目录（第二批）的通知（安监总管一〔2015〕13号）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9．TKD型提升机电控装置及使用继电器结构原理的提升机电控装置（金属非金属地下矿山自发布之日起一年后禁止使用）。</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3205"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通风系统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5.1 机械通风系统</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w:t>
            </w:r>
            <w:bookmarkStart w:id="0" w:name="_GoBack"/>
            <w:bookmarkEnd w:id="0"/>
            <w:r>
              <w:rPr>
                <w:rFonts w:hint="eastAsia" w:ascii="仿宋_GB2312" w:hAnsi="等线" w:eastAsia="仿宋_GB2312" w:cs="仿宋_GB2312"/>
                <w:i w:val="0"/>
                <w:color w:val="000000"/>
                <w:kern w:val="0"/>
                <w:sz w:val="22"/>
                <w:szCs w:val="22"/>
                <w:u w:val="none"/>
                <w:lang w:val="en-US" w:eastAsia="zh-CN" w:bidi="ar"/>
              </w:rPr>
              <w:t xml:space="preserve">  生产经营单位应当建立健全生产安全事故隐患排查治理制度，采取技术、管理措施，及时发现并消除事故隐患。事故隐患排查治理情况应当如实记录，并向从业人员通报。</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6.6.2.1地下矿山应采用机械通风。设有在线监测系统的矿山应根据监测结果及时调整通风系统；未设置在线监测系统的矿山每年应对通风系统进行1次检测，并根据检测结果及时调整通风系统。矿山应及时更新通风系统图。通风系统图应标明通风设备、风量、风流方向、通风构筑物、与通风系统隔离的区域等。</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5.2 主通风机及运行</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《中华人民共和国安全生产法》第三十三条  安全设备的设计、制造、安装、使用、检测、改造和报废，应当符合国家标准或者行业标准。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6.6.3.1正常生产情况下主通风机应连续运转，满足井下生产所需风量。当主通风机发生故障或需要停机检查时，应立即向调度室和矿山企业主要负责人报告，并采取必要措施。</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5.3 局部通风设备</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《中华人民共和国安全生产法》第三十三条  安全设备的设计、制造、安装、使用、检测、改造和报废，应当符合国家标准或者行业标准。 </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《金属非金属矿山安全规程》（GB16423-2020）6.4.4.1掘进工作面和通风不良的采场，应安装局部通风设备。局扇应有完善的保护装置。</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5.4 主通风机房的监控仪表设置</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《中华人民共和国安全生产法》第三十六条　安全设备的设计、制造、安装、使用、检测、维修、改造和报废，应当符合国家标准或者行业标准。</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6.6.3.4主通风机房应设有测量风压、风量、电流、电压和轴承温度等的仪表。每班都应对通风机运转情况进行检查，并有运转记录。采用自动控制的主通风机，每两周应进行1次自控系统的检查。</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53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5.5 便携式气体检测报警仪和自救器配备</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《中华人民共和国安全生产法》第三十六条　安全设备的设计、制造、安装、使用、检测、维修、改造和报废，应当符合国家标准或者行业标准。</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《金属非金属地下矿山监测监控系统建设规范》（AQ2031-2011）5.1  地下矿山应配置足够的便携式气体检测报警仪。便携式气体检测报警仪应能测量一氧化碳、氧气、二氧化氮浓度，并具有报警参数设置和声光报警功能。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《金属非金属地下矿山紧急避险系统建设规范》（AQ2033-2011）4.4  应为入井人员配备额定防护时间不少于30min的自救器，并按入井总人数的10%配备备用自救器。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（二）安全设备的安装、使用、检测、改造和报废不符合国家标准或者行业标准的；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92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5.6 禁止使用ZH15隔绝式化学氧自救器和一氧化碳过滤式自救器</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《国家安全监管总局关于发布金属非金属矿山禁止使用的设备及工艺目录（第一批）的通知》（安监总管一〔2013〕101号）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新建、改建、扩建的金属非金属地下矿山一律禁止使用下列设备及工艺，现有生产地下矿山在用的下列设备及工艺，按照规定时限予以强制淘汰。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16．ZH15隔绝式化学氧自救器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17．一氧化碳过滤式自救器</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94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5.7 禁止使用非矿用局部通风机</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《国家安全监管总局关于发布金属非金属矿山禁止使用的设备及工艺目录（第一批）的通知》（安监总管一〔2013〕101号）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新建、改建、扩建的金属非金属地下矿山一律禁止使用下列设备及工艺，现有生产地下矿山在用的下列设备及工艺，按照规定时限予以强制淘汰。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13．非矿用局部通风机</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089"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6</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防灭火系统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6.1 动火作业管理</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国家矿山安全监察局关于印发《金属非金属矿山重大事故隐患判定标准》的通知（矿安〔2022〕88号）（二十九）井下或者井口动火作业未按国家规定落实审批制度或者安全措施。</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第6.9.1.19矿山应建立动火制度，在井下和井口建筑物内进行焊接等明火作业，应制定防火措施，经矿山企业主要负责人批准后方可动火。在井筒内进行焊接时应派专人监护；在作业部位的下方应设置收集焊渣的设施；焊接完毕应严格检查清理。</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生产违法行为行政处罚办法》第四十五条生产经营单位及其主要负责人或者其他人员有下列行为之一的，给予警告，并可以对生产经营单位处1万元以上3万元以下罚款，对其主要负责人、其他有关人员处1000元以上1万元以下的罚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（一）违反操作规程或者安全管理规定作业的；</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    ……</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818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6.2禁止使用油断路器、非阻燃电缆（含强、弱电）、非阻燃风筒、非阻燃输送带、主要井巷木支护、火雷管、导火索</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《国家安全监管总局关于发布金属非金属矿山禁止使用的设备及工艺目录（第一批）的通知》（安监总管一〔2013〕101号）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新建、改建、扩建的金属非金属地下矿山一律禁止使用下列设备及工艺，现有生产地下矿山在用的下列设备及工艺，按照规定时限予以强制淘汰。……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9．油断路器（自发布之日起立即禁止使用）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10．非阻燃电缆（含强、弱电）（自发布之日起一年后禁止使用）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11．非阻燃风筒（自发布之日起半年后禁止使用）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12．非阻燃输送带（自发布之日起一年后禁止使用）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14．主要井巷木支护（新掘、维修井巷自发布之日起立即禁止使用）</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15．火雷管、导火索（自发布之日起立即禁止使用）</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5292"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7</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防排水系统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探放水作业管理及水文地质类型为中等及复杂的矿井没有设立专门防治水机构、配备探放水作业队伍或配齐专用探放水设备</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《金属非金属矿山安全规程》（GB16423-2020）6.8.3.5对接近水体的地带或与水体有联系的可疑地段，应坚持“有疑必探，先探后掘”的原则，编制探水设计。</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4801"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8</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供配电系统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双回路供电</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 5.6.1.4采矿场采用双回路供电时，每回路供电能力应均能供全负荷；采用三回路供电时，每个回路的供电能力不应小于全部负荷的50％。</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336"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9</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地表错动区域管理</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相邻矿山开采错动线重叠，未按照设计要求采取相应措施</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 (矿安〔2022〕88号):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（十四）相邻矿山开采岩体移动范围存在交叉重叠等相互影响时，未按设计留设保安矿（岩）柱或者采取其他措施。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《金属非金属矿山安全规程》（GB16423-2020）6.3.1.2地下开采时，应圈定岩体移动范围或岩体移动监测范围；地表主要建构筑物、主要井筒应布置在地表岩体移动范围之外，或者留保安矿柱消除其影响。</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384"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相邻矿山管理</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相邻矿山井巷互联互通</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 (矿安〔2022〕88号):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（三）不同矿权主体的相邻矿山井巷相互贯通，或者同一矿权主体相邻独立生产系统的井巷擅自贯通。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452" w:hRule="atLeast"/>
        </w:trPr>
        <w:tc>
          <w:tcPr>
            <w:tcW w:w="139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黑体" w:eastAsia="黑体" w:cs="黑体"/>
                <w:i w:val="0"/>
                <w:color w:val="000000"/>
                <w:sz w:val="24"/>
                <w:szCs w:val="24"/>
                <w:u w:val="none"/>
                <w:lang w:eastAsia="zh-CN"/>
              </w:rPr>
            </w:pPr>
            <w:r>
              <w:rPr>
                <w:rFonts w:hint="eastAsia" w:ascii="黑体" w:hAnsi="黑体" w:eastAsia="黑体" w:cs="黑体"/>
                <w:i w:val="0"/>
                <w:color w:val="000000"/>
                <w:sz w:val="24"/>
                <w:szCs w:val="24"/>
                <w:u w:val="none"/>
                <w:lang w:eastAsia="zh-CN"/>
              </w:rPr>
              <w:t>金属非金属露天矿山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297"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开采方式情况</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分台阶开采</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《金属非金属矿山安全规程》（GB16423-2020）5.2.1.1露天开采应遵循自上而下的开采顺序，分台阶开采。</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8172"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2</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采掘作业管理情况</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 禁止使用扩壶爆破、掏底崩落、掏挖开采、不分层的“一面墙”开采、爆破方式对大块矿岩进行二次破碎、无稳压装置的中深孔凿岩设备、集中铲装作业时人工装卸矿岩、未安装捕尘装置的干式凿岩作业</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《国家安全监管总局关于发布金属非金属矿山禁止使用的设备及工艺目录（第二批）的通知》（安监总管一〔2015〕13号）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1．扩壶爆破；</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2．掏底崩落、掏挖开采、不分层的“一面墙”开采；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3．使用爆破方式对大块矿岩进行二次破碎；</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4. 无稳压装置的中深孔凿岩设备；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5. 集中铲装作业时人工装卸矿岩；</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6．未安装捕尘装置的干式凿岩作业；</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716"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运输系统</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3.1 带式输送机运输</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《中华人民共和国安全生产法》第三十六条　安全设备的设计、制造、安装、使用、检测、维修、改造和报废，应当符合国家标准或者行业标准。</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《金属非金属矿山安全规程》（GB16423-2020）6.4.3.5带式输送机应有下列安全保护装置：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———装料点和卸料点设空仓、满仓等保护和报警装置，并与输送机联锁；</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———输送带清扫装置以及防大块冲击、防输送带跑偏等的保护装置；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———紧急停车装置；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———制动装置。</w:t>
            </w:r>
            <w:r>
              <w:rPr>
                <w:rFonts w:hint="eastAsia" w:ascii="仿宋_GB2312" w:hAnsi="等线" w:eastAsia="仿宋_GB2312" w:cs="仿宋_GB2312"/>
                <w:i w:val="0"/>
                <w:color w:val="000000"/>
                <w:kern w:val="0"/>
                <w:sz w:val="22"/>
                <w:szCs w:val="22"/>
                <w:u w:val="none"/>
                <w:lang w:val="en-US" w:eastAsia="zh-CN" w:bidi="ar"/>
              </w:rPr>
              <w:br w:type="textWrapping"/>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6.4.3.6  长度超过400ｍ的带式输送机应设下列保护装置：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———防输送带撕裂、断带等保护装置；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———防止过速、过载、打滑等的保护装置；</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———线路上的信号、电气联锁和紧急停车装置。</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1"/>
                <w:szCs w:val="21"/>
                <w:u w:val="none"/>
                <w:lang w:val="en-US" w:eastAsia="zh-CN" w:bidi="ar"/>
              </w:rPr>
              <w:br w:type="textWrapping"/>
            </w:r>
            <w:r>
              <w:rPr>
                <w:rFonts w:hint="eastAsia" w:ascii="仿宋_GB2312" w:hAnsi="等线" w:eastAsia="仿宋_GB2312" w:cs="仿宋_GB2312"/>
                <w:i w:val="0"/>
                <w:color w:val="000000"/>
                <w:kern w:val="0"/>
                <w:sz w:val="21"/>
                <w:szCs w:val="21"/>
                <w:u w:val="none"/>
                <w:lang w:val="en-US" w:eastAsia="zh-CN" w:bidi="ar"/>
              </w:rPr>
              <w:t>…………</w:t>
            </w:r>
            <w:r>
              <w:rPr>
                <w:rFonts w:hint="eastAsia" w:ascii="仿宋_GB2312" w:hAnsi="等线" w:eastAsia="仿宋_GB2312" w:cs="仿宋_GB2312"/>
                <w:i w:val="0"/>
                <w:color w:val="000000"/>
                <w:kern w:val="0"/>
                <w:sz w:val="21"/>
                <w:szCs w:val="21"/>
                <w:u w:val="none"/>
                <w:lang w:val="en-US" w:eastAsia="zh-CN" w:bidi="ar"/>
              </w:rPr>
              <w:br w:type="textWrapping"/>
            </w:r>
            <w:r>
              <w:rPr>
                <w:rFonts w:hint="eastAsia" w:ascii="仿宋_GB2312" w:hAnsi="等线" w:eastAsia="仿宋_GB2312" w:cs="仿宋_GB2312"/>
                <w:i w:val="0"/>
                <w:color w:val="000000"/>
                <w:kern w:val="0"/>
                <w:sz w:val="21"/>
                <w:szCs w:val="21"/>
                <w:u w:val="none"/>
                <w:lang w:val="en-US" w:eastAsia="zh-CN" w:bidi="ar"/>
              </w:rPr>
              <w:t>（二）安全设备的安装、使用、检测、改造和报废不符合国家标准或者行业标准的；</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7076"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3.2主要无轨运输巷道及露天采场禁止采用人力或畜力运输矿岩</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生产经营单位不得使用应当淘汰的危及生产安全的工艺、设备。</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《国家安全监管总局关于发布金属非金属矿山禁止使用的设备及工艺目录（第二批）的通知》（安监总管一〔2015〕13号）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7．主要无轨运输巷道及露天采场采用人力或畜力运输矿岩；</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（七）使用应当淘汰的危及生产安全的工艺、设备的；</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24" w:type="dxa"/>
          <w:trHeight w:val="6724"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边坡现场管理情况</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地下开采改为露天开采形成的采空区</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金属非金属矿山安全规程》（GB16423-2020）5.1.3地下开采转为露天开采时，应确定全部地下工程和矿柱的位置并绘制在矿山平、剖面对照图上；开采前应处理对露天开采安全有威胁的地下工程和采空区，不能处理的，应采取安全措施并在开采过程中处理。</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6" w:hRule="atLeast"/>
        </w:trPr>
        <w:tc>
          <w:tcPr>
            <w:tcW w:w="1397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黑体" w:hAnsi="黑体" w:eastAsia="黑体" w:cs="黑体"/>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尾矿库</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黑体" w:hAnsi="黑体" w:eastAsia="黑体" w:cs="黑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92"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w:t>
            </w:r>
          </w:p>
        </w:tc>
        <w:tc>
          <w:tcPr>
            <w:tcW w:w="13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坝体管理</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1.1坝面维护</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 xml:space="preserve">《尾矿库安全技术规程》(GB 39496—2020）6.3.11坝外坡面维护工作应按设计要求进行，尾矿坝下游坡面上不得有积水坑。坝体出现冲沟、裂 缝、塌坑等现象时,应及时处理。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5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3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1.2坝肩截水沟</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39496—2020)《尾矿库安全技术规程》5.3.20尾矿堆积坝平均堆积外坡比不得陡于1 ： 3。尾矿坝最终下游坡面应设置维护设施，维护设施 应满足下列要求：</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—设置排水系统，下游坡与两岸山坡结合处应设置坝肩截水沟;尾矿堆积坝的每级马道内侧或上 游式尾矿筑坝的每级子坝下游坡脚处均应设置纵向排水沟，并应在坡面上设置人字沟或竖向 排水沟；</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9.3.6检查坝面维护设施时，应检查坝肩截水沟和坝坡排水沟断面尺寸，衬砌变形、破损、断裂和磨蚀， 沟内淤堵,沿线山坡稳定性等;应检査坝坡土石覆盖等护坡实施情况。</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11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3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1.3堆积坝坡比</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 5.3.20尾矿堆积坝平均堆积外坡比不得陡于1 ： 3。</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801"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3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1.4子坝堆筑上升速度</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国家矿山安全监察局关于印发《金属非金属矿山重大事故隐患判定标准》的通知(矿安〔2022〕88号)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（五）尾矿堆积坝上升速率大于设计堆积上升速率。</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——尾矿堆积坝上升速率大于设计堆积上升速率</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2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2</w:t>
            </w:r>
          </w:p>
        </w:tc>
        <w:tc>
          <w:tcPr>
            <w:tcW w:w="13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防排洪情况</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排洪设施运行</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 6.4.5尾矿库内应设置清晰醒目的水位观测标尺。汛期应加强对排洪设施检查，确保排洪设施畅通。</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813"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w:t>
            </w:r>
          </w:p>
        </w:tc>
        <w:tc>
          <w:tcPr>
            <w:tcW w:w="13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安全监测</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3.1人工安全监测设施</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《尾矿设施设计规范》（GB50863-2013）（GB50863-2013）3.4.1 三等及三等以上尾矿库应设置人工监测与自动监测相结合的安全监测设施。</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885"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3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3.2在线监测系统安装</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《尾矿库安全监督管理规定》(原国家安全监管总局令第38号)第八条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一等、二等、三等尾矿库应当安装在线监测系统。</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《尾矿库安全技术规程》(GB 39496—2020)9.6.3监测设施维护安全检查应检查监测设施是否定期检查和维护，监测设施的可靠性和完整性，人工监测设施与在线监测设施是否定期比对和校正。</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《尾矿库安全监督管理规定》(原国家安全监管总局令第38号)第三十九条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53"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w:t>
            </w:r>
          </w:p>
        </w:tc>
        <w:tc>
          <w:tcPr>
            <w:tcW w:w="13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放矿管理</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4.1多种矿石性质不同的尾砂混合排放</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国家矿山安全监察局关于印发《金属非金属矿山重大事故隐患判定标准》的通知(矿安〔2022〕88号)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（十一）多种矿石性质不同的尾砂混合排放时，未按设计进行排放。</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《尾矿库安全监督管理规定》(原国家安全监管总局令第38号)第十八条对生产运行的尾矿库，未经技术论证和安全生产监督管理部门的批准，任何单位和个人不得对下列事项进行变更：</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(三)尾矿物化特性；</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——多种矿石性质不同的尾砂混合排放时，未按设计要求进行排放</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5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3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4.2冰下放矿作业</w:t>
            </w:r>
          </w:p>
        </w:tc>
        <w:tc>
          <w:tcPr>
            <w:tcW w:w="3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《中华人民共和国安全生产法》第四十一条　生产经营单位应当建立安全风险分级管控制度，按照安全风险分级采取相应的管控措施。</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国家矿山安全监察局关于印发《金属非金属矿山重大事故隐患判定标准》的通知(矿安〔2022〕88号)</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（十二）冬季未按设计要求的冰下放矿方式进行放矿作业。</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仿宋_GB2312" w:hAnsi="等线" w:eastAsia="仿宋_GB2312" w:cs="仿宋_GB2312"/>
                <w:i w:val="0"/>
                <w:color w:val="000000"/>
                <w:kern w:val="0"/>
                <w:sz w:val="22"/>
                <w:szCs w:val="22"/>
                <w:u w:val="none"/>
                <w:lang w:val="en-US" w:eastAsia="zh-CN" w:bidi="ar"/>
              </w:rPr>
              <w:br w:type="textWrapping"/>
            </w:r>
            <w:r>
              <w:rPr>
                <w:rFonts w:hint="eastAsia" w:ascii="仿宋_GB2312" w:hAnsi="等线" w:eastAsia="仿宋_GB2312" w:cs="仿宋_GB2312"/>
                <w:i w:val="0"/>
                <w:color w:val="000000"/>
                <w:kern w:val="0"/>
                <w:sz w:val="22"/>
                <w:szCs w:val="22"/>
                <w:u w:val="none"/>
                <w:lang w:val="en-US" w:eastAsia="zh-CN" w:bidi="ar"/>
              </w:rPr>
              <w:t>——冬季未按照设计要求采用冰下放矿作业；</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r>
              <w:rPr>
                <w:rFonts w:hint="eastAsia" w:ascii="仿宋_GB2312" w:hAnsi="等线" w:eastAsia="仿宋_GB2312" w:cs="仿宋_GB2312"/>
                <w:i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bl>
    <w:p>
      <w:pPr>
        <w:jc w:val="both"/>
        <w:rPr>
          <w:rFonts w:hint="eastAsia" w:ascii="方正小标宋简体" w:hAnsi="方正小标宋简体" w:eastAsia="方正小标宋简体" w:cs="方正小标宋简体"/>
          <w:b w:val="0"/>
          <w:sz w:val="44"/>
          <w:szCs w:val="44"/>
          <w:lang w:val="en-US" w:eastAsia="zh-CN"/>
        </w:rPr>
      </w:pPr>
    </w:p>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方正仿宋_GB18030">
    <w:altName w:val="仿宋"/>
    <w:panose1 w:val="00000000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H-SS9-PK74820001d03">
    <w:altName w:val="Times New Roman"/>
    <w:panose1 w:val="00000000000000000000"/>
    <w:charset w:val="00"/>
    <w:family w:val="roman"/>
    <w:pitch w:val="default"/>
    <w:sig w:usb0="00000000" w:usb1="00000000" w:usb2="00000000" w:usb3="00000000" w:csb0="00040001" w:csb1="00000000"/>
  </w:font>
  <w:font w:name="长城楷体">
    <w:altName w:val="宋体"/>
    <w:panose1 w:val="0201060900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方正小标宋_GBK">
    <w:altName w:val="微软雅黑"/>
    <w:panose1 w:val="00000000000000000000"/>
    <w:charset w:val="00"/>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C2744D"/>
    <w:rsid w:val="064840E5"/>
    <w:rsid w:val="4CCF7BDF"/>
    <w:rsid w:val="51C2744D"/>
    <w:rsid w:val="56195A70"/>
    <w:rsid w:val="61556883"/>
    <w:rsid w:val="6E033BF8"/>
    <w:rsid w:val="7ACD3971"/>
    <w:rsid w:val="7BA35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4"/>
    <w:qFormat/>
    <w:uiPriority w:val="0"/>
    <w:rPr>
      <w:rFonts w:hint="eastAsia" w:ascii="仿宋_GB2312" w:eastAsia="仿宋_GB2312" w:cs="仿宋_GB2312"/>
      <w:color w:val="000000"/>
      <w:sz w:val="22"/>
      <w:szCs w:val="22"/>
      <w:u w:val="none"/>
    </w:rPr>
  </w:style>
  <w:style w:type="character" w:customStyle="1" w:styleId="7">
    <w:name w:val="font11"/>
    <w:basedOn w:val="4"/>
    <w:qFormat/>
    <w:uiPriority w:val="0"/>
    <w:rPr>
      <w:rFonts w:ascii="Calibri" w:hAnsi="Calibri" w:cs="Calibri"/>
      <w:color w:val="000000"/>
      <w:sz w:val="22"/>
      <w:szCs w:val="22"/>
      <w:u w:val="none"/>
    </w:rPr>
  </w:style>
  <w:style w:type="character" w:customStyle="1" w:styleId="8">
    <w:name w:val="font21"/>
    <w:basedOn w:val="4"/>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2023-05-29T10:32:00Z</dcterms:created>
  <dc:creator>仙贝</dc:creator>
  <cp:lastModifiedBy>仙贝</cp:lastModifiedBy>
  <cp:lastPrinted>2023-05-29T11:14:00Z</cp:lastPrinted>
  <dcterms:modified xsi:type="dcterms:W3CDTF">2023-05-31T11:07:17Z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