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3B88F">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30BF130A">
      <w:pPr>
        <w:spacing w:line="540" w:lineRule="exact"/>
        <w:jc w:val="center"/>
        <w:rPr>
          <w:rFonts w:ascii="方正小标宋_GBK" w:hAnsi="华文中宋" w:eastAsia="方正小标宋_GBK" w:cs="宋体"/>
          <w:b/>
          <w:kern w:val="0"/>
          <w:sz w:val="48"/>
          <w:szCs w:val="48"/>
        </w:rPr>
      </w:pPr>
    </w:p>
    <w:p w14:paraId="4373CD5C">
      <w:pPr>
        <w:spacing w:line="540" w:lineRule="exact"/>
        <w:jc w:val="center"/>
        <w:rPr>
          <w:rFonts w:ascii="方正小标宋_GBK" w:hAnsi="华文中宋" w:eastAsia="方正小标宋_GBK" w:cs="宋体"/>
          <w:b/>
          <w:kern w:val="0"/>
          <w:sz w:val="48"/>
          <w:szCs w:val="48"/>
        </w:rPr>
      </w:pPr>
    </w:p>
    <w:p w14:paraId="1052FD5A">
      <w:pPr>
        <w:spacing w:line="540" w:lineRule="exact"/>
        <w:jc w:val="center"/>
        <w:rPr>
          <w:rFonts w:ascii="方正小标宋_GBK" w:hAnsi="华文中宋" w:eastAsia="方正小标宋_GBK" w:cs="宋体"/>
          <w:b/>
          <w:kern w:val="0"/>
          <w:sz w:val="48"/>
          <w:szCs w:val="48"/>
        </w:rPr>
      </w:pPr>
    </w:p>
    <w:p w14:paraId="2B16E74A">
      <w:pPr>
        <w:spacing w:line="540" w:lineRule="exact"/>
        <w:jc w:val="center"/>
        <w:rPr>
          <w:rFonts w:ascii="方正小标宋_GBK" w:hAnsi="华文中宋" w:eastAsia="方正小标宋_GBK" w:cs="宋体"/>
          <w:b/>
          <w:kern w:val="0"/>
          <w:sz w:val="48"/>
          <w:szCs w:val="48"/>
        </w:rPr>
      </w:pPr>
    </w:p>
    <w:p w14:paraId="235D550F">
      <w:pPr>
        <w:spacing w:line="540" w:lineRule="exact"/>
        <w:jc w:val="center"/>
        <w:rPr>
          <w:rFonts w:ascii="方正小标宋_GBK" w:hAnsi="华文中宋" w:eastAsia="方正小标宋_GBK" w:cs="宋体"/>
          <w:b/>
          <w:kern w:val="0"/>
          <w:sz w:val="48"/>
          <w:szCs w:val="48"/>
        </w:rPr>
      </w:pPr>
    </w:p>
    <w:p w14:paraId="6770FF39">
      <w:pPr>
        <w:spacing w:line="540" w:lineRule="exact"/>
        <w:jc w:val="center"/>
        <w:rPr>
          <w:rFonts w:ascii="方正小标宋_GBK" w:hAnsi="华文中宋" w:eastAsia="方正小标宋_GBK" w:cs="宋体"/>
          <w:b/>
          <w:kern w:val="0"/>
          <w:sz w:val="48"/>
          <w:szCs w:val="48"/>
        </w:rPr>
      </w:pPr>
    </w:p>
    <w:p w14:paraId="5BE9DB5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640DF8D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6ED4BB81">
      <w:pPr>
        <w:spacing w:line="540" w:lineRule="exact"/>
        <w:jc w:val="center"/>
        <w:rPr>
          <w:rFonts w:ascii="华文中宋" w:hAnsi="华文中宋" w:eastAsia="华文中宋" w:cs="宋体"/>
          <w:b/>
          <w:kern w:val="0"/>
          <w:sz w:val="52"/>
          <w:szCs w:val="52"/>
        </w:rPr>
      </w:pPr>
    </w:p>
    <w:p w14:paraId="1E92F61B">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0D1745E">
      <w:pPr>
        <w:spacing w:line="700" w:lineRule="exact"/>
        <w:jc w:val="left"/>
        <w:rPr>
          <w:rFonts w:hint="eastAsia" w:hAnsi="宋体" w:eastAsia="仿宋_GB2312" w:cs="宋体"/>
          <w:kern w:val="0"/>
          <w:sz w:val="36"/>
          <w:szCs w:val="36"/>
        </w:rPr>
      </w:pPr>
    </w:p>
    <w:p w14:paraId="65193015">
      <w:pPr>
        <w:spacing w:line="700" w:lineRule="exact"/>
        <w:jc w:val="left"/>
        <w:rPr>
          <w:rFonts w:hint="eastAsia" w:hAnsi="宋体" w:eastAsia="仿宋_GB2312" w:cs="宋体"/>
          <w:kern w:val="0"/>
          <w:sz w:val="36"/>
          <w:szCs w:val="36"/>
        </w:rPr>
      </w:pPr>
    </w:p>
    <w:p w14:paraId="55167E3F">
      <w:pPr>
        <w:spacing w:line="700" w:lineRule="exact"/>
        <w:jc w:val="left"/>
        <w:rPr>
          <w:rFonts w:hint="eastAsia" w:hAnsi="宋体" w:eastAsia="仿宋_GB2312" w:cs="宋体"/>
          <w:kern w:val="0"/>
          <w:sz w:val="36"/>
          <w:szCs w:val="36"/>
          <w:lang w:eastAsia="zh-CN"/>
        </w:rPr>
      </w:pPr>
    </w:p>
    <w:p w14:paraId="315F158A">
      <w:pPr>
        <w:spacing w:line="700" w:lineRule="exact"/>
        <w:jc w:val="left"/>
        <w:rPr>
          <w:rFonts w:hint="eastAsia" w:hAnsi="宋体" w:eastAsia="仿宋_GB2312" w:cs="宋体"/>
          <w:kern w:val="0"/>
          <w:sz w:val="36"/>
          <w:szCs w:val="36"/>
          <w:lang w:eastAsia="zh-CN"/>
        </w:rPr>
      </w:pPr>
    </w:p>
    <w:p w14:paraId="1CD05320">
      <w:pPr>
        <w:spacing w:line="700" w:lineRule="exact"/>
        <w:jc w:val="left"/>
        <w:rPr>
          <w:rFonts w:hint="eastAsia" w:hAnsi="宋体" w:eastAsia="仿宋_GB2312" w:cs="宋体"/>
          <w:kern w:val="0"/>
          <w:sz w:val="36"/>
          <w:szCs w:val="36"/>
          <w:lang w:eastAsia="zh-CN"/>
        </w:rPr>
      </w:pPr>
    </w:p>
    <w:p w14:paraId="6AB0B09C">
      <w:pPr>
        <w:spacing w:line="700" w:lineRule="exact"/>
        <w:jc w:val="left"/>
        <w:rPr>
          <w:rFonts w:hint="eastAsia" w:hAnsi="宋体" w:eastAsia="仿宋_GB2312" w:cs="宋体"/>
          <w:kern w:val="0"/>
          <w:sz w:val="36"/>
          <w:szCs w:val="36"/>
          <w:lang w:eastAsia="zh-CN"/>
        </w:rPr>
      </w:pPr>
    </w:p>
    <w:p w14:paraId="44B9D358">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克州人民医院</w:t>
      </w:r>
    </w:p>
    <w:p w14:paraId="0B38D6C2">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730CDC11">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1310C336">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2D741C4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克州人民医院，是自治州唯一一所集医疗、教学、科研、预防、保健、康复、急救为一体的级甲等医院。医院成立了单独的科教科进行科研工作管理，在江苏医疗组団援的支持下，医院科研实力得到了很大发展成立了新地区唯一的尔克族医学研究所。自疫情以来，我院认真贯彻落实</w:t>
      </w:r>
      <w:r>
        <w:rPr>
          <w:rFonts w:hint="eastAsia" w:ascii="仿宋_GB2312" w:hAnsi="宋体" w:eastAsia="仿宋_GB2312"/>
          <w:b w:val="0"/>
          <w:bCs/>
          <w:sz w:val="32"/>
          <w:szCs w:val="32"/>
          <w:lang w:eastAsia="zh-CN"/>
        </w:rPr>
        <w:t>习近平</w:t>
      </w:r>
      <w:bookmarkStart w:id="1" w:name="_GoBack"/>
      <w:bookmarkEnd w:id="1"/>
      <w:r>
        <w:rPr>
          <w:rFonts w:hint="eastAsia" w:ascii="仿宋_GB2312" w:hAnsi="宋体" w:eastAsia="仿宋_GB2312"/>
          <w:b w:val="0"/>
          <w:bCs/>
          <w:sz w:val="32"/>
          <w:szCs w:val="32"/>
        </w:rPr>
        <w:t>总书记关于做好疫情防控工作的系列重指示神，把人民群众生食全和身体庚放在第一位，在克州党委的统一-领导下，坚定信心，同舟共济，科学防治，精准施策，有序开展疫情防控工作，以责任和社当筑起了疫情防控的“铜墙铁壁”，现已取得了阶段性成效。第三批“组团式”医疗援疆队开展工作以来，坚定不移将发展落实到改民生上、落实到惠及当地上、落实到增进团结上，扎实推进各项惠民工程，从百姓生活的切身利益入手，持续增进民生福祉，使各族群众有了更多获得感、幸福感、安全感。2021年，我单位在要保障疫情防控安全的重点工作上，同时要大力发展医疗水平与信息化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人民医院无下属预算单位，下设71个科室，分别是:行政职能部门23个:党政综合办公室、工会、团委、纪检审计部、组织与人力资源部、宣传统战科、财务部、运营管理部、医保科、招标办、采购办、医学装备部、后勤保障部、医务部、科研教学部、健康管理中心、东院综合办公室、洗涤消毒供应中心、康复技能培训科、护理部、信息部、传染病分院建设办公室、公卫与院感管理部；临床科室33个:呼吸与危重症医学科、神经内科、消化科、血液科、心血管内科、风湿免疫科、内分泌科、感染性疾病科、肾病内科、综合病区、全科医学科、老年医学科、中医科、皮肤科、急救中心、急诊病房、重症医学科、肿瘤科、疼痛科、心理医学科、儿科、新生儿科、康复医学科、妇科、产科、普通外科、神经外科、骨科、心胸外科、泌尿外科、眼科、耳鼻喉科、麻醉与围术期医学科;门诊科室5个:门诊管理办公室、发热门诊、针灸理疗科、口腔门诊、眼科门诊;医技科室10个:营养科、放射影像中心、临检中心、输血科、药学部、超声科、心功能科、介入室、柯尔克孜民族医药研究院、病理科。</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克孜勒苏柯尔克孜自治州人民医院编制数652，实有人数1040人，其中:在职721人、离休1人、退休318人。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为保质保量完成本年任务，我单位严格按照年初预算以及单位年度工作计划执行预算，做到专款专用、科学管理，每笔开支都有相关经办人员签字，做到程序规范，开支合理，勤俭节约，最大限度的提高项目经费的使用效率，保证了项目的顺利进行。</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人民医院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（2）收支管理：领导层是本单位收支业务管理的决策部门，负责审批单位收支业务等事项。涉及“三重一大”事项，根据《克州人民医院集体决策制度》和《克州人民医院项目管理办法》办理。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人民医院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人民医院合同管理办法》相关规定，克州人民医院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59821.10万元，项目支出安排资金799.41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本单位2021年度项目支出799.41万元，涉及项目数量12个，其中：重点项目支出300万元，涉及重点项目数量1个，重点项目支出与部门项目总支出（除去73类资金588.60万元）的比率为90%。</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2021年度本单位年初批复部门预算资金总额为60,826.31万元，年中调增预算总额为656.73万元，调整后全年预算资金总额为68,169.58 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2021年度本单位部门整体支出资金总额为60,620.52万元，预算执行率为89%，预算调整率为</w:t>
      </w:r>
      <w:r>
        <w:rPr>
          <w:rFonts w:hint="eastAsia" w:ascii="仿宋_GB2312" w:hAnsi="宋体" w:eastAsia="仿宋_GB2312"/>
          <w:b w:val="0"/>
          <w:bCs/>
          <w:sz w:val="32"/>
          <w:szCs w:val="32"/>
          <w:lang w:val="en-US" w:eastAsia="zh-CN"/>
        </w:rPr>
        <w:t>1.08</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年初政府采购预算数为25624.81万元，实际政府采购数为25624.81万元，政府采购执行率为100%。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160C840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7D5F08EC">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为加强我单位预算管理、规范财务行为我单位制定了《克州人民医院内部控制规范》《克州人民医院项目管理规范》等资金管理制度，已建立制度均健全且有效运行。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2021年度我单位基本支出预算总额为59,821.10 万元，其中人员经费28,077.64 万元，公用经费31,743.46 万元。实际执行总额为59,821.10 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3.三公经费控制情况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无三公经费</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2021年度本单位项目支出预算总额为945.6万元，实际执行资金总额为799.41万元，预算执行率为84.54%。</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2021年度预算安排专项资金945.6万元，实际支出资金799.41万元万元，预算执行率为84.54%，涉及项目个数12个。专项经费按照政策要求实行专款专用，不存在截留、挤占、挪用、虚列支出。各项目详细执行情况如下：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肿瘤免疫微环境中ILIF5通过ILIF9促胃癌恶性表性的作用研究项目:全年预算数为7万元，预算执行数为0万元，预算执行率为0%。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为民办实事及第一书记工作经费项目:全年预算数为12万元，预算执行数为12万元，预算执行率为100%。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药学干预对克州地区高脂血症患者用药依从性及治疗效果的影响研究项目:全年预算数为7万元，预算执行数为0万元，预算执行率为0%。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柯尔克孜孕妇体重指数及孕期体重增长对妊娠结局影响的研究项目:全年预算数为7万元，预算执行数为0万元，预算执行率为0%。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重大传染病防控补助资金项目:全年预算数为29万元，预算执行数为3.81万元，预算执行率为13.14%。</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2021年度医疗服务与保障能力提升补助资金项目:全年预算数为100万元，预算执行数为0万元，预算执行率为0%。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适宜性技术推广项目:全年预算数为5万元，预算执行数为5万元，预算执行率为100%。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全科医师转岗培训、助理全科医师转岗培训项目:全年预算数为19万元，预算执行数为19万元，预算执行率为100%。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克州人民医院急救中心建设项目:全年预算数为300万元，预算执行数为300万元，预算执行率为100%。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2021年中央医疗服务与保障能力提升(公立医院综合改革)补助项目:全年预算数为341万元，预算执行数为341万元，预算执行率为100%。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2021年中央基本公共卫生服务补助项目:全年预算数为1.6万元，预算执行数为1.6万元，预算执行率为100%。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2021年医疗服务与保障能力提升补助项目（中医药事业传承与发展部分）项目:全年预算数为117万元，预算执行数为117万元，预算执行率为100%。</w:t>
      </w:r>
    </w:p>
    <w:p w14:paraId="6ED05D4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4D1C7EB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84.54%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肿瘤免疫微环境中ILIF5通过ILIF9促胃癌恶性表性的作用研究项目:《关于调整下达2021年自治区科技计划专项资金（第一批）的通知》（克财教[2021]17号）。</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及第一书记工作经费项目:《自治区“访民情惠民生聚民心”驻村工作为民办实事工作经费使用管理办法（试行）的通知》（新民办发〔2016〕62号）、《关于拨付2021年自治区“访惠聚”驻村工作经费的通知》（新财预（2021）19号）。</w:t>
      </w:r>
      <w:r>
        <w:rPr>
          <w:rFonts w:hint="eastAsia" w:ascii="仿宋_GB2312" w:hAnsi="宋体" w:eastAsia="仿宋_GB2312"/>
          <w:b w:val="0"/>
          <w:bCs/>
          <w:sz w:val="32"/>
          <w:szCs w:val="32"/>
        </w:rPr>
        <w:cr/>
      </w:r>
      <w:r>
        <w:rPr>
          <w:rFonts w:hint="eastAsia" w:ascii="仿宋_GB2312" w:hAnsi="宋体" w:eastAsia="仿宋_GB2312"/>
          <w:b w:val="0"/>
          <w:bCs/>
          <w:sz w:val="32"/>
          <w:szCs w:val="32"/>
        </w:rPr>
        <w:t>　　药学干预对克州地区高脂血症患者用药依从性及治疗效果的影响研究项目:《关于调整下达2021年自治区科技计划专项资金（第一批）的通知》（克财教[2021]17号）。</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柯尔克孜孕妇体重指数及孕期体重增长对妊娠结局影响的研究项目:《关于调整下达2021年自治区科技计划专项资金（第一批）的通知》（克财教[2021]17号）。            </w:t>
      </w:r>
      <w:r>
        <w:rPr>
          <w:rFonts w:hint="eastAsia" w:ascii="仿宋_GB2312" w:hAnsi="宋体" w:eastAsia="仿宋_GB2312"/>
          <w:b w:val="0"/>
          <w:bCs/>
          <w:sz w:val="32"/>
          <w:szCs w:val="32"/>
        </w:rPr>
        <w:cr/>
      </w:r>
      <w:r>
        <w:rPr>
          <w:rFonts w:hint="eastAsia" w:ascii="仿宋_GB2312" w:hAnsi="宋体" w:eastAsia="仿宋_GB2312"/>
          <w:b w:val="0"/>
          <w:bCs/>
          <w:sz w:val="32"/>
          <w:szCs w:val="32"/>
        </w:rPr>
        <w:t>　　重大传染病防控补助资金项目:《关于拨付2021年中央重大传染病防控经费的通知》（克财社[2021]9号）。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2021年度医疗服务与保障能力提升补助资金项目:属于涉密文件。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适宜性技术推广项目:《关于拨付2020年自治区医疗服务与保障能力提升（卫生健康人才培训培养项目）补助资金的通知》（克财社[2020]100号）。</w:t>
      </w:r>
      <w:r>
        <w:rPr>
          <w:rFonts w:hint="eastAsia" w:ascii="仿宋_GB2312" w:hAnsi="宋体" w:eastAsia="仿宋_GB2312"/>
          <w:b w:val="0"/>
          <w:bCs/>
          <w:sz w:val="32"/>
          <w:szCs w:val="32"/>
        </w:rPr>
        <w:cr/>
      </w:r>
      <w:r>
        <w:rPr>
          <w:rFonts w:hint="eastAsia" w:ascii="仿宋_GB2312" w:hAnsi="宋体" w:eastAsia="仿宋_GB2312"/>
          <w:b w:val="0"/>
          <w:bCs/>
          <w:sz w:val="32"/>
          <w:szCs w:val="32"/>
        </w:rPr>
        <w:t>　　全科医师转岗培训、助理全科医师转岗培训项目:《关于拨付2020年自治区医疗服务与保障能力提升（卫生健康人才培训培养项目）中央财政补助资金（第二批）的通知》（克财社[2020]82号）。</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克州人民医院急救中心建设项目:《关于调整下达2020年新疆、西藏、涉藏工作重点省专项第三批中央基建投资预算（拨款）的通知》（克财建[2020]86号）。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医疗服务与保障能力提升(公立医院综合改革)补助项目:《关于提前下达2021年中央医疗服务与保障能力提升（公立医院综合改革）补助资金预算的通知》（克财社[2020]127号），《关于拨付2021年中央医疗服务与保障能力提升（公立医院综合改革）补助资金（第二批）的通知》（克财社[2021]33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2021年中央基本公共卫生服务补助项目:《关于提前下达2021年中央基本公共卫生服务补助资金预算的通知》（克财社[2020]131号）。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医疗服务与保障能力提升补助项目（中医药事业传承与发展部分）项目:《关于提起下达2021年医疗服务与保障能力提升（卫生健康人才培养培养）补助资金的通知》（克财社[2020]115号），《关于拨付2021年中央医疗服务与保障能力提升（卫生健康人才培养培养）补助资金（第二批）的通知》（克财社[2021]32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12项专项，总投入共计945.60万元，资金全部到位，实际使用资金799.41万元，专项资金执行率为85.54%。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①制订《克州人民医院经费使用规范》,为合理合规使用经费提供了有力的制度保障。同时,建立区委组织部项目经费内部管控制度，并严格按要求落实。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成本节约：我单位12个项目成本均未超预算，预算执行率达84.54%。</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我单位共有7个项目，项目实施进度已达到100%.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肿瘤免疫微环境中ILIF5通过ILIF9促胃癌恶性表性的作用研究项目:主要用于研究用临床胃癌样本，肿瘤模型，体内外实验论证TIME中中ILIF5通过ILIF9促胃癌恶性表型作用，有利于为下一步临床研究提供实验基础，提高胃癌的诊疗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为民办实事及第一书记工作经费项目:主要用于积极开展扶贫、群众工作，有利于深入基层帮助群众解决实际困难，宣传国家相关政策及法律法规，维护社会稳定和长。</w:t>
      </w:r>
      <w:r>
        <w:rPr>
          <w:rFonts w:hint="eastAsia" w:ascii="仿宋_GB2312" w:hAnsi="宋体" w:eastAsia="仿宋_GB2312"/>
          <w:b w:val="0"/>
          <w:bCs/>
          <w:sz w:val="32"/>
          <w:szCs w:val="32"/>
        </w:rPr>
        <w:cr/>
      </w:r>
      <w:r>
        <w:rPr>
          <w:rFonts w:hint="eastAsia" w:ascii="仿宋_GB2312" w:hAnsi="宋体" w:eastAsia="仿宋_GB2312"/>
          <w:b w:val="0"/>
          <w:bCs/>
          <w:sz w:val="32"/>
          <w:szCs w:val="32"/>
        </w:rPr>
        <w:t>　　药学干预对克州地区高脂血症患者用药依从性及治疗效果的影响研究项目:主要用于探讨出临床药学干预对改善高脂血症患者的疾病症状，有利于提高治疗效果及用药的依从性，预防药物不良反应的发生，提高公众的健康意识等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柯尔克孜孕妇体重指数及孕期体重增长对妊娠结局影响的研究项目:主要用于探讨出临床干预对改善体重指数，有利于预防高危妊娠合并症发生。</w:t>
      </w:r>
      <w:r>
        <w:rPr>
          <w:rFonts w:hint="eastAsia" w:ascii="仿宋_GB2312" w:hAnsi="宋体" w:eastAsia="仿宋_GB2312"/>
          <w:b w:val="0"/>
          <w:bCs/>
          <w:sz w:val="32"/>
          <w:szCs w:val="32"/>
        </w:rPr>
        <w:cr/>
      </w:r>
      <w:r>
        <w:rPr>
          <w:rFonts w:hint="eastAsia" w:ascii="仿宋_GB2312" w:hAnsi="宋体" w:eastAsia="仿宋_GB2312"/>
          <w:b w:val="0"/>
          <w:bCs/>
          <w:sz w:val="32"/>
          <w:szCs w:val="32"/>
        </w:rPr>
        <w:t>　　重大传染病防控补助资金项目:主要用于结核病防治、血吸虫与虫病虫防治，有利于提升结核病防止工作质量，精准诊断，精准报告，全程规范诊疗，提高治愈率。</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医疗服务与保障能力提升补助资金项目:加强江苏省“组团式”医疗援疆“师带徒”工作，有利于充分发挥江苏省医疗人才资源，为克州大力培养医疗人才，提高克州医务工作者的医疗技术水平和服务能力，更好地服务克州广大患者。</w:t>
      </w:r>
      <w:r>
        <w:rPr>
          <w:rFonts w:hint="eastAsia" w:ascii="仿宋_GB2312" w:hAnsi="宋体" w:eastAsia="仿宋_GB2312"/>
          <w:b w:val="0"/>
          <w:bCs/>
          <w:sz w:val="32"/>
          <w:szCs w:val="32"/>
        </w:rPr>
        <w:cr/>
      </w:r>
      <w:r>
        <w:rPr>
          <w:rFonts w:hint="eastAsia" w:ascii="仿宋_GB2312" w:hAnsi="宋体" w:eastAsia="仿宋_GB2312"/>
          <w:b w:val="0"/>
          <w:bCs/>
          <w:sz w:val="32"/>
          <w:szCs w:val="32"/>
        </w:rPr>
        <w:t>　　适宜性技术推广项目:主要用于新生儿复苏技术在基层医院的推广项目及基于ICF老年失能评估及分级康复干预策略项目，有利于为进一步规避新生儿复苏治疗风险，保障患者安全，提升是治疗的实施效果，为使临床实践更加规范化。基于ICF老年失能评估及分级康复干预策略项目，通过推广本项目可在老年人尚未出现严重疾病时发现其功能，活动和参与方面的缺陷，从而提前予以干预。</w:t>
      </w:r>
      <w:r>
        <w:rPr>
          <w:rFonts w:hint="eastAsia" w:ascii="仿宋_GB2312" w:hAnsi="宋体" w:eastAsia="仿宋_GB2312"/>
          <w:b w:val="0"/>
          <w:bCs/>
          <w:sz w:val="32"/>
          <w:szCs w:val="32"/>
        </w:rPr>
        <w:cr/>
      </w:r>
      <w:r>
        <w:rPr>
          <w:rFonts w:hint="eastAsia" w:ascii="仿宋_GB2312" w:hAnsi="宋体" w:eastAsia="仿宋_GB2312"/>
          <w:b w:val="0"/>
          <w:bCs/>
          <w:sz w:val="32"/>
          <w:szCs w:val="32"/>
        </w:rPr>
        <w:t>　　全科医师转岗培训、助理全科医师转岗培训项目:主要用于培养全科医师、助理全科医师，有利于促进人才与卫生健康事业发展更加适应，加快构建适合我国国情的医疗卫生服务体系。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克州人民医院急救中心建设项目:主要用于采购120急救中心医疗设备，有利于提高克州医务工作者的医疗技术水平和服务能力，更好地服务克州广大患者。</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2021年中央医疗服务与保障能力提升(公立医院综合改革)补助项目:主要用于采购（40种,数量6.5万支)药品。，有利于减轻医院药品开支压力。</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2021年中央基本公共卫生服务补助项目:主要用于免费向城乡居民提供基本公共卫生服务，有利于缩小城乡居民公共卫生服务差距，不断提高基本公共卫生服务水平。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医疗服务与保障能力提升补助项目（中医药事业传承与发展部分）项目:主要用于培养助理全科医生，住院规范化培训，紧缺人才培训，有利于基层医疗卫生机构医疗水平不断提升，整个卫生健康人才队伍的专业结构，城乡结构和区域分布不断优化，促进人才与卫生健康事业发展更加适应，加快构建适合我国国情的医疗卫生服务体系。</w:t>
      </w:r>
    </w:p>
    <w:p w14:paraId="29167185">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7BC994F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本单位2021年初资产合计数为58,280.32 万元，年末资产合计数为78,172.47 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截止本年度固定资产账面净值49,224.08 万元，年末实际在用固定资产49,224.08 万元，固定资产利用率为100%。</w:t>
      </w:r>
    </w:p>
    <w:p w14:paraId="08BABBF6">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79010A5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部门单位整体支出共设置一级指标3个，二级指标8个，三级指标15个，其中已完成三级指标12个，指标完成率为80%。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lt;=745人，实际完成指标值为721人，指标完成率为96.78%。偏差原因：在职转退休31人，死亡1人，调走1人，辞职13人，改进措施：2022年做预算多方面考虑，提前做好预判工作，减少目标值与实际值的差额。</w:t>
      </w:r>
      <w:r>
        <w:rPr>
          <w:rFonts w:hint="eastAsia" w:ascii="仿宋_GB2312" w:hAnsi="宋体" w:eastAsia="仿宋_GB2312"/>
          <w:b w:val="0"/>
          <w:bCs/>
          <w:sz w:val="32"/>
          <w:szCs w:val="32"/>
        </w:rPr>
        <w:cr/>
      </w:r>
      <w:r>
        <w:rPr>
          <w:rFonts w:hint="eastAsia" w:ascii="仿宋_GB2312" w:hAnsi="宋体" w:eastAsia="仿宋_GB2312"/>
          <w:b w:val="0"/>
          <w:bCs/>
          <w:sz w:val="32"/>
          <w:szCs w:val="32"/>
        </w:rPr>
        <w:t>　　“住院工作量”指标：预期指标值为&gt;=51099人，实际完成指标值为51099人，指标完成率为100%。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“门诊工作量”指标：预期指标值为&gt;=299757人，实际完成指标值为299757人，指标完成率为100%。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“绩效考核合格率”指标：预期指标值为&gt;=90%，实际完成指标值为90%，指标完成率为100%。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“政府采购率”指标：预期指标值为=100%，实际完成指标值为100%，指标完成率为100%。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“各项工作开展及时率”指标：预期指标值为=100%，实际完成指标值为100%，指标完成率为100%。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“人员经费”指标：预期指标值为=10046.61万元，实际完成指标值为10046.61万元，指标完成率为100%。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36084.82万元，实际完成指标值为31743.46万元，指标完成率为87.97%。偏差原因：疫情防控影响、国家医保政策，药品耗材阳光集采降价等因素影响。改进措施：2022年做预算多方面考虑，提前做好预判工作，减少目标值与实际值的差额。</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14694.88万元，实际完成指标值为799.41万元，指标完成率为5.44%。偏差原因：传染病医院建设进度、消毒洗涤中心项目取消。改进措施：2022年做预算多方面考虑，提前做好预判工作，减少目标值与实际值的差额。</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“医疗收入较去年增长（%）”指标：预期指标值为&gt;=15%，实际完成指标值为15%，指标完成率为100%。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“有效缓冲患者就医压力”指标：预期指标值为持续改善，实际完成指标值为持续改善，指标完成率为100%。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“向基层输送人才、提升医疗业务水平”指标：预期指标值为有效提升，实际完成指标值为有效提升，指标完成率为100%。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“持续增进民生福祉”指标：预期指标值为长期，实际完成指标值为长期，指标完成率为100%。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“收益患者满意度”指标：预期指标值为&gt;=95%，实际完成指标值为95%，指标完成率为100%。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“收益员工满意度”指标：预期指标值为&gt;=95%，实际完成指标值为95%，指标完成率为100%。</w:t>
      </w:r>
    </w:p>
    <w:p w14:paraId="368FAE3F">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08BEEC82">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43D068F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4960D717">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ACE700C"/>
    <w:rsid w:val="0D1922F1"/>
    <w:rsid w:val="108622B3"/>
    <w:rsid w:val="1438599A"/>
    <w:rsid w:val="1BEB20DD"/>
    <w:rsid w:val="200F4073"/>
    <w:rsid w:val="24B86128"/>
    <w:rsid w:val="25317431"/>
    <w:rsid w:val="47046CA5"/>
    <w:rsid w:val="4D8B6CF4"/>
    <w:rsid w:val="51C70EA9"/>
    <w:rsid w:val="54F842B6"/>
    <w:rsid w:val="61E869F4"/>
    <w:rsid w:val="624C6C55"/>
    <w:rsid w:val="62B27295"/>
    <w:rsid w:val="656071F2"/>
    <w:rsid w:val="6BF1756B"/>
    <w:rsid w:val="6F5E1AA3"/>
    <w:rsid w:val="72EB60ED"/>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129</Words>
  <Characters>301</Characters>
  <Lines>2</Lines>
  <Paragraphs>1</Paragraphs>
  <TotalTime>28</TotalTime>
  <ScaleCrop>false</ScaleCrop>
  <LinksUpToDate>false</LinksUpToDate>
  <CharactersWithSpaces>308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2026-06-10T04:11:25Z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4E2A216151A24EE5A190066F518526B7</vt:lpwstr>
  </property>
</Properties>
</file>