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kern w:val="0"/>
          <w:sz w:val="32"/>
          <w:szCs w:val="32"/>
          <w:lang w:val="en-US" w:eastAsia="zh-CN"/>
        </w:rPr>
      </w:pPr>
      <w:r>
        <w:rPr>
          <w:rFonts w:hint="eastAsia" w:ascii="宋体" w:hAnsi="宋体" w:cs="宋体"/>
          <w:b/>
          <w:bCs/>
          <w:kern w:val="0"/>
          <w:sz w:val="32"/>
          <w:szCs w:val="32"/>
          <w:lang w:val="en-US" w:eastAsia="zh-CN"/>
        </w:rPr>
        <w:t>附件：</w:t>
      </w: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外事办公室</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pStyle w:val="2"/>
      </w:pPr>
    </w:p>
    <w:p>
      <w:pPr>
        <w:widowControl/>
        <w:spacing w:line="440" w:lineRule="exact"/>
        <w:jc w:val="center"/>
        <w:outlineLvl w:val="1"/>
        <w:rPr>
          <w:rFonts w:ascii="黑体" w:hAnsi="黑体" w:eastAsia="黑体"/>
          <w:kern w:val="0"/>
          <w:sz w:val="36"/>
          <w:szCs w:val="32"/>
        </w:rPr>
      </w:pPr>
    </w:p>
    <w:p>
      <w:pPr>
        <w:pStyle w:val="2"/>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b/>
          <w:kern w:val="0"/>
          <w:sz w:val="32"/>
          <w:szCs w:val="32"/>
        </w:rPr>
        <w:t>（单位）概况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rPr>
        <w:t>2021年</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b/>
          <w:kern w:val="0"/>
          <w:sz w:val="32"/>
          <w:szCs w:val="32"/>
        </w:rPr>
        <w:t>（单位）预算公开表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w:t>
      </w: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rPr>
        <w:t>2021年</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
          <w:kern w:val="0"/>
          <w:sz w:val="32"/>
          <w:szCs w:val="32"/>
          <w:lang w:eastAsia="zh-CN"/>
        </w:rPr>
        <w:t>克孜勒苏柯尔克孜自治州外事办公室</w:t>
      </w:r>
      <w:r>
        <w:rPr>
          <w:rFonts w:hint="eastAsia" w:ascii="仿宋_GB2312" w:hAnsi="宋体" w:eastAsia="仿宋_GB2312"/>
          <w:kern w:val="0"/>
          <w:sz w:val="32"/>
          <w:szCs w:val="32"/>
        </w:rPr>
        <w:t>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ascii="仿宋_GB2312" w:hAnsi="宋体" w:eastAsia="仿宋_GB2312"/>
          <w:b/>
          <w:kern w:val="0"/>
          <w:sz w:val="32"/>
          <w:szCs w:val="32"/>
        </w:rPr>
      </w:pPr>
    </w:p>
    <w:p>
      <w:pPr>
        <w:rPr>
          <w:rFonts w:hint="eastAsia" w:ascii="仿宋_GB2312" w:hAnsi="宋体" w:eastAsia="仿宋_GB2312"/>
          <w:b/>
          <w:kern w:val="0"/>
          <w:sz w:val="32"/>
          <w:szCs w:val="32"/>
        </w:rPr>
      </w:pPr>
    </w:p>
    <w:p>
      <w:pPr>
        <w:pStyle w:val="2"/>
        <w:rPr>
          <w:rFonts w:hint="eastAsia"/>
        </w:rPr>
      </w:pPr>
    </w:p>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宋体" w:eastAsia="仿宋_GB2312"/>
          <w:b/>
          <w:kern w:val="0"/>
          <w:sz w:val="32"/>
          <w:szCs w:val="32"/>
          <w:lang w:eastAsia="zh-CN"/>
        </w:rPr>
        <w:t>克孜勒苏柯尔克孜自治州外事办公室</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ind w:firstLine="640" w:firstLineChars="200"/>
        <w:jc w:val="left"/>
        <w:rPr>
          <w:rFonts w:ascii="黑体" w:hAnsi="黑体" w:eastAsia="黑体" w:cs="宋体"/>
          <w:b/>
          <w:bCs/>
          <w:color w:val="auto"/>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
          <w:bCs/>
          <w:color w:val="auto"/>
          <w:kern w:val="0"/>
          <w:sz w:val="32"/>
          <w:szCs w:val="32"/>
        </w:rPr>
        <w:t>一、主要职能</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贯彻执行党和国家外事、边</w:t>
      </w:r>
      <w:r>
        <w:rPr>
          <w:rFonts w:hint="eastAsia" w:ascii="仿宋_GB2312" w:eastAsia="仿宋_GB2312"/>
          <w:sz w:val="32"/>
          <w:szCs w:val="32"/>
          <w:lang w:val="en-US" w:eastAsia="zh-CN"/>
        </w:rPr>
        <w:t>界</w:t>
      </w:r>
      <w:r>
        <w:rPr>
          <w:rFonts w:hint="eastAsia" w:ascii="仿宋_GB2312" w:eastAsia="仿宋_GB2312"/>
          <w:sz w:val="32"/>
          <w:szCs w:val="32"/>
        </w:rPr>
        <w:t>工作的方针、政策和有关法律、法规以及克州关于外事、边</w:t>
      </w:r>
      <w:r>
        <w:rPr>
          <w:rFonts w:hint="eastAsia" w:ascii="仿宋_GB2312" w:eastAsia="仿宋_GB2312"/>
          <w:sz w:val="32"/>
          <w:szCs w:val="32"/>
          <w:lang w:val="en-US" w:eastAsia="zh-CN"/>
        </w:rPr>
        <w:t>界</w:t>
      </w:r>
      <w:r>
        <w:rPr>
          <w:rFonts w:hint="eastAsia" w:ascii="仿宋_GB2312" w:eastAsia="仿宋_GB2312"/>
          <w:sz w:val="32"/>
          <w:szCs w:val="32"/>
        </w:rPr>
        <w:t>工作的决定，依法拟定克州外事、边</w:t>
      </w:r>
      <w:r>
        <w:rPr>
          <w:rFonts w:hint="eastAsia" w:ascii="仿宋_GB2312" w:eastAsia="仿宋_GB2312"/>
          <w:sz w:val="32"/>
          <w:szCs w:val="32"/>
          <w:lang w:val="en-US" w:eastAsia="zh-CN"/>
        </w:rPr>
        <w:t>界</w:t>
      </w:r>
      <w:r>
        <w:rPr>
          <w:rFonts w:hint="eastAsia" w:ascii="仿宋_GB2312" w:eastAsia="仿宋_GB2312"/>
          <w:sz w:val="32"/>
          <w:szCs w:val="32"/>
        </w:rPr>
        <w:t>工作的政策、法规及规划并组织实施；负责协调、处理克州重大涉外涉侨事务。负责克州因公出国(境)管理工作。按规定审批、承办克州因公出国(境)人员的护照、赴港澳通行证的审批和管理、外国签证的申办，审批应邀访华外国人的签证通知函电及邀请外国(境外)和港、澳人员来访事宜。</w:t>
      </w:r>
    </w:p>
    <w:p>
      <w:pPr>
        <w:snapToGrid w:val="0"/>
        <w:spacing w:line="520" w:lineRule="exact"/>
        <w:ind w:firstLine="640" w:firstLineChars="200"/>
        <w:rPr>
          <w:rFonts w:eastAsia="仿宋_GB2312"/>
          <w:sz w:val="32"/>
          <w:szCs w:val="32"/>
        </w:rPr>
      </w:pPr>
    </w:p>
    <w:p>
      <w:pPr>
        <w:widowControl/>
        <w:spacing w:line="560" w:lineRule="exact"/>
        <w:jc w:val="left"/>
        <w:rPr>
          <w:rFonts w:ascii="黑体" w:hAnsi="黑体" w:eastAsia="黑体" w:cs="宋体"/>
          <w:bCs/>
          <w:kern w:val="0"/>
          <w:sz w:val="30"/>
          <w:szCs w:val="30"/>
        </w:rPr>
      </w:pPr>
      <w:r>
        <w:rPr>
          <w:rFonts w:hint="eastAsia" w:ascii="仿宋_GB2312" w:hAnsi="宋体" w:eastAsia="仿宋_GB2312" w:cs="宋体"/>
          <w:kern w:val="0"/>
          <w:sz w:val="30"/>
          <w:szCs w:val="30"/>
        </w:rPr>
        <w:t xml:space="preserve">　  </w:t>
      </w:r>
      <w:r>
        <w:rPr>
          <w:rFonts w:hint="eastAsia" w:ascii="黑体" w:hAnsi="黑体" w:eastAsia="黑体" w:cs="宋体"/>
          <w:bCs/>
          <w:kern w:val="0"/>
          <w:sz w:val="30"/>
          <w:szCs w:val="30"/>
        </w:rPr>
        <w:t>二、机构设置及人员情况</w:t>
      </w:r>
    </w:p>
    <w:p>
      <w:pPr>
        <w:widowControl/>
        <w:spacing w:line="560" w:lineRule="exact"/>
        <w:ind w:firstLine="640" w:firstLineChars="200"/>
        <w:jc w:val="left"/>
        <w:rPr>
          <w:rFonts w:hint="eastAsia" w:ascii="仿宋_GB2312" w:hAnsi="宋体" w:eastAsia="仿宋_GB2312" w:cs="宋体"/>
          <w:color w:val="333333"/>
          <w:kern w:val="0"/>
          <w:sz w:val="32"/>
          <w:szCs w:val="32"/>
        </w:rPr>
      </w:pPr>
      <w:r>
        <w:rPr>
          <w:rFonts w:hint="eastAsia" w:ascii="仿宋_GB2312" w:hAnsi="宋体" w:eastAsia="仿宋_GB2312" w:cs="宋体"/>
          <w:kern w:val="0"/>
          <w:sz w:val="32"/>
          <w:szCs w:val="32"/>
          <w:lang w:eastAsia="zh-CN"/>
        </w:rPr>
        <w:t>克孜勒苏柯尔克孜自治州外事办公室</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5</w:t>
      </w:r>
      <w:r>
        <w:rPr>
          <w:rFonts w:hint="eastAsia" w:ascii="仿宋_GB2312" w:hAnsi="黑体" w:eastAsia="仿宋_GB2312" w:cs="宋体"/>
          <w:bCs/>
          <w:kern w:val="0"/>
          <w:sz w:val="32"/>
          <w:szCs w:val="32"/>
        </w:rPr>
        <w:t>个科室，分别是：</w:t>
      </w:r>
      <w:r>
        <w:rPr>
          <w:rFonts w:hint="eastAsia" w:ascii="仿宋_GB2312" w:hAnsi="宋体" w:eastAsia="仿宋_GB2312" w:cs="宋体"/>
          <w:color w:val="333333"/>
          <w:kern w:val="0"/>
          <w:sz w:val="32"/>
          <w:szCs w:val="32"/>
          <w:lang w:val="en-US" w:eastAsia="zh-CN"/>
        </w:rPr>
        <w:t>综合</w:t>
      </w:r>
      <w:r>
        <w:rPr>
          <w:rFonts w:hint="eastAsia" w:ascii="仿宋_GB2312" w:hAnsi="宋体" w:eastAsia="仿宋_GB2312" w:cs="宋体"/>
          <w:color w:val="333333"/>
          <w:kern w:val="0"/>
          <w:sz w:val="32"/>
          <w:szCs w:val="32"/>
        </w:rPr>
        <w:t>科、外事科、</w:t>
      </w:r>
      <w:r>
        <w:rPr>
          <w:rFonts w:hint="eastAsia" w:ascii="仿宋_GB2312" w:hAnsi="宋体" w:eastAsia="仿宋_GB2312" w:cs="宋体"/>
          <w:color w:val="333333"/>
          <w:kern w:val="0"/>
          <w:sz w:val="32"/>
          <w:szCs w:val="32"/>
          <w:lang w:val="en-US" w:eastAsia="zh-CN"/>
        </w:rPr>
        <w:t>边界科</w:t>
      </w:r>
      <w:r>
        <w:rPr>
          <w:rFonts w:hint="eastAsia" w:ascii="仿宋_GB2312" w:hAnsi="宋体" w:eastAsia="仿宋_GB2312" w:cs="宋体"/>
          <w:color w:val="333333"/>
          <w:kern w:val="0"/>
          <w:sz w:val="32"/>
          <w:szCs w:val="32"/>
        </w:rPr>
        <w:t>、</w:t>
      </w:r>
      <w:r>
        <w:rPr>
          <w:rFonts w:hint="eastAsia" w:ascii="仿宋_GB2312" w:hAnsi="宋体" w:eastAsia="仿宋_GB2312" w:cs="宋体"/>
          <w:color w:val="333333"/>
          <w:kern w:val="0"/>
          <w:sz w:val="32"/>
          <w:szCs w:val="32"/>
          <w:lang w:val="en-US" w:eastAsia="zh-CN"/>
        </w:rPr>
        <w:t>侨联办公室、外事服务中心</w:t>
      </w:r>
      <w:r>
        <w:rPr>
          <w:rFonts w:hint="eastAsia" w:ascii="仿宋_GB2312" w:hAnsi="宋体" w:eastAsia="仿宋_GB2312" w:cs="宋体"/>
          <w:color w:val="333333"/>
          <w:kern w:val="0"/>
          <w:sz w:val="32"/>
          <w:szCs w:val="32"/>
        </w:rPr>
        <w:t>。</w:t>
      </w:r>
    </w:p>
    <w:p>
      <w:pPr>
        <w:widowControl/>
        <w:spacing w:line="560" w:lineRule="exact"/>
        <w:ind w:firstLine="640"/>
        <w:jc w:val="left"/>
        <w:rPr>
          <w:rFonts w:hint="default" w:ascii="Times New Roman" w:hAnsi="Times New Roman" w:eastAsia="仿宋_GB2312" w:cs="Times New Roman"/>
          <w:kern w:val="0"/>
          <w:sz w:val="32"/>
          <w:szCs w:val="32"/>
        </w:rPr>
      </w:pPr>
      <w:r>
        <w:rPr>
          <w:rFonts w:hint="eastAsia" w:ascii="仿宋_GB2312" w:hAnsi="宋体" w:eastAsia="仿宋_GB2312" w:cs="宋体"/>
          <w:color w:val="auto"/>
          <w:kern w:val="0"/>
          <w:sz w:val="32"/>
          <w:szCs w:val="32"/>
          <w:lang w:eastAsia="zh-CN"/>
        </w:rPr>
        <w:t>克孜勒苏柯尔克孜自治州人民政府外事办公室</w:t>
      </w:r>
      <w:r>
        <w:rPr>
          <w:rFonts w:hint="eastAsia" w:ascii="仿宋_GB2312" w:hAnsi="宋体" w:eastAsia="仿宋_GB2312" w:cs="宋体"/>
          <w:color w:val="auto"/>
          <w:kern w:val="0"/>
          <w:sz w:val="32"/>
          <w:szCs w:val="32"/>
        </w:rPr>
        <w:t>编制数</w:t>
      </w:r>
      <w:r>
        <w:rPr>
          <w:rFonts w:hint="eastAsia" w:ascii="仿宋_GB2312" w:hAnsi="宋体" w:eastAsia="仿宋_GB2312" w:cs="宋体"/>
          <w:color w:val="auto"/>
          <w:kern w:val="0"/>
          <w:sz w:val="32"/>
          <w:szCs w:val="32"/>
          <w:lang w:val="en-US" w:eastAsia="zh-CN"/>
        </w:rPr>
        <w:t>16</w:t>
      </w:r>
      <w:r>
        <w:rPr>
          <w:rFonts w:hint="eastAsia" w:ascii="仿宋_GB2312" w:hAnsi="宋体" w:eastAsia="仿宋_GB2312" w:cs="宋体"/>
          <w:color w:val="auto"/>
          <w:kern w:val="0"/>
          <w:sz w:val="32"/>
          <w:szCs w:val="32"/>
          <w:lang w:eastAsia="zh-CN"/>
        </w:rPr>
        <w:t>人</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实有人数32人，</w:t>
      </w:r>
      <w:r>
        <w:rPr>
          <w:rFonts w:hint="eastAsia" w:ascii="仿宋_GB2312" w:hAnsi="宋体" w:eastAsia="仿宋_GB2312" w:cs="宋体"/>
          <w:kern w:val="0"/>
          <w:sz w:val="32"/>
          <w:szCs w:val="32"/>
        </w:rPr>
        <w:t>其中</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在职</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default" w:ascii="Times New Roman" w:hAnsi="Times New Roman" w:eastAsia="仿宋_GB2312" w:cs="Times New Roman"/>
          <w:kern w:val="0"/>
          <w:sz w:val="32"/>
          <w:szCs w:val="32"/>
        </w:rPr>
        <w:t>减少</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人</w:t>
      </w:r>
      <w:r>
        <w:rPr>
          <w:rFonts w:hint="eastAsia" w:eastAsia="仿宋_GB2312" w:cs="Times New Roman"/>
          <w:kern w:val="0"/>
          <w:sz w:val="32"/>
          <w:szCs w:val="32"/>
          <w:lang w:eastAsia="zh-CN"/>
        </w:rPr>
        <w:t>；</w:t>
      </w:r>
      <w:r>
        <w:rPr>
          <w:rFonts w:hint="eastAsia" w:ascii="仿宋_GB2312" w:hAnsi="宋体" w:eastAsia="仿宋_GB2312" w:cs="宋体"/>
          <w:kern w:val="0"/>
          <w:sz w:val="32"/>
          <w:szCs w:val="32"/>
        </w:rPr>
        <w:t xml:space="preserve"> 退休</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default" w:ascii="Times New Roman" w:hAnsi="Times New Roman" w:eastAsia="仿宋_GB2312" w:cs="Times New Roman"/>
          <w:kern w:val="0"/>
          <w:sz w:val="32"/>
          <w:szCs w:val="32"/>
        </w:rPr>
        <w:t>离休0人，增加0人。</w:t>
      </w:r>
    </w:p>
    <w:p>
      <w:pPr>
        <w:widowControl/>
        <w:spacing w:line="560" w:lineRule="exact"/>
        <w:ind w:firstLine="645"/>
        <w:jc w:val="left"/>
        <w:rPr>
          <w:rFonts w:hint="eastAsia" w:ascii="仿宋_GB2312" w:hAnsi="宋体" w:eastAsia="仿宋_GB2312" w:cs="宋体"/>
          <w:kern w:val="0"/>
          <w:sz w:val="32"/>
          <w:szCs w:val="32"/>
        </w:rPr>
      </w:pPr>
    </w:p>
    <w:p>
      <w:pPr>
        <w:pStyle w:val="2"/>
        <w:rPr>
          <w:rFonts w:hint="eastAsia"/>
        </w:rPr>
      </w:pPr>
    </w:p>
    <w:p>
      <w:pPr>
        <w:pStyle w:val="2"/>
      </w:pPr>
    </w:p>
    <w:p>
      <w:pPr>
        <w:pStyle w:val="2"/>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2"/>
          <w:szCs w:val="32"/>
        </w:rPr>
      </w:pPr>
      <w:r>
        <w:rPr>
          <w:rFonts w:hint="eastAsia" w:ascii="黑体" w:hAnsi="黑体" w:eastAsia="黑体"/>
          <w:b/>
          <w:kern w:val="0"/>
          <w:sz w:val="32"/>
          <w:szCs w:val="32"/>
        </w:rPr>
        <w:t>第二部分  202</w:t>
      </w:r>
      <w:r>
        <w:rPr>
          <w:rFonts w:hint="eastAsia" w:ascii="黑体" w:hAnsi="黑体" w:eastAsia="黑体"/>
          <w:kern w:val="0"/>
          <w:sz w:val="32"/>
          <w:szCs w:val="32"/>
        </w:rPr>
        <w:t>1年</w:t>
      </w:r>
      <w:r>
        <w:rPr>
          <w:rFonts w:hint="eastAsia" w:ascii="黑体" w:hAnsi="黑体" w:eastAsia="黑体"/>
          <w:kern w:val="0"/>
          <w:sz w:val="32"/>
          <w:szCs w:val="32"/>
          <w:lang w:eastAsia="zh-CN"/>
        </w:rPr>
        <w:t>克孜勒苏柯尔克孜自治州外事办公室</w:t>
      </w:r>
      <w:r>
        <w:rPr>
          <w:rFonts w:hint="eastAsia" w:ascii="黑体" w:hAnsi="黑体" w:eastAsia="黑体"/>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560" w:lineRule="exact"/>
        <w:textAlignment w:val="auto"/>
        <w:outlineLvl w:val="1"/>
        <w:rPr>
          <w:rFonts w:hint="eastAsia" w:ascii="黑体" w:hAnsi="黑体" w:eastAsia="黑体"/>
          <w:kern w:val="0"/>
          <w:sz w:val="32"/>
          <w:szCs w:val="32"/>
        </w:rPr>
      </w:pPr>
      <w:r>
        <w:rPr>
          <w:rFonts w:hint="eastAsia" w:ascii="黑体" w:hAnsi="黑体" w:eastAsia="黑体"/>
          <w:kern w:val="0"/>
          <w:sz w:val="32"/>
          <w:szCs w:val="32"/>
        </w:rPr>
        <w:t>表一：</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keepNext w:val="0"/>
        <w:keepLines w:val="0"/>
        <w:pageBreakBefore w:val="0"/>
        <w:widowControl/>
        <w:kinsoku/>
        <w:wordWrap/>
        <w:overflowPunct/>
        <w:topLinePunct w:val="0"/>
        <w:autoSpaceDE/>
        <w:autoSpaceDN/>
        <w:bidi w:val="0"/>
        <w:adjustRightInd/>
        <w:snapToGrid/>
        <w:spacing w:line="560" w:lineRule="exact"/>
        <w:textAlignment w:val="auto"/>
        <w:outlineLvl w:val="1"/>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w:t>
      </w:r>
      <w:r>
        <w:rPr>
          <w:rFonts w:hint="eastAsia" w:ascii="仿宋_GB2312" w:hAnsi="宋体" w:eastAsia="仿宋_GB2312" w:cs="宋体"/>
          <w:kern w:val="0"/>
          <w:sz w:val="24"/>
          <w:szCs w:val="24"/>
          <w:lang w:val="en-US" w:eastAsia="zh-CN"/>
        </w:rPr>
        <w:t xml:space="preserve">   </w:t>
      </w:r>
      <w:r>
        <w:rPr>
          <w:rFonts w:hint="eastAsia" w:ascii="仿宋_GB2312" w:hAnsi="宋体" w:eastAsia="仿宋_GB2312" w:cs="宋体"/>
          <w:kern w:val="0"/>
          <w:sz w:val="24"/>
          <w:szCs w:val="24"/>
        </w:rPr>
        <w:t>单位：万元</w:t>
      </w:r>
    </w:p>
    <w:tbl>
      <w:tblPr>
        <w:tblStyle w:val="8"/>
        <w:tblW w:w="8662" w:type="dxa"/>
        <w:tblInd w:w="91" w:type="dxa"/>
        <w:tblLayout w:type="fixed"/>
        <w:tblCellMar>
          <w:top w:w="0" w:type="dxa"/>
          <w:left w:w="108" w:type="dxa"/>
          <w:bottom w:w="0" w:type="dxa"/>
          <w:right w:w="108" w:type="dxa"/>
        </w:tblCellMar>
      </w:tblPr>
      <w:tblGrid>
        <w:gridCol w:w="2165"/>
        <w:gridCol w:w="2165"/>
        <w:gridCol w:w="1"/>
        <w:gridCol w:w="2164"/>
        <w:gridCol w:w="2167"/>
      </w:tblGrid>
      <w:tr>
        <w:tblPrEx>
          <w:tblLayout w:type="fixed"/>
          <w:tblCellMar>
            <w:top w:w="0" w:type="dxa"/>
            <w:left w:w="108" w:type="dxa"/>
            <w:bottom w:w="0" w:type="dxa"/>
            <w:right w:w="108" w:type="dxa"/>
          </w:tblCellMar>
        </w:tblPrEx>
        <w:trPr>
          <w:trHeight w:val="306" w:hRule="exact"/>
        </w:trPr>
        <w:tc>
          <w:tcPr>
            <w:tcW w:w="4331" w:type="dxa"/>
            <w:gridSpan w:val="3"/>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cs="宋体"/>
                <w:b/>
                <w:bCs/>
                <w:color w:val="auto"/>
                <w:kern w:val="0"/>
                <w:sz w:val="15"/>
                <w:szCs w:val="15"/>
              </w:rPr>
            </w:pPr>
            <w:r>
              <w:rPr>
                <w:rFonts w:hint="eastAsia" w:ascii="仿宋_GB2312" w:hAnsi="宋体" w:eastAsia="仿宋_GB2312" w:cs="宋体"/>
                <w:b/>
                <w:bCs/>
                <w:color w:val="auto"/>
                <w:kern w:val="0"/>
                <w:sz w:val="15"/>
                <w:szCs w:val="15"/>
              </w:rPr>
              <w:t>收     入</w:t>
            </w:r>
          </w:p>
        </w:tc>
        <w:tc>
          <w:tcPr>
            <w:tcW w:w="4331" w:type="dxa"/>
            <w:gridSpan w:val="2"/>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b/>
                <w:bCs/>
                <w:color w:val="auto"/>
                <w:kern w:val="0"/>
                <w:sz w:val="15"/>
                <w:szCs w:val="15"/>
              </w:rPr>
            </w:pPr>
            <w:r>
              <w:rPr>
                <w:rFonts w:hint="eastAsia" w:ascii="仿宋_GB2312" w:hAnsi="宋体" w:eastAsia="仿宋_GB2312" w:cs="宋体"/>
                <w:b/>
                <w:bCs/>
                <w:color w:val="auto"/>
                <w:kern w:val="0"/>
                <w:sz w:val="15"/>
                <w:szCs w:val="15"/>
              </w:rPr>
              <w:t>支     出</w:t>
            </w: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center"/>
              <w:rPr>
                <w:rFonts w:ascii="仿宋_GB2312" w:hAnsi="宋体" w:eastAsia="仿宋_GB2312" w:cs="宋体"/>
                <w:b/>
                <w:color w:val="auto"/>
                <w:kern w:val="0"/>
                <w:sz w:val="15"/>
                <w:szCs w:val="15"/>
              </w:rPr>
            </w:pPr>
            <w:r>
              <w:rPr>
                <w:rFonts w:hint="eastAsia" w:ascii="仿宋_GB2312" w:hAnsi="宋体" w:eastAsia="仿宋_GB2312" w:cs="宋体"/>
                <w:b/>
                <w:color w:val="auto"/>
                <w:kern w:val="0"/>
                <w:sz w:val="15"/>
                <w:szCs w:val="15"/>
              </w:rPr>
              <w:t>项     目</w:t>
            </w:r>
          </w:p>
        </w:tc>
        <w:tc>
          <w:tcPr>
            <w:tcW w:w="2165" w:type="dxa"/>
            <w:tcBorders>
              <w:top w:val="nil"/>
              <w:left w:val="nil"/>
              <w:bottom w:val="single" w:color="auto" w:sz="4" w:space="0"/>
              <w:right w:val="single" w:color="auto" w:sz="4" w:space="0"/>
            </w:tcBorders>
            <w:noWrap/>
            <w:vAlign w:val="top"/>
          </w:tcPr>
          <w:p>
            <w:pPr>
              <w:widowControl/>
              <w:spacing w:line="300" w:lineRule="exact"/>
              <w:jc w:val="center"/>
              <w:rPr>
                <w:rFonts w:ascii="仿宋_GB2312" w:hAnsi="宋体" w:eastAsia="仿宋_GB2312" w:cs="宋体"/>
                <w:b/>
                <w:color w:val="auto"/>
                <w:kern w:val="0"/>
                <w:sz w:val="15"/>
                <w:szCs w:val="15"/>
              </w:rPr>
            </w:pPr>
            <w:r>
              <w:rPr>
                <w:rFonts w:hint="eastAsia" w:ascii="仿宋_GB2312" w:hAnsi="宋体" w:eastAsia="仿宋_GB2312" w:cs="宋体"/>
                <w:b/>
                <w:color w:val="auto"/>
                <w:kern w:val="0"/>
                <w:sz w:val="15"/>
                <w:szCs w:val="15"/>
              </w:rPr>
              <w:t>预算数</w:t>
            </w:r>
          </w:p>
        </w:tc>
        <w:tc>
          <w:tcPr>
            <w:tcW w:w="2165"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color w:val="auto"/>
                <w:kern w:val="0"/>
                <w:sz w:val="15"/>
                <w:szCs w:val="15"/>
              </w:rPr>
            </w:pPr>
            <w:r>
              <w:rPr>
                <w:rFonts w:hint="eastAsia" w:ascii="仿宋_GB2312" w:hAnsi="宋体" w:eastAsia="仿宋_GB2312" w:cs="宋体"/>
                <w:b/>
                <w:color w:val="auto"/>
                <w:kern w:val="0"/>
                <w:sz w:val="15"/>
                <w:szCs w:val="15"/>
              </w:rPr>
              <w:t>功能分类</w:t>
            </w:r>
          </w:p>
        </w:tc>
        <w:tc>
          <w:tcPr>
            <w:tcW w:w="2167"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color w:val="auto"/>
                <w:kern w:val="0"/>
                <w:sz w:val="15"/>
                <w:szCs w:val="15"/>
              </w:rPr>
            </w:pPr>
            <w:r>
              <w:rPr>
                <w:rFonts w:hint="eastAsia" w:ascii="仿宋_GB2312" w:hAnsi="宋体" w:eastAsia="仿宋_GB2312" w:cs="宋体"/>
                <w:b/>
                <w:color w:val="auto"/>
                <w:kern w:val="0"/>
                <w:sz w:val="15"/>
                <w:szCs w:val="15"/>
              </w:rPr>
              <w:t>预算数</w:t>
            </w: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财政拨款（补助）</w:t>
            </w:r>
          </w:p>
        </w:tc>
        <w:tc>
          <w:tcPr>
            <w:tcW w:w="2165" w:type="dxa"/>
            <w:tcBorders>
              <w:top w:val="nil"/>
              <w:left w:val="nil"/>
              <w:bottom w:val="single" w:color="auto" w:sz="4" w:space="0"/>
              <w:right w:val="single" w:color="auto" w:sz="4" w:space="0"/>
            </w:tcBorders>
            <w:noWrap w:val="0"/>
            <w:vAlign w:val="top"/>
          </w:tcPr>
          <w:p>
            <w:pPr>
              <w:keepNext w:val="0"/>
              <w:keepLines w:val="0"/>
              <w:widowControl/>
              <w:suppressLineNumbers w:val="0"/>
              <w:jc w:val="center"/>
              <w:textAlignment w:val="center"/>
              <w:rPr>
                <w:rFonts w:ascii="仿宋_GB2312" w:hAnsi="宋体" w:eastAsia="仿宋_GB2312" w:cs="宋体"/>
                <w:color w:val="auto"/>
                <w:kern w:val="0"/>
                <w:sz w:val="18"/>
                <w:szCs w:val="18"/>
              </w:rPr>
            </w:pPr>
            <w:r>
              <w:rPr>
                <w:rFonts w:hint="eastAsia" w:ascii="宋体" w:hAnsi="宋体" w:eastAsia="宋体" w:cs="宋体"/>
                <w:i w:val="0"/>
                <w:color w:val="000000"/>
                <w:kern w:val="0"/>
                <w:sz w:val="18"/>
                <w:szCs w:val="18"/>
                <w:u w:val="none"/>
                <w:lang w:val="en-US" w:eastAsia="zh-CN" w:bidi="ar"/>
              </w:rPr>
              <w:t>299.56</w:t>
            </w: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201 一般公共服务支出</w:t>
            </w:r>
          </w:p>
        </w:tc>
        <w:tc>
          <w:tcPr>
            <w:tcW w:w="2167"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auto"/>
                <w:kern w:val="0"/>
                <w:sz w:val="18"/>
                <w:szCs w:val="18"/>
              </w:rPr>
            </w:pPr>
            <w:r>
              <w:rPr>
                <w:rFonts w:hint="eastAsia" w:ascii="宋体" w:hAnsi="宋体" w:eastAsia="宋体" w:cs="宋体"/>
                <w:i w:val="0"/>
                <w:color w:val="000000"/>
                <w:kern w:val="0"/>
                <w:sz w:val="18"/>
                <w:szCs w:val="18"/>
                <w:u w:val="none"/>
                <w:lang w:val="en-US" w:eastAsia="zh-CN" w:bidi="ar"/>
              </w:rPr>
              <w:t>330.56</w:t>
            </w: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xml:space="preserve">    一般公共预算</w:t>
            </w:r>
          </w:p>
        </w:tc>
        <w:tc>
          <w:tcPr>
            <w:tcW w:w="2165" w:type="dxa"/>
            <w:tcBorders>
              <w:top w:val="nil"/>
              <w:left w:val="nil"/>
              <w:bottom w:val="single" w:color="auto" w:sz="4" w:space="0"/>
              <w:right w:val="single" w:color="auto" w:sz="4" w:space="0"/>
            </w:tcBorders>
            <w:noWrap w:val="0"/>
            <w:vAlign w:val="top"/>
          </w:tcPr>
          <w:p>
            <w:pPr>
              <w:keepNext w:val="0"/>
              <w:keepLines w:val="0"/>
              <w:widowControl/>
              <w:suppressLineNumbers w:val="0"/>
              <w:jc w:val="center"/>
              <w:textAlignment w:val="center"/>
              <w:rPr>
                <w:rFonts w:ascii="仿宋_GB2312" w:hAnsi="宋体" w:eastAsia="仿宋_GB2312" w:cs="宋体"/>
                <w:color w:val="auto"/>
                <w:kern w:val="0"/>
                <w:sz w:val="18"/>
                <w:szCs w:val="18"/>
              </w:rPr>
            </w:pPr>
            <w:r>
              <w:rPr>
                <w:rFonts w:hint="eastAsia" w:ascii="宋体" w:hAnsi="宋体" w:eastAsia="宋体" w:cs="宋体"/>
                <w:i w:val="0"/>
                <w:color w:val="000000"/>
                <w:kern w:val="0"/>
                <w:sz w:val="18"/>
                <w:szCs w:val="18"/>
                <w:u w:val="none"/>
                <w:lang w:val="en-US" w:eastAsia="zh-CN" w:bidi="ar"/>
              </w:rPr>
              <w:t>299.56</w:t>
            </w: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202 外交支出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xml:space="preserve">    政府性基金预算</w:t>
            </w:r>
          </w:p>
        </w:tc>
        <w:tc>
          <w:tcPr>
            <w:tcW w:w="2165" w:type="dxa"/>
            <w:tcBorders>
              <w:top w:val="nil"/>
              <w:left w:val="nil"/>
              <w:bottom w:val="single" w:color="auto" w:sz="4" w:space="0"/>
              <w:right w:val="single" w:color="auto" w:sz="4" w:space="0"/>
            </w:tcBorders>
            <w:noWrap w:val="0"/>
            <w:vAlign w:val="top"/>
          </w:tcPr>
          <w:p>
            <w:pPr>
              <w:jc w:val="center"/>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203 国防支出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2165" w:type="dxa"/>
            <w:tcBorders>
              <w:top w:val="nil"/>
              <w:left w:val="nil"/>
              <w:bottom w:val="single" w:color="auto" w:sz="4" w:space="0"/>
              <w:right w:val="single" w:color="auto" w:sz="4" w:space="0"/>
            </w:tcBorders>
            <w:noWrap w:val="0"/>
            <w:vAlign w:val="top"/>
          </w:tcPr>
          <w:p>
            <w:pPr>
              <w:jc w:val="center"/>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204 公共安全支出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2165" w:type="dxa"/>
            <w:tcBorders>
              <w:top w:val="nil"/>
              <w:left w:val="nil"/>
              <w:bottom w:val="single" w:color="auto" w:sz="4" w:space="0"/>
              <w:right w:val="single" w:color="auto" w:sz="4" w:space="0"/>
            </w:tcBorders>
            <w:noWrap w:val="0"/>
            <w:vAlign w:val="top"/>
          </w:tcPr>
          <w:p>
            <w:pPr>
              <w:jc w:val="center"/>
              <w:rPr>
                <w:rFonts w:hint="default" w:ascii="仿宋_GB2312" w:hAnsi="宋体" w:eastAsia="仿宋_GB2312" w:cs="宋体"/>
                <w:color w:val="auto"/>
                <w:kern w:val="0"/>
                <w:sz w:val="18"/>
                <w:szCs w:val="18"/>
                <w:lang w:val="en-US" w:eastAsia="zh-CN"/>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205 教育支出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2165" w:type="dxa"/>
            <w:tcBorders>
              <w:top w:val="nil"/>
              <w:left w:val="nil"/>
              <w:bottom w:val="single" w:color="auto" w:sz="4" w:space="0"/>
              <w:right w:val="single" w:color="auto" w:sz="4" w:space="0"/>
            </w:tcBorders>
            <w:noWrap w:val="0"/>
            <w:vAlign w:val="top"/>
          </w:tcPr>
          <w:p>
            <w:pPr>
              <w:keepNext w:val="0"/>
              <w:keepLines w:val="0"/>
              <w:widowControl/>
              <w:suppressLineNumbers w:val="0"/>
              <w:jc w:val="center"/>
              <w:textAlignment w:val="center"/>
              <w:rPr>
                <w:rFonts w:ascii="仿宋_GB2312" w:hAnsi="宋体" w:eastAsia="仿宋_GB2312" w:cs="宋体"/>
                <w:color w:val="auto"/>
                <w:kern w:val="0"/>
                <w:sz w:val="18"/>
                <w:szCs w:val="18"/>
              </w:rPr>
            </w:pPr>
            <w:r>
              <w:rPr>
                <w:rFonts w:hint="eastAsia" w:ascii="宋体" w:hAnsi="宋体" w:eastAsia="宋体" w:cs="宋体"/>
                <w:i w:val="0"/>
                <w:color w:val="000000"/>
                <w:kern w:val="0"/>
                <w:sz w:val="18"/>
                <w:szCs w:val="18"/>
                <w:u w:val="none"/>
                <w:lang w:val="en-US" w:eastAsia="zh-CN" w:bidi="ar"/>
              </w:rPr>
              <w:t>10.00</w:t>
            </w: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206 科学技术支出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2165" w:type="dxa"/>
            <w:tcBorders>
              <w:top w:val="nil"/>
              <w:left w:val="nil"/>
              <w:bottom w:val="single" w:color="auto" w:sz="4" w:space="0"/>
              <w:right w:val="single" w:color="auto" w:sz="4" w:space="0"/>
            </w:tcBorders>
            <w:noWrap w:val="0"/>
            <w:vAlign w:val="top"/>
          </w:tcPr>
          <w:p>
            <w:pPr>
              <w:jc w:val="center"/>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207 文化旅游体育与传媒支出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单位其他资金收入</w:t>
            </w:r>
          </w:p>
        </w:tc>
        <w:tc>
          <w:tcPr>
            <w:tcW w:w="2165" w:type="dxa"/>
            <w:tcBorders>
              <w:top w:val="nil"/>
              <w:left w:val="nil"/>
              <w:bottom w:val="single" w:color="auto" w:sz="4" w:space="0"/>
              <w:right w:val="single" w:color="auto" w:sz="4" w:space="0"/>
            </w:tcBorders>
            <w:noWrap w:val="0"/>
            <w:vAlign w:val="top"/>
          </w:tcPr>
          <w:p>
            <w:pPr>
              <w:jc w:val="center"/>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208 社会保障和就业支出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2165" w:type="dxa"/>
            <w:tcBorders>
              <w:top w:val="nil"/>
              <w:left w:val="nil"/>
              <w:bottom w:val="single" w:color="auto" w:sz="4" w:space="0"/>
              <w:right w:val="single" w:color="auto" w:sz="4" w:space="0"/>
            </w:tcBorders>
            <w:noWrap w:val="0"/>
            <w:vAlign w:val="top"/>
          </w:tcPr>
          <w:p>
            <w:pPr>
              <w:keepNext w:val="0"/>
              <w:keepLines w:val="0"/>
              <w:widowControl/>
              <w:suppressLineNumbers w:val="0"/>
              <w:jc w:val="center"/>
              <w:textAlignment w:val="center"/>
              <w:rPr>
                <w:rFonts w:hint="default" w:ascii="仿宋_GB2312" w:hAnsi="宋体" w:eastAsia="仿宋_GB2312" w:cs="宋体"/>
                <w:color w:val="auto"/>
                <w:kern w:val="0"/>
                <w:sz w:val="18"/>
                <w:szCs w:val="18"/>
                <w:lang w:val="en-US" w:eastAsia="zh-CN"/>
              </w:rPr>
            </w:pPr>
            <w:r>
              <w:rPr>
                <w:rFonts w:hint="eastAsia" w:ascii="宋体" w:hAnsi="宋体" w:eastAsia="宋体" w:cs="宋体"/>
                <w:i w:val="0"/>
                <w:color w:val="000000"/>
                <w:kern w:val="0"/>
                <w:sz w:val="18"/>
                <w:szCs w:val="18"/>
                <w:u w:val="none"/>
                <w:lang w:val="en-US" w:eastAsia="zh-CN" w:bidi="ar"/>
              </w:rPr>
              <w:t>12.00</w:t>
            </w: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2165" w:type="dxa"/>
            <w:tcBorders>
              <w:top w:val="nil"/>
              <w:left w:val="nil"/>
              <w:bottom w:val="single" w:color="auto" w:sz="4" w:space="0"/>
              <w:right w:val="single" w:color="auto" w:sz="4" w:space="0"/>
            </w:tcBorders>
            <w:noWrap w:val="0"/>
            <w:vAlign w:val="top"/>
          </w:tcPr>
          <w:p>
            <w:pPr>
              <w:jc w:val="center"/>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210卫生健康支出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p>
        </w:tc>
        <w:tc>
          <w:tcPr>
            <w:tcW w:w="2165" w:type="dxa"/>
            <w:tcBorders>
              <w:top w:val="nil"/>
              <w:left w:val="nil"/>
              <w:bottom w:val="single" w:color="auto" w:sz="4" w:space="0"/>
              <w:right w:val="single" w:color="auto" w:sz="4" w:space="0"/>
            </w:tcBorders>
            <w:noWrap w:val="0"/>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211 节能环保支出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212 城乡社区支出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213 农林水支出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214 交通运输支出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215 资源勘探工业信息等支出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216 商业服务业等支出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217 金融支出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219 援助其他地区支出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220 自然资源海洋气象等支出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221 住房保障支出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223 国有资本经营预算支出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224灾害防治及应急管理支出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227 预备费</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229 其他支出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230转移性支出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231 债务还本支出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232 债务付息支出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　</w:t>
            </w:r>
          </w:p>
        </w:tc>
        <w:tc>
          <w:tcPr>
            <w:tcW w:w="2165" w:type="dxa"/>
            <w:tcBorders>
              <w:top w:val="nil"/>
              <w:left w:val="nil"/>
              <w:bottom w:val="single" w:color="auto" w:sz="4" w:space="0"/>
              <w:right w:val="single" w:color="auto" w:sz="4" w:space="0"/>
            </w:tcBorders>
            <w:noWrap/>
            <w:vAlign w:val="top"/>
          </w:tcPr>
          <w:p>
            <w:pPr>
              <w:jc w:val="left"/>
              <w:rPr>
                <w:rFonts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233 债务发行费用支出</w:t>
            </w:r>
          </w:p>
        </w:tc>
        <w:tc>
          <w:tcPr>
            <w:tcW w:w="2167" w:type="dxa"/>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single" w:color="auto" w:sz="4" w:space="0"/>
            </w:tcBorders>
            <w:noWrap/>
            <w:vAlign w:val="top"/>
          </w:tcPr>
          <w:p>
            <w:pPr>
              <w:widowControl/>
              <w:spacing w:line="300" w:lineRule="exact"/>
              <w:jc w:val="left"/>
              <w:rPr>
                <w:rFonts w:hint="eastAsia" w:ascii="仿宋_GB2312" w:hAnsi="宋体" w:eastAsia="仿宋_GB2312" w:cs="宋体"/>
                <w:color w:val="auto"/>
                <w:kern w:val="0"/>
                <w:sz w:val="18"/>
                <w:szCs w:val="18"/>
              </w:rPr>
            </w:pPr>
          </w:p>
        </w:tc>
        <w:tc>
          <w:tcPr>
            <w:tcW w:w="2165" w:type="dxa"/>
            <w:tcBorders>
              <w:top w:val="nil"/>
              <w:left w:val="nil"/>
              <w:bottom w:val="single" w:color="auto" w:sz="4" w:space="0"/>
              <w:right w:val="single" w:color="auto" w:sz="4" w:space="0"/>
            </w:tcBorders>
            <w:noWrap/>
            <w:vAlign w:val="top"/>
          </w:tcPr>
          <w:p>
            <w:pPr>
              <w:keepNext w:val="0"/>
              <w:keepLines w:val="0"/>
              <w:widowControl/>
              <w:suppressLineNumbers w:val="0"/>
              <w:jc w:val="left"/>
              <w:textAlignment w:val="center"/>
              <w:rPr>
                <w:rFonts w:hint="eastAsia" w:ascii="仿宋_GB2312" w:hAnsi="宋体" w:eastAsia="仿宋_GB2312" w:cs="宋体"/>
                <w:color w:val="auto"/>
                <w:kern w:val="0"/>
                <w:sz w:val="18"/>
                <w:szCs w:val="18"/>
              </w:rPr>
            </w:pPr>
          </w:p>
        </w:tc>
        <w:tc>
          <w:tcPr>
            <w:tcW w:w="2165" w:type="dxa"/>
            <w:gridSpan w:val="2"/>
            <w:tcBorders>
              <w:top w:val="nil"/>
              <w:left w:val="nil"/>
              <w:bottom w:val="single" w:color="auto" w:sz="4" w:space="0"/>
              <w:right w:val="nil"/>
            </w:tcBorders>
            <w:noWrap/>
            <w:vAlign w:val="center"/>
          </w:tcPr>
          <w:p>
            <w:pPr>
              <w:widowControl/>
              <w:spacing w:line="280" w:lineRule="exact"/>
              <w:jc w:val="left"/>
              <w:textAlignment w:val="center"/>
              <w:rPr>
                <w:rFonts w:hint="eastAsia" w:ascii="宋体" w:hAnsi="宋体" w:cs="宋体"/>
                <w:color w:val="000000"/>
                <w:kern w:val="2"/>
                <w:sz w:val="18"/>
                <w:szCs w:val="18"/>
                <w:lang w:val="en-US" w:eastAsia="zh-CN" w:bidi="ar-SA"/>
              </w:rPr>
            </w:pPr>
            <w:r>
              <w:rPr>
                <w:rFonts w:hint="eastAsia" w:ascii="仿宋_GB2312" w:hAnsi="宋体" w:eastAsia="仿宋_GB2312" w:cs="宋体"/>
                <w:color w:val="000000"/>
                <w:kern w:val="0"/>
                <w:sz w:val="18"/>
                <w:szCs w:val="18"/>
                <w:lang w:bidi="ar"/>
              </w:rPr>
              <w:t>234 抗疫特别国债还本支出</w:t>
            </w:r>
          </w:p>
        </w:tc>
        <w:tc>
          <w:tcPr>
            <w:tcW w:w="2167"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color w:val="auto"/>
                <w:kern w:val="0"/>
                <w:sz w:val="18"/>
                <w:szCs w:val="18"/>
              </w:rPr>
            </w:pPr>
          </w:p>
        </w:tc>
      </w:tr>
      <w:tr>
        <w:tblPrEx>
          <w:tblLayout w:type="fixed"/>
          <w:tblCellMar>
            <w:top w:w="0" w:type="dxa"/>
            <w:left w:w="108" w:type="dxa"/>
            <w:bottom w:w="0" w:type="dxa"/>
            <w:right w:w="108" w:type="dxa"/>
          </w:tblCellMar>
        </w:tblPrEx>
        <w:trPr>
          <w:trHeight w:val="306" w:hRule="exact"/>
        </w:trPr>
        <w:tc>
          <w:tcPr>
            <w:tcW w:w="2165" w:type="dxa"/>
            <w:tcBorders>
              <w:top w:val="nil"/>
              <w:left w:val="single" w:color="auto" w:sz="4" w:space="0"/>
              <w:bottom w:val="single" w:color="auto" w:sz="4" w:space="0"/>
              <w:right w:val="nil"/>
            </w:tcBorders>
            <w:noWrap w:val="0"/>
            <w:vAlign w:val="top"/>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收  入  总  计</w:t>
            </w:r>
          </w:p>
        </w:tc>
        <w:tc>
          <w:tcPr>
            <w:tcW w:w="2165" w:type="dxa"/>
            <w:tcBorders>
              <w:top w:val="nil"/>
              <w:left w:val="single" w:color="auto" w:sz="4" w:space="0"/>
              <w:bottom w:val="single" w:color="auto" w:sz="4" w:space="0"/>
              <w:right w:val="single" w:color="auto" w:sz="4" w:space="0"/>
            </w:tcBorders>
            <w:noWrap w:val="0"/>
            <w:vAlign w:val="top"/>
          </w:tcPr>
          <w:p>
            <w:pPr>
              <w:keepNext w:val="0"/>
              <w:keepLines w:val="0"/>
              <w:widowControl/>
              <w:suppressLineNumbers w:val="0"/>
              <w:jc w:val="center"/>
              <w:textAlignment w:val="center"/>
              <w:rPr>
                <w:rFonts w:hint="default" w:ascii="仿宋_GB2312" w:hAnsi="宋体" w:eastAsia="仿宋_GB2312" w:cs="宋体"/>
                <w:color w:val="auto"/>
                <w:kern w:val="0"/>
                <w:sz w:val="18"/>
                <w:szCs w:val="18"/>
                <w:lang w:val="en-US"/>
              </w:rPr>
            </w:pPr>
            <w:r>
              <w:rPr>
                <w:rFonts w:hint="eastAsia" w:ascii="宋体" w:hAnsi="宋体" w:cs="宋体"/>
                <w:i w:val="0"/>
                <w:color w:val="000000"/>
                <w:kern w:val="0"/>
                <w:sz w:val="18"/>
                <w:szCs w:val="18"/>
                <w:u w:val="none"/>
                <w:lang w:val="en-US" w:eastAsia="zh-CN" w:bidi="ar"/>
              </w:rPr>
              <w:t>321.56</w:t>
            </w:r>
          </w:p>
        </w:tc>
        <w:tc>
          <w:tcPr>
            <w:tcW w:w="2165" w:type="dxa"/>
            <w:gridSpan w:val="2"/>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  出  合  计</w:t>
            </w:r>
          </w:p>
        </w:tc>
        <w:tc>
          <w:tcPr>
            <w:tcW w:w="2167" w:type="dxa"/>
            <w:tcBorders>
              <w:top w:val="nil"/>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仿宋_GB2312" w:hAnsi="宋体" w:eastAsia="仿宋_GB2312" w:cs="宋体"/>
                <w:color w:val="auto"/>
                <w:kern w:val="0"/>
                <w:sz w:val="18"/>
                <w:szCs w:val="18"/>
              </w:rPr>
            </w:pPr>
            <w:r>
              <w:rPr>
                <w:rFonts w:hint="eastAsia" w:ascii="宋体" w:hAnsi="宋体" w:eastAsia="宋体" w:cs="宋体"/>
                <w:i w:val="0"/>
                <w:color w:val="000000"/>
                <w:kern w:val="0"/>
                <w:sz w:val="18"/>
                <w:szCs w:val="18"/>
                <w:u w:val="none"/>
                <w:lang w:val="en-US" w:eastAsia="zh-CN" w:bidi="ar"/>
              </w:rPr>
              <w:t>330.56</w:t>
            </w:r>
          </w:p>
        </w:tc>
      </w:tr>
    </w:tbl>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1"/>
        <w:rPr>
          <w:rFonts w:hint="eastAsia" w:ascii="仿宋_GB2312" w:hAnsi="宋体" w:eastAsia="仿宋_GB2312"/>
          <w:b/>
          <w:kern w:val="0"/>
          <w:sz w:val="32"/>
          <w:szCs w:val="32"/>
          <w:lang w:val="en-US" w:eastAsia="zh-CN"/>
        </w:rPr>
      </w:pPr>
      <w:r>
        <w:rPr>
          <w:rFonts w:hint="eastAsia" w:ascii="仿宋_GB2312" w:hAnsi="宋体" w:eastAsia="仿宋_GB2312"/>
          <w:b/>
          <w:kern w:val="0"/>
          <w:sz w:val="32"/>
          <w:szCs w:val="32"/>
        </w:rPr>
        <w:t>表二：</w:t>
      </w:r>
      <w:r>
        <w:rPr>
          <w:rFonts w:hint="eastAsia" w:ascii="仿宋_GB2312" w:hAnsi="宋体" w:eastAsia="仿宋_GB2312"/>
          <w:b/>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ascii="仿宋_GB2312" w:hAnsi="宋体" w:eastAsia="仿宋_GB2312" w:cs="宋体"/>
          <w:kern w:val="0"/>
          <w:sz w:val="24"/>
          <w:szCs w:val="24"/>
        </w:rPr>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w:t>
      </w:r>
      <w:r>
        <w:rPr>
          <w:rFonts w:hint="eastAsia" w:ascii="仿宋_GB2312" w:hAnsi="宋体" w:eastAsia="仿宋_GB2312" w:cs="宋体"/>
          <w:kern w:val="0"/>
          <w:sz w:val="24"/>
          <w:szCs w:val="24"/>
          <w:lang w:val="en-US" w:eastAsia="zh-CN"/>
        </w:rPr>
        <w:t xml:space="preserve">             </w:t>
      </w:r>
      <w:r>
        <w:rPr>
          <w:rFonts w:hint="eastAsia" w:ascii="仿宋_GB2312" w:hAnsi="宋体" w:eastAsia="仿宋_GB2312" w:cs="宋体"/>
          <w:kern w:val="0"/>
          <w:sz w:val="24"/>
          <w:szCs w:val="24"/>
        </w:rPr>
        <w:t xml:space="preserve">  单位：万元</w:t>
      </w:r>
    </w:p>
    <w:tbl>
      <w:tblPr>
        <w:tblStyle w:val="8"/>
        <w:tblW w:w="10286" w:type="dxa"/>
        <w:tblInd w:w="-448" w:type="dxa"/>
        <w:tblLayout w:type="fixed"/>
        <w:tblCellMar>
          <w:top w:w="0" w:type="dxa"/>
          <w:left w:w="108" w:type="dxa"/>
          <w:bottom w:w="0" w:type="dxa"/>
          <w:right w:w="108" w:type="dxa"/>
        </w:tblCellMar>
      </w:tblPr>
      <w:tblGrid>
        <w:gridCol w:w="567"/>
        <w:gridCol w:w="396"/>
        <w:gridCol w:w="438"/>
        <w:gridCol w:w="2006"/>
        <w:gridCol w:w="12"/>
        <w:gridCol w:w="727"/>
        <w:gridCol w:w="703"/>
        <w:gridCol w:w="357"/>
        <w:gridCol w:w="440"/>
        <w:gridCol w:w="589"/>
        <w:gridCol w:w="387"/>
        <w:gridCol w:w="12"/>
        <w:gridCol w:w="845"/>
        <w:gridCol w:w="12"/>
        <w:gridCol w:w="448"/>
        <w:gridCol w:w="12"/>
        <w:gridCol w:w="628"/>
        <w:gridCol w:w="25"/>
        <w:gridCol w:w="291"/>
        <w:gridCol w:w="25"/>
        <w:gridCol w:w="591"/>
        <w:gridCol w:w="25"/>
        <w:gridCol w:w="725"/>
        <w:gridCol w:w="25"/>
      </w:tblGrid>
      <w:tr>
        <w:tblPrEx>
          <w:tblLayout w:type="fixed"/>
          <w:tblCellMar>
            <w:top w:w="0" w:type="dxa"/>
            <w:left w:w="108" w:type="dxa"/>
            <w:bottom w:w="0" w:type="dxa"/>
            <w:right w:w="108" w:type="dxa"/>
          </w:tblCellMar>
        </w:tblPrEx>
        <w:trPr>
          <w:gridAfter w:val="1"/>
          <w:wAfter w:w="25" w:type="dxa"/>
          <w:cantSplit/>
          <w:trHeight w:val="4359" w:hRule="atLeast"/>
        </w:trPr>
        <w:tc>
          <w:tcPr>
            <w:tcW w:w="1401"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200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73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p>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p>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highlight w:val="none"/>
              </w:rPr>
            </w:pPr>
          </w:p>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b/>
                <w:color w:val="000000"/>
                <w:sz w:val="18"/>
                <w:szCs w:val="18"/>
              </w:rPr>
            </w:pPr>
            <w:r>
              <w:rPr>
                <w:rFonts w:hint="eastAsia" w:ascii="仿宋_GB2312" w:eastAsia="仿宋_GB2312"/>
                <w:b/>
                <w:color w:val="000000"/>
                <w:sz w:val="18"/>
                <w:szCs w:val="18"/>
                <w:highlight w:val="none"/>
              </w:rPr>
              <w:t>国有资本</w:t>
            </w:r>
            <w:r>
              <w:rPr>
                <w:rFonts w:ascii="仿宋_GB2312" w:eastAsia="仿宋_GB2312"/>
                <w:b/>
                <w:color w:val="000000"/>
                <w:sz w:val="18"/>
                <w:szCs w:val="18"/>
                <w:highlight w:val="none"/>
              </w:rPr>
              <w:t>经营预算</w:t>
            </w:r>
          </w:p>
        </w:tc>
        <w:tc>
          <w:tcPr>
            <w:tcW w:w="38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上</w:t>
            </w:r>
          </w:p>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级</w:t>
            </w:r>
          </w:p>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b/>
                <w:color w:val="000000"/>
                <w:sz w:val="18"/>
                <w:szCs w:val="18"/>
              </w:rPr>
            </w:pPr>
            <w:r>
              <w:rPr>
                <w:rFonts w:hint="eastAsia" w:ascii="仿宋_GB2312" w:eastAsia="仿宋_GB2312"/>
                <w:b/>
                <w:color w:val="000000"/>
                <w:sz w:val="18"/>
                <w:szCs w:val="18"/>
              </w:rPr>
              <w:t>补</w:t>
            </w:r>
          </w:p>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助</w:t>
            </w:r>
          </w:p>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收</w:t>
            </w:r>
          </w:p>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入</w:t>
            </w: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4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上级专项收入</w:t>
            </w: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用事业基金弥补收支差额</w:t>
            </w: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b/>
                <w:color w:val="000000"/>
                <w:sz w:val="18"/>
                <w:szCs w:val="18"/>
              </w:rPr>
            </w:pPr>
            <w:r>
              <w:rPr>
                <w:rFonts w:hint="eastAsia" w:ascii="仿宋_GB2312" w:eastAsia="仿宋_GB2312"/>
                <w:b/>
                <w:color w:val="000000"/>
                <w:sz w:val="18"/>
                <w:szCs w:val="18"/>
              </w:rPr>
              <w:t>单位上年结余（不包含国库集中支付额度</w:t>
            </w: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201</w:t>
            </w: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一般公共服务支出</w:t>
            </w: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330.56</w:t>
            </w: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299.56</w:t>
            </w: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r>
              <w:rPr>
                <w:rFonts w:hint="eastAsia" w:ascii="宋体" w:hAnsi="宋体" w:eastAsia="宋体" w:cs="宋体"/>
                <w:i w:val="0"/>
                <w:color w:val="000000"/>
                <w:kern w:val="0"/>
                <w:sz w:val="16"/>
                <w:szCs w:val="16"/>
                <w:u w:val="none"/>
                <w:lang w:val="en-US" w:eastAsia="zh-CN" w:bidi="ar"/>
              </w:rPr>
              <w:t>10.00</w:t>
            </w: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12.00</w:t>
            </w: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仿宋_GB2312" w:eastAsia="仿宋_GB2312"/>
                <w:color w:val="000000"/>
                <w:sz w:val="16"/>
                <w:szCs w:val="16"/>
                <w:lang w:val="en-US" w:eastAsia="zh-CN"/>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_GB2312" w:eastAsia="仿宋_GB2312"/>
                <w:color w:val="000000"/>
                <w:sz w:val="16"/>
                <w:szCs w:val="16"/>
                <w:lang w:val="en-US" w:eastAsia="zh-CN"/>
              </w:rPr>
              <w:t>9.00</w:t>
            </w: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201</w:t>
            </w: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03</w:t>
            </w: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20" w:firstLineChars="200"/>
              <w:jc w:val="both"/>
              <w:textAlignment w:val="center"/>
              <w:rPr>
                <w:rFonts w:hint="default" w:ascii="仿宋_GB2312" w:hAnsi="宋体" w:eastAsia="仿宋_GB2312" w:cs="宋体"/>
                <w:color w:val="000000"/>
                <w:sz w:val="16"/>
                <w:szCs w:val="16"/>
                <w:lang w:val="en-US" w:eastAsia="zh-CN"/>
              </w:rPr>
            </w:pPr>
            <w:r>
              <w:rPr>
                <w:rFonts w:hint="eastAsia" w:ascii="仿宋_GB2312" w:hAnsi="宋体" w:eastAsia="仿宋_GB2312" w:cs="宋体"/>
                <w:color w:val="000000"/>
                <w:sz w:val="16"/>
                <w:szCs w:val="16"/>
                <w:lang w:val="en-US" w:eastAsia="zh-CN"/>
              </w:rPr>
              <w:t>政府办公厅（室）及相关机构事务</w:t>
            </w: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330.56</w:t>
            </w: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299.56</w:t>
            </w: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r>
              <w:rPr>
                <w:rFonts w:hint="eastAsia" w:ascii="宋体" w:hAnsi="宋体" w:eastAsia="宋体" w:cs="宋体"/>
                <w:i w:val="0"/>
                <w:color w:val="000000"/>
                <w:kern w:val="0"/>
                <w:sz w:val="16"/>
                <w:szCs w:val="16"/>
                <w:u w:val="none"/>
                <w:lang w:val="en-US" w:eastAsia="zh-CN" w:bidi="ar"/>
              </w:rPr>
              <w:t>10.00</w:t>
            </w: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12.00</w:t>
            </w: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_GB2312" w:eastAsia="仿宋_GB2312"/>
                <w:color w:val="000000"/>
                <w:sz w:val="16"/>
                <w:szCs w:val="16"/>
                <w:lang w:val="en-US" w:eastAsia="zh-CN"/>
              </w:rPr>
              <w:t>9.00</w:t>
            </w: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eastAsia="仿宋_GB2312"/>
                <w:color w:val="000000"/>
                <w:sz w:val="16"/>
                <w:szCs w:val="16"/>
                <w:lang w:val="en-US" w:eastAsia="zh-CN"/>
              </w:rPr>
            </w:pPr>
            <w:r>
              <w:rPr>
                <w:rFonts w:hint="eastAsia" w:ascii="宋体" w:hAnsi="宋体" w:eastAsia="宋体" w:cs="宋体"/>
                <w:i w:val="0"/>
                <w:color w:val="000000"/>
                <w:kern w:val="0"/>
                <w:sz w:val="16"/>
                <w:szCs w:val="16"/>
                <w:u w:val="none"/>
                <w:lang w:val="en-US" w:eastAsia="zh-CN" w:bidi="ar"/>
              </w:rPr>
              <w:t>201</w:t>
            </w: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03</w:t>
            </w: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01</w:t>
            </w: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400"/>
              <w:jc w:val="both"/>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行政运行</w:t>
            </w: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color w:val="000000"/>
                <w:kern w:val="0"/>
                <w:sz w:val="16"/>
                <w:szCs w:val="16"/>
                <w:u w:val="none"/>
                <w:lang w:val="en-US" w:eastAsia="zh-CN" w:bidi="ar"/>
              </w:rPr>
            </w:pPr>
            <w:r>
              <w:rPr>
                <w:rFonts w:hint="eastAsia" w:ascii="宋体" w:hAnsi="宋体" w:cs="宋体"/>
                <w:i w:val="0"/>
                <w:color w:val="000000"/>
                <w:kern w:val="0"/>
                <w:sz w:val="16"/>
                <w:szCs w:val="16"/>
                <w:u w:val="none"/>
                <w:lang w:val="en-US" w:eastAsia="zh-CN" w:bidi="ar"/>
              </w:rPr>
              <w:t>311.56</w:t>
            </w: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color w:val="000000"/>
                <w:kern w:val="0"/>
                <w:sz w:val="16"/>
                <w:szCs w:val="16"/>
                <w:u w:val="none"/>
                <w:lang w:val="en-US" w:eastAsia="zh-CN" w:bidi="ar"/>
              </w:rPr>
            </w:pPr>
            <w:r>
              <w:rPr>
                <w:rFonts w:hint="eastAsia" w:ascii="宋体" w:hAnsi="宋体" w:cs="宋体"/>
                <w:i w:val="0"/>
                <w:color w:val="000000"/>
                <w:kern w:val="0"/>
                <w:sz w:val="16"/>
                <w:szCs w:val="16"/>
                <w:u w:val="none"/>
                <w:lang w:val="en-US" w:eastAsia="zh-CN" w:bidi="ar"/>
              </w:rPr>
              <w:t>292.56</w:t>
            </w: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kern w:val="0"/>
                <w:sz w:val="16"/>
                <w:szCs w:val="16"/>
                <w:u w:val="none"/>
                <w:lang w:val="en-US" w:eastAsia="zh-CN" w:bidi="ar"/>
              </w:rPr>
            </w:pP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hint="eastAsia" w:ascii="仿宋_GB2312" w:eastAsia="仿宋_GB2312"/>
                <w:color w:val="000000"/>
                <w:sz w:val="16"/>
                <w:szCs w:val="16"/>
                <w:lang w:val="en-US" w:eastAsia="zh-CN"/>
              </w:rPr>
            </w:pPr>
            <w:r>
              <w:rPr>
                <w:rFonts w:hint="eastAsia" w:ascii="仿宋_GB2312" w:eastAsia="仿宋_GB2312"/>
                <w:color w:val="000000"/>
                <w:sz w:val="16"/>
                <w:szCs w:val="16"/>
                <w:lang w:val="en-US" w:eastAsia="zh-CN"/>
              </w:rPr>
              <w:t>201</w:t>
            </w:r>
            <w:r>
              <w:rPr>
                <w:rFonts w:hint="eastAsia" w:ascii="仿宋_GB2312" w:eastAsia="仿宋_GB2312"/>
                <w:color w:val="000000"/>
                <w:sz w:val="16"/>
                <w:szCs w:val="16"/>
              </w:rPr>
              <w:t>　</w:t>
            </w: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03</w:t>
            </w: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99</w:t>
            </w: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400"/>
              <w:jc w:val="both"/>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其他政府办公厅（室）及相关机构事务支出</w:t>
            </w: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19.00</w:t>
            </w: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7.00</w:t>
            </w: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12.00</w:t>
            </w: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20" w:firstLineChars="200"/>
              <w:jc w:val="both"/>
              <w:textAlignment w:val="center"/>
              <w:rPr>
                <w:rFonts w:ascii="仿宋_GB2312" w:hAnsi="宋体" w:eastAsia="仿宋_GB2312" w:cs="宋体"/>
                <w:color w:val="000000"/>
                <w:sz w:val="16"/>
                <w:szCs w:val="16"/>
              </w:rPr>
            </w:pP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20" w:firstLineChars="200"/>
              <w:jc w:val="both"/>
              <w:textAlignment w:val="center"/>
              <w:rPr>
                <w:rFonts w:ascii="仿宋_GB2312" w:hAnsi="宋体" w:eastAsia="仿宋_GB2312" w:cs="宋体"/>
                <w:color w:val="000000"/>
                <w:sz w:val="16"/>
                <w:szCs w:val="16"/>
              </w:rPr>
            </w:pP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color w:val="000000"/>
                <w:sz w:val="16"/>
                <w:szCs w:val="16"/>
              </w:rPr>
            </w:pP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20" w:firstLineChars="200"/>
              <w:jc w:val="both"/>
              <w:textAlignment w:val="center"/>
              <w:rPr>
                <w:rFonts w:ascii="仿宋_GB2312" w:hAnsi="宋体" w:eastAsia="仿宋_GB2312" w:cs="宋体"/>
                <w:color w:val="000000"/>
                <w:sz w:val="16"/>
                <w:szCs w:val="16"/>
              </w:rPr>
            </w:pP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r>
      <w:tr>
        <w:tblPrEx>
          <w:tblLayout w:type="fixed"/>
          <w:tblCellMar>
            <w:top w:w="0" w:type="dxa"/>
            <w:left w:w="108" w:type="dxa"/>
            <w:bottom w:w="0" w:type="dxa"/>
            <w:right w:w="108" w:type="dxa"/>
          </w:tblCellMar>
        </w:tblPrEx>
        <w:trPr>
          <w:trHeight w:val="567" w:hRule="atLeast"/>
        </w:trPr>
        <w:tc>
          <w:tcPr>
            <w:tcW w:w="567"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r>
              <w:rPr>
                <w:rFonts w:hint="eastAsia" w:ascii="仿宋_GB2312" w:eastAsia="仿宋_GB2312"/>
                <w:color w:val="000000"/>
                <w:sz w:val="16"/>
                <w:szCs w:val="16"/>
              </w:rPr>
              <w:t>　</w:t>
            </w:r>
          </w:p>
        </w:tc>
        <w:tc>
          <w:tcPr>
            <w:tcW w:w="396"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r>
              <w:rPr>
                <w:rFonts w:hint="eastAsia" w:ascii="仿宋_GB2312" w:eastAsia="仿宋_GB2312"/>
                <w:color w:val="000000"/>
                <w:sz w:val="16"/>
                <w:szCs w:val="16"/>
              </w:rPr>
              <w:t>　</w:t>
            </w:r>
          </w:p>
        </w:tc>
        <w:tc>
          <w:tcPr>
            <w:tcW w:w="438"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r>
              <w:rPr>
                <w:rFonts w:hint="eastAsia" w:ascii="仿宋_GB2312" w:eastAsia="仿宋_GB2312"/>
                <w:color w:val="000000"/>
                <w:sz w:val="16"/>
                <w:szCs w:val="16"/>
              </w:rPr>
              <w:t>　</w:t>
            </w:r>
          </w:p>
        </w:tc>
        <w:tc>
          <w:tcPr>
            <w:tcW w:w="2018" w:type="dxa"/>
            <w:gridSpan w:val="2"/>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kinsoku/>
              <w:wordWrap/>
              <w:overflowPunct/>
              <w:topLinePunct w:val="0"/>
              <w:autoSpaceDE/>
              <w:autoSpaceDN/>
              <w:bidi w:val="0"/>
              <w:adjustRightInd/>
              <w:snapToGrid/>
              <w:spacing w:line="400" w:lineRule="exact"/>
              <w:jc w:val="left"/>
              <w:rPr>
                <w:rFonts w:ascii="仿宋_GB2312" w:hAnsi="宋体" w:eastAsia="仿宋_GB2312" w:cs="宋体"/>
                <w:color w:val="000000"/>
                <w:sz w:val="16"/>
                <w:szCs w:val="16"/>
              </w:rPr>
            </w:pPr>
            <w:r>
              <w:rPr>
                <w:rFonts w:hint="eastAsia" w:ascii="仿宋_GB2312" w:eastAsia="仿宋_GB2312"/>
                <w:b/>
                <w:bCs/>
                <w:color w:val="000000"/>
                <w:sz w:val="16"/>
                <w:szCs w:val="16"/>
              </w:rPr>
              <w:t>合  计</w:t>
            </w:r>
            <w:r>
              <w:rPr>
                <w:rFonts w:hint="eastAsia" w:ascii="仿宋_GB2312" w:eastAsia="仿宋_GB2312"/>
                <w:color w:val="000000"/>
                <w:sz w:val="16"/>
                <w:szCs w:val="16"/>
              </w:rPr>
              <w:t>　</w:t>
            </w:r>
          </w:p>
        </w:tc>
        <w:tc>
          <w:tcPr>
            <w:tcW w:w="72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330.56</w:t>
            </w:r>
          </w:p>
        </w:tc>
        <w:tc>
          <w:tcPr>
            <w:tcW w:w="703"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299.56</w:t>
            </w:r>
          </w:p>
        </w:tc>
        <w:tc>
          <w:tcPr>
            <w:tcW w:w="35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4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5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eastAsia="仿宋_GB2312"/>
                <w:color w:val="000000"/>
                <w:sz w:val="16"/>
                <w:szCs w:val="16"/>
              </w:rPr>
            </w:pPr>
          </w:p>
        </w:tc>
        <w:tc>
          <w:tcPr>
            <w:tcW w:w="39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p>
        </w:tc>
        <w:tc>
          <w:tcPr>
            <w:tcW w:w="8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r>
              <w:rPr>
                <w:rFonts w:hint="eastAsia" w:ascii="宋体" w:hAnsi="宋体" w:eastAsia="宋体" w:cs="宋体"/>
                <w:i w:val="0"/>
                <w:color w:val="000000"/>
                <w:kern w:val="0"/>
                <w:sz w:val="16"/>
                <w:szCs w:val="16"/>
                <w:u w:val="none"/>
                <w:lang w:val="en-US" w:eastAsia="zh-CN" w:bidi="ar"/>
              </w:rPr>
              <w:t>10.00</w:t>
            </w:r>
          </w:p>
        </w:tc>
        <w:tc>
          <w:tcPr>
            <w:tcW w:w="46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hAnsi="宋体" w:eastAsia="仿宋_GB2312" w:cs="宋体"/>
                <w:color w:val="000000"/>
                <w:sz w:val="16"/>
                <w:szCs w:val="16"/>
              </w:rPr>
            </w:pPr>
          </w:p>
        </w:tc>
        <w:tc>
          <w:tcPr>
            <w:tcW w:w="65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hAnsi="宋体" w:eastAsia="仿宋_GB2312" w:cs="宋体"/>
                <w:color w:val="000000"/>
                <w:sz w:val="16"/>
                <w:szCs w:val="16"/>
              </w:rPr>
            </w:pPr>
            <w:r>
              <w:rPr>
                <w:rFonts w:hint="eastAsia" w:ascii="宋体" w:hAnsi="宋体" w:eastAsia="宋体" w:cs="宋体"/>
                <w:i w:val="0"/>
                <w:color w:val="000000"/>
                <w:kern w:val="0"/>
                <w:sz w:val="16"/>
                <w:szCs w:val="16"/>
                <w:u w:val="none"/>
                <w:lang w:val="en-US" w:eastAsia="zh-CN" w:bidi="ar"/>
              </w:rPr>
              <w:t>12.00</w:t>
            </w:r>
          </w:p>
        </w:tc>
        <w:tc>
          <w:tcPr>
            <w:tcW w:w="3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400" w:lineRule="exact"/>
              <w:jc w:val="center"/>
              <w:rPr>
                <w:rFonts w:ascii="仿宋_GB2312" w:eastAsia="仿宋_GB2312"/>
                <w:color w:val="000000"/>
                <w:sz w:val="16"/>
                <w:szCs w:val="16"/>
              </w:rPr>
            </w:pPr>
          </w:p>
        </w:tc>
        <w:tc>
          <w:tcPr>
            <w:tcW w:w="616"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p>
        </w:tc>
        <w:tc>
          <w:tcPr>
            <w:tcW w:w="7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_GB2312" w:eastAsia="仿宋_GB2312"/>
                <w:color w:val="000000"/>
                <w:sz w:val="16"/>
                <w:szCs w:val="16"/>
                <w:lang w:val="en-US" w:eastAsia="zh-CN"/>
              </w:rPr>
              <w:t>9.00</w:t>
            </w:r>
          </w:p>
        </w:tc>
      </w:tr>
    </w:tbl>
    <w:p>
      <w:pPr>
        <w:widowControl/>
        <w:outlineLvl w:val="1"/>
        <w:rPr>
          <w:rFonts w:ascii="仿宋_GB2312" w:hAnsi="宋体" w:eastAsia="仿宋_GB2312"/>
          <w:b/>
          <w:kern w:val="0"/>
          <w:sz w:val="28"/>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宋体" w:eastAsia="仿宋_GB2312"/>
          <w:b/>
          <w:kern w:val="0"/>
          <w:sz w:val="32"/>
          <w:szCs w:val="32"/>
          <w:lang w:val="en-US" w:eastAsia="zh-CN"/>
        </w:rPr>
      </w:pPr>
      <w:r>
        <w:rPr>
          <w:rFonts w:hint="eastAsia" w:ascii="仿宋_GB2312" w:hAnsi="宋体" w:eastAsia="仿宋_GB2312"/>
          <w:b/>
          <w:kern w:val="0"/>
          <w:sz w:val="32"/>
          <w:szCs w:val="32"/>
        </w:rPr>
        <w:t>部门（单位）支出总体情况表</w:t>
      </w:r>
      <w:r>
        <w:rPr>
          <w:rFonts w:hint="eastAsia" w:ascii="仿宋_GB2312" w:hAnsi="宋体" w:eastAsia="仿宋_GB2312"/>
          <w:b/>
          <w:kern w:val="0"/>
          <w:sz w:val="32"/>
          <w:szCs w:val="32"/>
          <w:lang w:val="en-US" w:eastAsia="zh-CN"/>
        </w:rPr>
        <w:t xml:space="preserve"> </w:t>
      </w:r>
    </w:p>
    <w:p>
      <w:pPr>
        <w:widowControl/>
        <w:spacing w:before="100" w:beforeAutospacing="1" w:after="100" w:afterAutospacing="1" w:line="280" w:lineRule="exact"/>
        <w:jc w:val="left"/>
        <w:outlineLvl w:val="1"/>
        <w:rPr>
          <w:rFonts w:ascii="仿宋_GB2312" w:hAnsi="宋体" w:eastAsia="仿宋_GB2312"/>
          <w:b/>
          <w:bCs/>
          <w:kern w:val="0"/>
          <w:sz w:val="24"/>
        </w:rPr>
      </w:pPr>
      <w:r>
        <w:rPr>
          <w:rFonts w:hint="eastAsia" w:ascii="仿宋_GB2312" w:hAnsi="宋体" w:eastAsia="仿宋_GB2312" w:cs="宋体"/>
          <w:b/>
          <w:bCs/>
          <w:kern w:val="0"/>
          <w:sz w:val="24"/>
          <w:szCs w:val="24"/>
        </w:rPr>
        <w:t>编制部门（单位）：</w:t>
      </w:r>
      <w:r>
        <w:rPr>
          <w:rFonts w:hint="eastAsia" w:ascii="仿宋_GB2312" w:hAnsi="宋体" w:eastAsia="仿宋_GB2312" w:cs="宋体"/>
          <w:b/>
          <w:bCs/>
          <w:kern w:val="0"/>
          <w:sz w:val="24"/>
          <w:szCs w:val="24"/>
          <w:lang w:eastAsia="zh-CN"/>
        </w:rPr>
        <w:t>克孜勒苏柯尔克孜自治州外事办公室</w:t>
      </w:r>
      <w:r>
        <w:rPr>
          <w:rFonts w:hint="eastAsia" w:ascii="仿宋_GB2312" w:hAnsi="宋体" w:eastAsia="仿宋_GB2312" w:cs="宋体"/>
          <w:b/>
          <w:bCs/>
          <w:kern w:val="0"/>
          <w:sz w:val="24"/>
          <w:szCs w:val="24"/>
        </w:rPr>
        <w:t xml:space="preserve">  </w:t>
      </w:r>
      <w:r>
        <w:rPr>
          <w:rFonts w:hint="eastAsia" w:ascii="仿宋_GB2312" w:hAnsi="宋体" w:eastAsia="仿宋_GB2312" w:cs="宋体"/>
          <w:b/>
          <w:bCs/>
          <w:kern w:val="0"/>
          <w:sz w:val="24"/>
          <w:szCs w:val="24"/>
          <w:lang w:val="en-US" w:eastAsia="zh-CN"/>
        </w:rPr>
        <w:t xml:space="preserve">       </w:t>
      </w:r>
      <w:r>
        <w:rPr>
          <w:rFonts w:hint="eastAsia" w:ascii="仿宋_GB2312" w:hAnsi="宋体" w:eastAsia="仿宋_GB2312" w:cs="宋体"/>
          <w:b/>
          <w:bCs/>
          <w:kern w:val="0"/>
          <w:sz w:val="24"/>
          <w:szCs w:val="24"/>
        </w:rPr>
        <w:t xml:space="preserve">   单位：万元</w:t>
      </w:r>
      <w:r>
        <w:rPr>
          <w:rFonts w:hint="eastAsia" w:ascii="仿宋_GB2312" w:hAnsi="宋体" w:eastAsia="仿宋_GB2312"/>
          <w:b/>
          <w:bCs/>
          <w:kern w:val="0"/>
          <w:sz w:val="24"/>
        </w:rPr>
        <w:t xml:space="preserve">                                  </w:t>
      </w:r>
    </w:p>
    <w:tbl>
      <w:tblPr>
        <w:tblStyle w:val="8"/>
        <w:tblW w:w="9420" w:type="dxa"/>
        <w:tblInd w:w="-238" w:type="dxa"/>
        <w:tblLayout w:type="fixed"/>
        <w:tblCellMar>
          <w:top w:w="0" w:type="dxa"/>
          <w:left w:w="108" w:type="dxa"/>
          <w:bottom w:w="0" w:type="dxa"/>
          <w:right w:w="108" w:type="dxa"/>
        </w:tblCellMar>
      </w:tblPr>
      <w:tblGrid>
        <w:gridCol w:w="509"/>
        <w:gridCol w:w="469"/>
        <w:gridCol w:w="461"/>
        <w:gridCol w:w="2714"/>
        <w:gridCol w:w="1507"/>
        <w:gridCol w:w="1856"/>
        <w:gridCol w:w="1904"/>
      </w:tblGrid>
      <w:tr>
        <w:tblPrEx>
          <w:tblLayout w:type="fixed"/>
          <w:tblCellMar>
            <w:top w:w="0" w:type="dxa"/>
            <w:left w:w="108" w:type="dxa"/>
            <w:bottom w:w="0" w:type="dxa"/>
            <w:right w:w="108" w:type="dxa"/>
          </w:tblCellMar>
        </w:tblPrEx>
        <w:trPr>
          <w:trHeight w:val="567" w:hRule="atLeast"/>
        </w:trPr>
        <w:tc>
          <w:tcPr>
            <w:tcW w:w="415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26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567" w:hRule="atLeast"/>
        </w:trPr>
        <w:tc>
          <w:tcPr>
            <w:tcW w:w="143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71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50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71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0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b w:val="0"/>
                <w:bCs w:val="0"/>
                <w:color w:val="000000"/>
                <w:sz w:val="15"/>
                <w:szCs w:val="15"/>
              </w:rPr>
            </w:pPr>
            <w:r>
              <w:rPr>
                <w:rFonts w:hint="eastAsia" w:ascii="宋体" w:hAnsi="宋体" w:eastAsia="宋体" w:cs="宋体"/>
                <w:b w:val="0"/>
                <w:bCs w:val="0"/>
                <w:i w:val="0"/>
                <w:color w:val="000000"/>
                <w:kern w:val="0"/>
                <w:sz w:val="15"/>
                <w:szCs w:val="15"/>
                <w:u w:val="none"/>
                <w:lang w:val="en-US" w:eastAsia="zh-CN" w:bidi="ar"/>
              </w:rPr>
              <w:t>201</w:t>
            </w:r>
          </w:p>
        </w:tc>
        <w:tc>
          <w:tcPr>
            <w:tcW w:w="469"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b w:val="0"/>
                <w:bCs w:val="0"/>
                <w:color w:val="000000"/>
                <w:sz w:val="15"/>
                <w:szCs w:val="15"/>
              </w:rPr>
            </w:pPr>
          </w:p>
        </w:tc>
        <w:tc>
          <w:tcPr>
            <w:tcW w:w="461"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hAnsi="宋体" w:eastAsia="仿宋_GB2312" w:cs="宋体"/>
                <w:b w:val="0"/>
                <w:bCs w:val="0"/>
                <w:color w:val="000000"/>
                <w:sz w:val="15"/>
                <w:szCs w:val="15"/>
              </w:rPr>
            </w:pPr>
          </w:p>
        </w:tc>
        <w:tc>
          <w:tcPr>
            <w:tcW w:w="2714"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ascii="仿宋_GB2312" w:hAnsi="宋体" w:eastAsia="仿宋_GB2312" w:cs="宋体"/>
                <w:b w:val="0"/>
                <w:bCs w:val="0"/>
                <w:color w:val="000000"/>
                <w:sz w:val="15"/>
                <w:szCs w:val="15"/>
              </w:rPr>
            </w:pPr>
            <w:r>
              <w:rPr>
                <w:rFonts w:hint="eastAsia" w:ascii="仿宋_GB2312" w:hAnsi="宋体" w:eastAsia="仿宋_GB2312" w:cs="宋体"/>
                <w:b w:val="0"/>
                <w:bCs w:val="0"/>
                <w:color w:val="000000"/>
                <w:sz w:val="15"/>
                <w:szCs w:val="15"/>
                <w:lang w:val="en-US" w:eastAsia="zh-CN"/>
              </w:rPr>
              <w:t>一般公共服务支出</w:t>
            </w:r>
          </w:p>
        </w:tc>
        <w:tc>
          <w:tcPr>
            <w:tcW w:w="150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val="0"/>
                <w:bCs w:val="0"/>
                <w:color w:val="000000"/>
                <w:sz w:val="15"/>
                <w:szCs w:val="15"/>
              </w:rPr>
            </w:pPr>
            <w:r>
              <w:rPr>
                <w:rFonts w:hint="eastAsia" w:ascii="仿宋_GB2312" w:hAnsi="宋体" w:eastAsia="仿宋_GB2312" w:cs="宋体"/>
                <w:b w:val="0"/>
                <w:bCs w:val="0"/>
                <w:color w:val="000000"/>
                <w:sz w:val="15"/>
                <w:szCs w:val="15"/>
                <w:lang w:val="en-US" w:eastAsia="zh-CN"/>
              </w:rPr>
              <w:t>330.56</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b w:val="0"/>
                <w:bCs w:val="0"/>
                <w:color w:val="000000"/>
                <w:sz w:val="15"/>
                <w:szCs w:val="15"/>
                <w:lang w:val="en-US"/>
              </w:rPr>
            </w:pPr>
            <w:r>
              <w:rPr>
                <w:rFonts w:hint="eastAsia" w:ascii="宋体" w:hAnsi="宋体" w:cs="宋体"/>
                <w:b w:val="0"/>
                <w:bCs w:val="0"/>
                <w:i w:val="0"/>
                <w:color w:val="000000"/>
                <w:kern w:val="0"/>
                <w:sz w:val="15"/>
                <w:szCs w:val="15"/>
                <w:u w:val="none"/>
                <w:lang w:val="en-US" w:eastAsia="zh-CN" w:bidi="ar"/>
              </w:rPr>
              <w:t>310.59</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eastAsia="仿宋_GB2312"/>
                <w:b w:val="0"/>
                <w:bCs w:val="0"/>
                <w:color w:val="000000"/>
                <w:sz w:val="15"/>
                <w:szCs w:val="15"/>
              </w:rPr>
            </w:pPr>
            <w:r>
              <w:rPr>
                <w:rFonts w:hint="eastAsia" w:ascii="仿宋_GB2312" w:eastAsia="仿宋_GB2312"/>
                <w:b w:val="0"/>
                <w:bCs w:val="0"/>
                <w:color w:val="000000"/>
                <w:sz w:val="15"/>
                <w:szCs w:val="15"/>
                <w:lang w:val="en-US" w:eastAsia="zh-CN"/>
              </w:rPr>
              <w:t>19.97</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宋体" w:hAnsi="宋体" w:cs="宋体"/>
                <w:b w:val="0"/>
                <w:bCs w:val="0"/>
                <w:color w:val="000000"/>
                <w:kern w:val="0"/>
                <w:sz w:val="15"/>
                <w:szCs w:val="15"/>
              </w:rPr>
            </w:pPr>
            <w:r>
              <w:rPr>
                <w:rFonts w:hint="eastAsia" w:ascii="宋体" w:hAnsi="宋体" w:eastAsia="宋体" w:cs="宋体"/>
                <w:b w:val="0"/>
                <w:bCs w:val="0"/>
                <w:i w:val="0"/>
                <w:color w:val="000000"/>
                <w:kern w:val="0"/>
                <w:sz w:val="15"/>
                <w:szCs w:val="15"/>
                <w:u w:val="none"/>
                <w:lang w:val="en-US" w:eastAsia="zh-CN" w:bidi="ar"/>
              </w:rPr>
              <w:t>201</w:t>
            </w:r>
          </w:p>
        </w:tc>
        <w:tc>
          <w:tcPr>
            <w:tcW w:w="469"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宋体" w:hAnsi="宋体" w:cs="宋体"/>
                <w:b w:val="0"/>
                <w:bCs w:val="0"/>
                <w:color w:val="000000"/>
                <w:kern w:val="0"/>
                <w:sz w:val="15"/>
                <w:szCs w:val="15"/>
              </w:rPr>
            </w:pPr>
            <w:r>
              <w:rPr>
                <w:rFonts w:hint="eastAsia" w:ascii="宋体" w:hAnsi="宋体" w:eastAsia="宋体" w:cs="宋体"/>
                <w:b w:val="0"/>
                <w:bCs w:val="0"/>
                <w:i w:val="0"/>
                <w:color w:val="000000"/>
                <w:kern w:val="0"/>
                <w:sz w:val="15"/>
                <w:szCs w:val="15"/>
                <w:u w:val="none"/>
                <w:lang w:val="en-US" w:eastAsia="zh-CN" w:bidi="ar"/>
              </w:rPr>
              <w:t>03</w:t>
            </w:r>
          </w:p>
        </w:tc>
        <w:tc>
          <w:tcPr>
            <w:tcW w:w="461"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宋体" w:hAnsi="宋体" w:cs="宋体"/>
                <w:b w:val="0"/>
                <w:bCs w:val="0"/>
                <w:color w:val="000000"/>
                <w:kern w:val="0"/>
                <w:sz w:val="15"/>
                <w:szCs w:val="15"/>
              </w:rPr>
            </w:pPr>
          </w:p>
        </w:tc>
        <w:tc>
          <w:tcPr>
            <w:tcW w:w="2714"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00" w:firstLineChars="200"/>
              <w:jc w:val="both"/>
              <w:textAlignment w:val="center"/>
              <w:rPr>
                <w:rFonts w:ascii="仿宋_GB2312" w:hAnsi="宋体" w:eastAsia="仿宋_GB2312" w:cs="宋体"/>
                <w:b w:val="0"/>
                <w:bCs w:val="0"/>
                <w:color w:val="000000"/>
                <w:sz w:val="15"/>
                <w:szCs w:val="15"/>
              </w:rPr>
            </w:pPr>
            <w:r>
              <w:rPr>
                <w:rFonts w:hint="eastAsia" w:ascii="仿宋_GB2312" w:hAnsi="宋体" w:eastAsia="仿宋_GB2312" w:cs="宋体"/>
                <w:b w:val="0"/>
                <w:bCs w:val="0"/>
                <w:color w:val="000000"/>
                <w:sz w:val="15"/>
                <w:szCs w:val="15"/>
                <w:lang w:val="en-US" w:eastAsia="zh-CN"/>
              </w:rPr>
              <w:t>政府办公厅（室）及相关机构事务</w:t>
            </w:r>
          </w:p>
        </w:tc>
        <w:tc>
          <w:tcPr>
            <w:tcW w:w="150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hAnsi="宋体" w:eastAsia="仿宋_GB2312" w:cs="宋体"/>
                <w:b w:val="0"/>
                <w:bCs w:val="0"/>
                <w:color w:val="000000"/>
                <w:sz w:val="15"/>
                <w:szCs w:val="15"/>
                <w:lang w:val="en-US" w:eastAsia="zh-CN"/>
              </w:rPr>
            </w:pPr>
            <w:r>
              <w:rPr>
                <w:rFonts w:hint="eastAsia" w:ascii="仿宋_GB2312" w:hAnsi="宋体" w:eastAsia="仿宋_GB2312" w:cs="宋体"/>
                <w:b w:val="0"/>
                <w:bCs w:val="0"/>
                <w:color w:val="000000"/>
                <w:sz w:val="15"/>
                <w:szCs w:val="15"/>
                <w:lang w:val="en-US" w:eastAsia="zh-CN"/>
              </w:rPr>
              <w:t>330.56</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b w:val="0"/>
                <w:bCs w:val="0"/>
                <w:color w:val="000000"/>
                <w:sz w:val="15"/>
                <w:szCs w:val="15"/>
                <w:lang w:val="en-US"/>
              </w:rPr>
            </w:pPr>
            <w:r>
              <w:rPr>
                <w:rFonts w:hint="eastAsia" w:ascii="宋体" w:hAnsi="宋体" w:cs="宋体"/>
                <w:b w:val="0"/>
                <w:bCs w:val="0"/>
                <w:i w:val="0"/>
                <w:color w:val="000000"/>
                <w:kern w:val="0"/>
                <w:sz w:val="15"/>
                <w:szCs w:val="15"/>
                <w:u w:val="none"/>
                <w:lang w:val="en-US" w:eastAsia="zh-CN" w:bidi="ar"/>
              </w:rPr>
              <w:t>310.59</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_GB2312" w:eastAsia="仿宋_GB2312"/>
                <w:b w:val="0"/>
                <w:bCs w:val="0"/>
                <w:color w:val="000000"/>
                <w:sz w:val="15"/>
                <w:szCs w:val="15"/>
                <w:lang w:val="en-US" w:eastAsia="zh-CN"/>
              </w:rPr>
            </w:pPr>
            <w:r>
              <w:rPr>
                <w:rFonts w:hint="eastAsia" w:ascii="仿宋_GB2312" w:eastAsia="仿宋_GB2312"/>
                <w:b w:val="0"/>
                <w:bCs w:val="0"/>
                <w:color w:val="000000"/>
                <w:sz w:val="15"/>
                <w:szCs w:val="15"/>
                <w:lang w:val="en-US" w:eastAsia="zh-CN"/>
              </w:rPr>
              <w:t>19.97</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201</w:t>
            </w:r>
          </w:p>
        </w:tc>
        <w:tc>
          <w:tcPr>
            <w:tcW w:w="46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03</w:t>
            </w:r>
          </w:p>
        </w:tc>
        <w:tc>
          <w:tcPr>
            <w:tcW w:w="461"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01</w:t>
            </w:r>
          </w:p>
        </w:tc>
        <w:tc>
          <w:tcPr>
            <w:tcW w:w="271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00" w:firstLineChars="400"/>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行政运行（政府办公厅（室）及相关机构事务）</w:t>
            </w:r>
          </w:p>
        </w:tc>
        <w:tc>
          <w:tcPr>
            <w:tcW w:w="150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cs="宋体"/>
                <w:b w:val="0"/>
                <w:bCs w:val="0"/>
                <w:i w:val="0"/>
                <w:color w:val="000000"/>
                <w:kern w:val="0"/>
                <w:sz w:val="15"/>
                <w:szCs w:val="15"/>
                <w:u w:val="none"/>
                <w:lang w:val="en-US" w:eastAsia="zh-CN" w:bidi="ar"/>
              </w:rPr>
              <w:t>311.56</w:t>
            </w:r>
          </w:p>
        </w:tc>
        <w:tc>
          <w:tcPr>
            <w:tcW w:w="1856"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b w:val="0"/>
                <w:bCs w:val="0"/>
                <w:i w:val="0"/>
                <w:color w:val="000000"/>
                <w:kern w:val="0"/>
                <w:sz w:val="15"/>
                <w:szCs w:val="15"/>
                <w:u w:val="none"/>
                <w:lang w:val="en-US" w:eastAsia="zh-CN" w:bidi="ar"/>
              </w:rPr>
            </w:pPr>
            <w:r>
              <w:rPr>
                <w:rFonts w:hint="eastAsia" w:ascii="宋体" w:hAnsi="宋体" w:cs="宋体"/>
                <w:b w:val="0"/>
                <w:bCs w:val="0"/>
                <w:i w:val="0"/>
                <w:color w:val="000000"/>
                <w:kern w:val="0"/>
                <w:sz w:val="15"/>
                <w:szCs w:val="15"/>
                <w:u w:val="none"/>
                <w:lang w:val="en-US" w:eastAsia="zh-CN" w:bidi="ar"/>
              </w:rPr>
              <w:t>310.59</w:t>
            </w:r>
          </w:p>
        </w:tc>
        <w:tc>
          <w:tcPr>
            <w:tcW w:w="190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0.97</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201</w:t>
            </w:r>
          </w:p>
        </w:tc>
        <w:tc>
          <w:tcPr>
            <w:tcW w:w="46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03</w:t>
            </w:r>
          </w:p>
        </w:tc>
        <w:tc>
          <w:tcPr>
            <w:tcW w:w="461"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99</w:t>
            </w:r>
          </w:p>
        </w:tc>
        <w:tc>
          <w:tcPr>
            <w:tcW w:w="271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00" w:firstLineChars="400"/>
              <w:jc w:val="left"/>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其他政府办公厅（室）及相关机构事务支出</w:t>
            </w:r>
          </w:p>
        </w:tc>
        <w:tc>
          <w:tcPr>
            <w:tcW w:w="150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19.00</w:t>
            </w:r>
          </w:p>
        </w:tc>
        <w:tc>
          <w:tcPr>
            <w:tcW w:w="1856"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color w:val="000000"/>
                <w:kern w:val="0"/>
                <w:sz w:val="15"/>
                <w:szCs w:val="15"/>
                <w:u w:val="none"/>
                <w:lang w:val="en-US" w:eastAsia="zh-CN" w:bidi="ar"/>
              </w:rPr>
            </w:pPr>
          </w:p>
        </w:tc>
        <w:tc>
          <w:tcPr>
            <w:tcW w:w="190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color w:val="000000"/>
                <w:kern w:val="0"/>
                <w:sz w:val="15"/>
                <w:szCs w:val="15"/>
                <w:u w:val="none"/>
                <w:lang w:val="en-US" w:eastAsia="zh-CN" w:bidi="ar"/>
              </w:rPr>
            </w:pPr>
            <w:r>
              <w:rPr>
                <w:rFonts w:hint="eastAsia" w:ascii="宋体" w:hAnsi="宋体" w:eastAsia="宋体" w:cs="宋体"/>
                <w:b w:val="0"/>
                <w:bCs w:val="0"/>
                <w:i w:val="0"/>
                <w:color w:val="000000"/>
                <w:kern w:val="0"/>
                <w:sz w:val="15"/>
                <w:szCs w:val="15"/>
                <w:u w:val="none"/>
                <w:lang w:val="en-US" w:eastAsia="zh-CN" w:bidi="ar"/>
              </w:rPr>
              <w:t>19.00</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3"/>
                <w:szCs w:val="13"/>
              </w:rPr>
            </w:pPr>
            <w:r>
              <w:rPr>
                <w:rFonts w:hint="eastAsia" w:ascii="宋体" w:hAnsi="宋体" w:cs="宋体"/>
                <w:b/>
                <w:bCs/>
                <w:color w:val="000000"/>
                <w:kern w:val="0"/>
                <w:sz w:val="13"/>
                <w:szCs w:val="13"/>
              </w:rPr>
              <w:t>　</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50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67" w:hRule="atLeast"/>
        </w:trPr>
        <w:tc>
          <w:tcPr>
            <w:tcW w:w="509"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9"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1"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7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50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8"/>
                <w:szCs w:val="28"/>
              </w:rPr>
            </w:pPr>
            <w:r>
              <w:rPr>
                <w:rFonts w:hint="eastAsia" w:ascii="宋体" w:hAnsi="宋体" w:eastAsia="宋体" w:cs="宋体"/>
                <w:i w:val="0"/>
                <w:color w:val="000000"/>
                <w:kern w:val="0"/>
                <w:sz w:val="20"/>
                <w:szCs w:val="20"/>
                <w:u w:val="none"/>
                <w:lang w:val="en-US" w:eastAsia="zh-CN" w:bidi="ar"/>
              </w:rPr>
              <w:t>330.56</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8"/>
                <w:szCs w:val="28"/>
                <w:lang w:val="en-US"/>
              </w:rPr>
            </w:pPr>
            <w:r>
              <w:rPr>
                <w:rFonts w:hint="eastAsia" w:ascii="宋体" w:hAnsi="宋体" w:cs="宋体"/>
                <w:i w:val="0"/>
                <w:color w:val="000000"/>
                <w:kern w:val="0"/>
                <w:sz w:val="20"/>
                <w:szCs w:val="20"/>
                <w:u w:val="none"/>
                <w:lang w:val="en-US" w:eastAsia="zh-CN" w:bidi="ar"/>
              </w:rPr>
              <w:t>311.56</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8"/>
                <w:szCs w:val="28"/>
              </w:rPr>
            </w:pPr>
            <w:r>
              <w:rPr>
                <w:rFonts w:hint="eastAsia" w:ascii="宋体" w:hAnsi="宋体" w:eastAsia="宋体" w:cs="宋体"/>
                <w:i w:val="0"/>
                <w:color w:val="000000"/>
                <w:kern w:val="0"/>
                <w:sz w:val="20"/>
                <w:szCs w:val="20"/>
                <w:u w:val="none"/>
                <w:lang w:val="en-US" w:eastAsia="zh-CN" w:bidi="ar"/>
              </w:rPr>
              <w:t>19.97</w:t>
            </w:r>
          </w:p>
        </w:tc>
      </w:tr>
    </w:tbl>
    <w:p>
      <w:pPr>
        <w:keepNext w:val="0"/>
        <w:keepLines w:val="0"/>
        <w:pageBreakBefore w:val="0"/>
        <w:widowControl/>
        <w:kinsoku/>
        <w:wordWrap/>
        <w:overflowPunct/>
        <w:topLinePunct w:val="0"/>
        <w:autoSpaceDE/>
        <w:autoSpaceDN/>
        <w:bidi w:val="0"/>
        <w:adjustRightInd/>
        <w:snapToGrid/>
        <w:spacing w:beforeLines="50" w:line="56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Lines="50" w:line="56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00" w:beforeAutospacing="1" w:after="100" w:afterAutospacing="1" w:line="280" w:lineRule="exact"/>
        <w:outlineLvl w:val="1"/>
        <w:rPr>
          <w:rFonts w:ascii="仿宋_GB2312" w:hAnsi="宋体" w:eastAsia="仿宋_GB2312"/>
          <w:b/>
          <w:kern w:val="0"/>
          <w:sz w:val="32"/>
          <w:szCs w:val="32"/>
        </w:rPr>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w:t>
      </w:r>
      <w:r>
        <w:rPr>
          <w:rFonts w:hint="eastAsia" w:ascii="仿宋_GB2312" w:hAnsi="宋体" w:eastAsia="仿宋_GB2312" w:cs="宋体"/>
          <w:kern w:val="0"/>
          <w:sz w:val="24"/>
          <w:szCs w:val="24"/>
          <w:lang w:val="en-US" w:eastAsia="zh-CN"/>
        </w:rPr>
        <w:t xml:space="preserve">        </w:t>
      </w:r>
      <w:r>
        <w:rPr>
          <w:rFonts w:hint="eastAsia" w:ascii="仿宋_GB2312" w:hAnsi="宋体" w:eastAsia="仿宋_GB2312" w:cs="宋体"/>
          <w:kern w:val="0"/>
          <w:sz w:val="24"/>
          <w:szCs w:val="24"/>
        </w:rPr>
        <w:t xml:space="preserve"> 单位：万元</w:t>
      </w:r>
    </w:p>
    <w:tbl>
      <w:tblPr>
        <w:tblStyle w:val="8"/>
        <w:tblW w:w="9449" w:type="dxa"/>
        <w:tblInd w:w="-240" w:type="dxa"/>
        <w:tblLayout w:type="fixed"/>
        <w:tblCellMar>
          <w:top w:w="0" w:type="dxa"/>
          <w:left w:w="108" w:type="dxa"/>
          <w:bottom w:w="0" w:type="dxa"/>
          <w:right w:w="108" w:type="dxa"/>
        </w:tblCellMar>
      </w:tblPr>
      <w:tblGrid>
        <w:gridCol w:w="1760"/>
        <w:gridCol w:w="1090"/>
        <w:gridCol w:w="2580"/>
        <w:gridCol w:w="1034"/>
        <w:gridCol w:w="914"/>
        <w:gridCol w:w="1050"/>
        <w:gridCol w:w="1021"/>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7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9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1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9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2"/>
                <w:szCs w:val="22"/>
              </w:rPr>
            </w:pPr>
            <w:r>
              <w:rPr>
                <w:rFonts w:hint="eastAsia" w:ascii="宋体" w:hAnsi="宋体" w:eastAsia="宋体" w:cs="宋体"/>
                <w:i w:val="0"/>
                <w:color w:val="000000"/>
                <w:kern w:val="0"/>
                <w:sz w:val="20"/>
                <w:szCs w:val="20"/>
                <w:u w:val="none"/>
                <w:lang w:val="en-US" w:eastAsia="zh-CN" w:bidi="ar"/>
              </w:rPr>
              <w:t>299.56</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03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299.56</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color w:val="000000"/>
                <w:kern w:val="0"/>
                <w:sz w:val="20"/>
                <w:szCs w:val="20"/>
                <w:u w:val="none"/>
                <w:lang w:val="en-US" w:eastAsia="zh-CN" w:bidi="ar"/>
              </w:rPr>
              <w:t>299.56</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9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2"/>
                <w:szCs w:val="22"/>
              </w:rPr>
            </w:pPr>
            <w:r>
              <w:rPr>
                <w:rFonts w:hint="eastAsia" w:ascii="宋体" w:hAnsi="宋体" w:eastAsia="宋体" w:cs="宋体"/>
                <w:i w:val="0"/>
                <w:color w:val="000000"/>
                <w:kern w:val="0"/>
                <w:sz w:val="20"/>
                <w:szCs w:val="20"/>
                <w:u w:val="none"/>
                <w:lang w:val="en-US" w:eastAsia="zh-CN" w:bidi="ar"/>
              </w:rPr>
              <w:t>299.56</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w:t>
            </w:r>
            <w:r>
              <w:rPr>
                <w:rFonts w:hint="eastAsia" w:ascii="仿宋_GB2312" w:hAnsi="宋体" w:eastAsia="仿宋_GB2312" w:cs="宋体"/>
                <w:kern w:val="0"/>
                <w:sz w:val="18"/>
                <w:szCs w:val="18"/>
                <w:highlight w:val="none"/>
                <w:lang w:eastAsia="zh-CN"/>
              </w:rPr>
              <w:t>算</w:t>
            </w:r>
            <w:r>
              <w:rPr>
                <w:rFonts w:ascii="仿宋_GB2312" w:hAnsi="宋体" w:eastAsia="仿宋_GB2312" w:cs="宋体"/>
                <w:kern w:val="0"/>
                <w:sz w:val="18"/>
                <w:szCs w:val="18"/>
                <w:highlight w:val="none"/>
              </w:rPr>
              <w:t>算预算</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6"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90"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299.56</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03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299.56</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299.56</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bl>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833" w:hRule="atLeast"/>
        </w:trPr>
        <w:tc>
          <w:tcPr>
            <w:tcW w:w="9214" w:type="dxa"/>
            <w:gridSpan w:val="7"/>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sz w:val="24"/>
                <w:szCs w:val="24"/>
              </w:rPr>
            </w:pPr>
            <w:r>
              <w:rPr>
                <w:rFonts w:hint="eastAsia"/>
                <w:sz w:val="24"/>
                <w:szCs w:val="24"/>
              </w:rPr>
              <w:t>一般公共预算支出情况表</w:t>
            </w:r>
          </w:p>
          <w:p>
            <w:pPr>
              <w:widowControl/>
              <w:spacing w:before="100" w:beforeAutospacing="1" w:after="100" w:afterAutospacing="1" w:line="280" w:lineRule="exact"/>
              <w:outlineLvl w:val="1"/>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w:t>
            </w:r>
            <w:r>
              <w:rPr>
                <w:rFonts w:hint="eastAsia" w:ascii="仿宋_GB2312" w:hAnsi="宋体" w:eastAsia="仿宋_GB2312" w:cs="宋体"/>
                <w:kern w:val="0"/>
                <w:sz w:val="24"/>
                <w:szCs w:val="24"/>
                <w:lang w:val="en-US" w:eastAsia="zh-CN"/>
              </w:rPr>
              <w:t xml:space="preserve">          </w:t>
            </w:r>
            <w:r>
              <w:rPr>
                <w:rFonts w:hint="eastAsia" w:ascii="仿宋_GB2312" w:hAnsi="宋体" w:eastAsia="仿宋_GB2312" w:cs="宋体"/>
                <w:kern w:val="0"/>
                <w:sz w:val="24"/>
                <w:szCs w:val="24"/>
              </w:rPr>
              <w:t xml:space="preserve">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sz w:val="16"/>
                <w:szCs w:val="16"/>
              </w:rPr>
            </w:pPr>
            <w:r>
              <w:rPr>
                <w:rFonts w:hint="eastAsia" w:ascii="仿宋" w:hAnsi="仿宋" w:eastAsia="仿宋" w:cs="仿宋"/>
                <w:b w:val="0"/>
                <w:bCs w:val="0"/>
                <w:i w:val="0"/>
                <w:color w:val="000000"/>
                <w:kern w:val="0"/>
                <w:sz w:val="16"/>
                <w:szCs w:val="16"/>
                <w:u w:val="none"/>
                <w:lang w:val="en-US" w:eastAsia="zh-CN" w:bidi="ar"/>
              </w:rPr>
              <w:t>201</w:t>
            </w:r>
          </w:p>
        </w:tc>
        <w:tc>
          <w:tcPr>
            <w:tcW w:w="492"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sz w:val="16"/>
                <w:szCs w:val="16"/>
              </w:rPr>
            </w:pPr>
          </w:p>
        </w:tc>
        <w:tc>
          <w:tcPr>
            <w:tcW w:w="417"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sz w:val="16"/>
                <w:szCs w:val="16"/>
              </w:rPr>
            </w:pPr>
          </w:p>
        </w:tc>
        <w:tc>
          <w:tcPr>
            <w:tcW w:w="2510"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 w:hAnsi="仿宋" w:eastAsia="仿宋" w:cs="仿宋"/>
                <w:color w:val="000000"/>
                <w:sz w:val="16"/>
                <w:szCs w:val="16"/>
              </w:rPr>
            </w:pPr>
            <w:r>
              <w:rPr>
                <w:rFonts w:hint="eastAsia" w:ascii="仿宋_GB2312" w:hAnsi="宋体" w:eastAsia="仿宋_GB2312" w:cs="宋体"/>
                <w:b w:val="0"/>
                <w:bCs w:val="0"/>
                <w:color w:val="000000"/>
                <w:sz w:val="16"/>
                <w:szCs w:val="16"/>
                <w:lang w:val="en-US" w:eastAsia="zh-CN"/>
              </w:rPr>
              <w:t>一般公共服务支出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color w:val="000000"/>
                <w:kern w:val="0"/>
                <w:sz w:val="16"/>
                <w:szCs w:val="16"/>
                <w:lang w:val="en-US" w:eastAsia="zh-CN"/>
              </w:rPr>
            </w:pPr>
            <w:r>
              <w:rPr>
                <w:rFonts w:hint="eastAsia" w:ascii="仿宋" w:hAnsi="仿宋" w:eastAsia="仿宋" w:cs="仿宋"/>
                <w:color w:val="000000"/>
                <w:kern w:val="0"/>
                <w:sz w:val="16"/>
                <w:szCs w:val="16"/>
                <w:lang w:val="en-US" w:eastAsia="zh-CN"/>
              </w:rPr>
              <w:t>299.56</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b w:val="0"/>
                <w:bCs/>
                <w:color w:val="000000"/>
                <w:sz w:val="16"/>
                <w:szCs w:val="16"/>
                <w:lang w:val="en-US"/>
              </w:rPr>
            </w:pPr>
            <w:r>
              <w:rPr>
                <w:rFonts w:hint="eastAsia" w:ascii="仿宋" w:hAnsi="仿宋" w:eastAsia="仿宋" w:cs="仿宋"/>
                <w:i w:val="0"/>
                <w:color w:val="000000"/>
                <w:kern w:val="0"/>
                <w:sz w:val="16"/>
                <w:szCs w:val="16"/>
                <w:u w:val="none"/>
                <w:lang w:val="en-US" w:eastAsia="zh-CN" w:bidi="ar"/>
              </w:rPr>
              <w:t>291.59</w:t>
            </w:r>
          </w:p>
        </w:tc>
        <w:tc>
          <w:tcPr>
            <w:tcW w:w="1701" w:type="dxa"/>
            <w:tcBorders>
              <w:top w:val="nil"/>
              <w:left w:val="nil"/>
              <w:bottom w:val="single" w:color="auto" w:sz="4" w:space="0"/>
              <w:right w:val="single" w:color="auto" w:sz="4" w:space="0"/>
            </w:tcBorders>
            <w:vAlign w:val="center"/>
          </w:tcPr>
          <w:p>
            <w:pPr>
              <w:jc w:val="center"/>
              <w:rPr>
                <w:rFonts w:hint="eastAsia" w:ascii="仿宋" w:hAnsi="仿宋" w:eastAsia="仿宋" w:cs="仿宋"/>
                <w:b w:val="0"/>
                <w:bCs/>
                <w:color w:val="000000"/>
                <w:kern w:val="0"/>
                <w:sz w:val="16"/>
                <w:szCs w:val="16"/>
                <w:lang w:val="en-US" w:eastAsia="zh-CN"/>
              </w:rPr>
            </w:pPr>
            <w:r>
              <w:rPr>
                <w:rFonts w:hint="eastAsia" w:ascii="仿宋" w:hAnsi="仿宋" w:eastAsia="仿宋" w:cs="仿宋"/>
                <w:color w:val="000000"/>
                <w:kern w:val="0"/>
                <w:sz w:val="16"/>
                <w:szCs w:val="16"/>
                <w:lang w:val="en-US" w:eastAsia="zh-CN"/>
              </w:rPr>
              <w:t>7.97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kern w:val="0"/>
                <w:sz w:val="16"/>
                <w:szCs w:val="16"/>
              </w:rPr>
            </w:pPr>
            <w:r>
              <w:rPr>
                <w:rFonts w:hint="eastAsia" w:ascii="仿宋" w:hAnsi="仿宋" w:eastAsia="仿宋" w:cs="仿宋"/>
                <w:b w:val="0"/>
                <w:bCs w:val="0"/>
                <w:i w:val="0"/>
                <w:color w:val="000000"/>
                <w:kern w:val="0"/>
                <w:sz w:val="16"/>
                <w:szCs w:val="16"/>
                <w:u w:val="none"/>
                <w:lang w:val="en-US" w:eastAsia="zh-CN" w:bidi="ar"/>
              </w:rPr>
              <w:t>201</w:t>
            </w:r>
          </w:p>
        </w:tc>
        <w:tc>
          <w:tcPr>
            <w:tcW w:w="492"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kern w:val="0"/>
                <w:sz w:val="16"/>
                <w:szCs w:val="16"/>
              </w:rPr>
            </w:pPr>
            <w:r>
              <w:rPr>
                <w:rFonts w:hint="eastAsia" w:ascii="仿宋" w:hAnsi="仿宋" w:eastAsia="仿宋" w:cs="仿宋"/>
                <w:b w:val="0"/>
                <w:bCs w:val="0"/>
                <w:i w:val="0"/>
                <w:color w:val="000000"/>
                <w:kern w:val="0"/>
                <w:sz w:val="16"/>
                <w:szCs w:val="16"/>
                <w:u w:val="none"/>
                <w:lang w:val="en-US" w:eastAsia="zh-CN" w:bidi="ar"/>
              </w:rPr>
              <w:t>03</w:t>
            </w:r>
          </w:p>
        </w:tc>
        <w:tc>
          <w:tcPr>
            <w:tcW w:w="417"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color w:val="000000"/>
                <w:kern w:val="0"/>
                <w:sz w:val="16"/>
                <w:szCs w:val="16"/>
              </w:rPr>
            </w:pPr>
          </w:p>
        </w:tc>
        <w:tc>
          <w:tcPr>
            <w:tcW w:w="2510" w:type="dxa"/>
            <w:tcBorders>
              <w:top w:val="nil"/>
              <w:left w:val="nil"/>
              <w:bottom w:val="single" w:color="auto" w:sz="4" w:space="0"/>
              <w:right w:val="single" w:color="auto"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20" w:firstLineChars="200"/>
              <w:jc w:val="both"/>
              <w:textAlignment w:val="center"/>
              <w:rPr>
                <w:rFonts w:hint="eastAsia" w:ascii="仿宋" w:hAnsi="仿宋" w:eastAsia="仿宋" w:cs="仿宋"/>
                <w:color w:val="000000"/>
                <w:kern w:val="0"/>
                <w:sz w:val="16"/>
                <w:szCs w:val="16"/>
              </w:rPr>
            </w:pPr>
            <w:r>
              <w:rPr>
                <w:rFonts w:hint="eastAsia" w:ascii="仿宋" w:hAnsi="仿宋" w:eastAsia="仿宋" w:cs="仿宋"/>
                <w:b w:val="0"/>
                <w:bCs w:val="0"/>
                <w:color w:val="000000"/>
                <w:sz w:val="16"/>
                <w:szCs w:val="16"/>
                <w:lang w:val="en-US" w:eastAsia="zh-CN"/>
              </w:rPr>
              <w:t>政府办公厅（室）及相关机构事务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color w:val="000000"/>
                <w:kern w:val="0"/>
                <w:sz w:val="16"/>
                <w:szCs w:val="16"/>
                <w:lang w:val="en-US" w:eastAsia="zh-CN"/>
              </w:rPr>
            </w:pPr>
            <w:r>
              <w:rPr>
                <w:rFonts w:hint="eastAsia" w:ascii="仿宋" w:hAnsi="仿宋" w:eastAsia="仿宋" w:cs="仿宋"/>
                <w:color w:val="000000"/>
                <w:kern w:val="0"/>
                <w:sz w:val="16"/>
                <w:szCs w:val="16"/>
                <w:lang w:val="en-US" w:eastAsia="zh-CN"/>
              </w:rPr>
              <w:t>299.56</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bCs/>
                <w:color w:val="000000"/>
                <w:kern w:val="0"/>
                <w:sz w:val="16"/>
                <w:szCs w:val="16"/>
              </w:rPr>
            </w:pPr>
            <w:r>
              <w:rPr>
                <w:rFonts w:hint="eastAsia" w:ascii="仿宋" w:hAnsi="仿宋" w:eastAsia="仿宋" w:cs="仿宋"/>
                <w:i w:val="0"/>
                <w:color w:val="000000"/>
                <w:kern w:val="0"/>
                <w:sz w:val="16"/>
                <w:szCs w:val="16"/>
                <w:u w:val="none"/>
                <w:lang w:val="en-US" w:eastAsia="zh-CN" w:bidi="ar"/>
              </w:rPr>
              <w:t>291.59</w:t>
            </w:r>
          </w:p>
        </w:tc>
        <w:tc>
          <w:tcPr>
            <w:tcW w:w="1701" w:type="dxa"/>
            <w:tcBorders>
              <w:top w:val="nil"/>
              <w:left w:val="nil"/>
              <w:bottom w:val="single" w:color="auto" w:sz="4" w:space="0"/>
              <w:right w:val="single" w:color="auto" w:sz="4" w:space="0"/>
            </w:tcBorders>
            <w:vAlign w:val="center"/>
          </w:tcPr>
          <w:p>
            <w:pPr>
              <w:jc w:val="center"/>
              <w:rPr>
                <w:rFonts w:hint="default" w:ascii="仿宋" w:hAnsi="仿宋" w:eastAsia="仿宋" w:cs="仿宋"/>
                <w:color w:val="000000"/>
                <w:kern w:val="0"/>
                <w:sz w:val="16"/>
                <w:szCs w:val="16"/>
                <w:lang w:val="en-US" w:eastAsia="zh-CN"/>
              </w:rPr>
            </w:pPr>
            <w:r>
              <w:rPr>
                <w:rFonts w:hint="eastAsia" w:ascii="仿宋" w:hAnsi="仿宋" w:eastAsia="仿宋" w:cs="仿宋"/>
                <w:color w:val="000000"/>
                <w:kern w:val="0"/>
                <w:sz w:val="16"/>
                <w:szCs w:val="16"/>
                <w:lang w:val="en-US" w:eastAsia="zh-CN"/>
              </w:rPr>
              <w:t>7.97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03</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ind w:firstLine="640" w:firstLineChars="400"/>
              <w:jc w:val="both"/>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行政运行（政府办公厅（室）及相关机构事务）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color w:val="000000"/>
                <w:kern w:val="0"/>
                <w:sz w:val="16"/>
                <w:szCs w:val="16"/>
                <w:lang w:val="en-US"/>
              </w:rPr>
            </w:pPr>
            <w:r>
              <w:rPr>
                <w:rFonts w:hint="eastAsia" w:ascii="仿宋" w:hAnsi="仿宋" w:eastAsia="仿宋" w:cs="仿宋"/>
                <w:i w:val="0"/>
                <w:color w:val="000000"/>
                <w:kern w:val="0"/>
                <w:sz w:val="16"/>
                <w:szCs w:val="16"/>
                <w:u w:val="none"/>
                <w:lang w:val="en-US" w:eastAsia="zh-CN" w:bidi="ar"/>
              </w:rPr>
              <w:t>292.56</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bCs/>
                <w:color w:val="000000"/>
                <w:kern w:val="0"/>
                <w:sz w:val="16"/>
                <w:szCs w:val="16"/>
              </w:rPr>
            </w:pPr>
            <w:r>
              <w:rPr>
                <w:rFonts w:hint="eastAsia" w:ascii="仿宋" w:hAnsi="仿宋" w:eastAsia="仿宋" w:cs="仿宋"/>
                <w:i w:val="0"/>
                <w:color w:val="000000"/>
                <w:kern w:val="0"/>
                <w:sz w:val="16"/>
                <w:szCs w:val="16"/>
                <w:u w:val="none"/>
                <w:lang w:val="en-US" w:eastAsia="zh-CN" w:bidi="ar"/>
              </w:rPr>
              <w:t>291.59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0.97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03</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 xml:space="preserve">        其他政府办公厅（室）及相关机构事务支出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7.00</w:t>
            </w:r>
          </w:p>
        </w:tc>
        <w:tc>
          <w:tcPr>
            <w:tcW w:w="1842" w:type="dxa"/>
            <w:tcBorders>
              <w:top w:val="nil"/>
              <w:left w:val="nil"/>
              <w:bottom w:val="single" w:color="auto" w:sz="4" w:space="0"/>
              <w:right w:val="single" w:color="auto" w:sz="4" w:space="0"/>
            </w:tcBorders>
            <w:vAlign w:val="center"/>
          </w:tcPr>
          <w:p>
            <w:pPr>
              <w:jc w:val="center"/>
              <w:rPr>
                <w:rFonts w:hint="eastAsia" w:ascii="仿宋" w:hAnsi="仿宋" w:eastAsia="仿宋" w:cs="仿宋"/>
                <w:b/>
                <w:bCs/>
                <w:color w:val="000000"/>
                <w:kern w:val="0"/>
                <w:sz w:val="16"/>
                <w:szCs w:val="16"/>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6"/>
                <w:szCs w:val="16"/>
              </w:rPr>
            </w:pPr>
            <w:r>
              <w:rPr>
                <w:rFonts w:hint="eastAsia" w:ascii="仿宋" w:hAnsi="仿宋" w:eastAsia="仿宋" w:cs="仿宋"/>
                <w:i w:val="0"/>
                <w:color w:val="000000"/>
                <w:kern w:val="0"/>
                <w:sz w:val="16"/>
                <w:szCs w:val="16"/>
                <w:u w:val="none"/>
                <w:lang w:val="en-US" w:eastAsia="zh-CN" w:bidi="ar"/>
              </w:rPr>
              <w:t>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1"/>
                <w:szCs w:val="11"/>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1"/>
                <w:szCs w:val="11"/>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1"/>
                <w:szCs w:val="11"/>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1"/>
                <w:szCs w:val="11"/>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1"/>
                <w:szCs w:val="11"/>
              </w:rPr>
            </w:pPr>
          </w:p>
        </w:tc>
        <w:tc>
          <w:tcPr>
            <w:tcW w:w="1842"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11"/>
                <w:szCs w:val="11"/>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11"/>
                <w:szCs w:val="11"/>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299.56</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291.59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7.97</w:t>
            </w:r>
          </w:p>
        </w:tc>
      </w:tr>
    </w:tbl>
    <w:p>
      <w:pPr>
        <w:pStyle w:val="2"/>
        <w:rPr>
          <w:rFonts w:hint="eastAsia"/>
        </w:rPr>
      </w:pPr>
    </w:p>
    <w:tbl>
      <w:tblPr>
        <w:tblStyle w:val="8"/>
        <w:tblW w:w="8240" w:type="dxa"/>
        <w:tblInd w:w="419" w:type="dxa"/>
        <w:tblLayout w:type="fixed"/>
        <w:tblCellMar>
          <w:top w:w="0" w:type="dxa"/>
          <w:left w:w="108" w:type="dxa"/>
          <w:bottom w:w="0" w:type="dxa"/>
          <w:right w:w="108" w:type="dxa"/>
        </w:tblCellMar>
      </w:tblPr>
      <w:tblGrid>
        <w:gridCol w:w="8240"/>
      </w:tblGrid>
      <w:tr>
        <w:tblPrEx>
          <w:tblLayout w:type="fixed"/>
          <w:tblCellMar>
            <w:top w:w="0" w:type="dxa"/>
            <w:left w:w="108" w:type="dxa"/>
            <w:bottom w:w="0" w:type="dxa"/>
            <w:right w:w="108" w:type="dxa"/>
          </w:tblCellMar>
        </w:tblPrEx>
        <w:trPr>
          <w:trHeight w:val="916" w:hRule="atLeast"/>
        </w:trPr>
        <w:tc>
          <w:tcPr>
            <w:tcW w:w="8240" w:type="dxa"/>
            <w:tcBorders>
              <w:top w:val="nil"/>
              <w:left w:val="nil"/>
              <w:bottom w:val="nil"/>
              <w:right w:val="nil"/>
            </w:tcBorders>
            <w:noWrap/>
            <w:vAlign w:val="center"/>
          </w:tcPr>
          <w:p>
            <w:pPr>
              <w:widowControl/>
              <w:jc w:val="left"/>
              <w:outlineLvl w:val="1"/>
              <w:rPr>
                <w:rFonts w:ascii="仿宋_GB2312" w:hAnsi="宋体" w:eastAsia="仿宋_GB2312"/>
                <w:b/>
                <w:color w:val="auto"/>
                <w:kern w:val="0"/>
                <w:sz w:val="32"/>
                <w:szCs w:val="32"/>
              </w:rPr>
            </w:pPr>
            <w:r>
              <w:rPr>
                <w:rFonts w:hint="eastAsia" w:ascii="仿宋_GB2312" w:hAnsi="宋体" w:eastAsia="仿宋_GB2312"/>
                <w:b/>
                <w:color w:val="auto"/>
                <w:kern w:val="0"/>
                <w:sz w:val="32"/>
                <w:szCs w:val="32"/>
              </w:rPr>
              <w:t>表六：</w:t>
            </w:r>
          </w:p>
          <w:tbl>
            <w:tblPr>
              <w:tblStyle w:val="8"/>
              <w:tblW w:w="8130" w:type="dxa"/>
              <w:tblInd w:w="-61" w:type="dxa"/>
              <w:tblLayout w:type="fixed"/>
              <w:tblCellMar>
                <w:top w:w="0" w:type="dxa"/>
                <w:left w:w="108" w:type="dxa"/>
                <w:bottom w:w="0" w:type="dxa"/>
                <w:right w:w="108" w:type="dxa"/>
              </w:tblCellMar>
            </w:tblPr>
            <w:tblGrid>
              <w:gridCol w:w="669"/>
              <w:gridCol w:w="641"/>
              <w:gridCol w:w="2444"/>
              <w:gridCol w:w="1482"/>
              <w:gridCol w:w="1503"/>
              <w:gridCol w:w="1391"/>
            </w:tblGrid>
            <w:tr>
              <w:tblPrEx>
                <w:tblLayout w:type="fixed"/>
                <w:tblCellMar>
                  <w:top w:w="0" w:type="dxa"/>
                  <w:left w:w="108" w:type="dxa"/>
                  <w:bottom w:w="0" w:type="dxa"/>
                  <w:right w:w="108" w:type="dxa"/>
                </w:tblCellMar>
              </w:tblPrEx>
              <w:trPr>
                <w:trHeight w:val="321" w:hRule="exact"/>
              </w:trPr>
              <w:tc>
                <w:tcPr>
                  <w:tcW w:w="8130" w:type="dxa"/>
                  <w:gridSpan w:val="6"/>
                  <w:tcBorders>
                    <w:top w:val="nil"/>
                    <w:left w:val="nil"/>
                    <w:bottom w:val="nil"/>
                    <w:right w:val="nil"/>
                  </w:tcBorders>
                  <w:noWrap/>
                  <w:vAlign w:val="center"/>
                </w:tcPr>
                <w:p>
                  <w:pPr>
                    <w:widowControl/>
                    <w:jc w:val="center"/>
                    <w:rPr>
                      <w:rFonts w:ascii="仿宋_GB2312" w:hAnsi="宋体" w:eastAsia="仿宋_GB2312" w:cs="宋体"/>
                      <w:b/>
                      <w:bCs/>
                      <w:color w:val="auto"/>
                      <w:kern w:val="0"/>
                      <w:sz w:val="32"/>
                      <w:szCs w:val="32"/>
                    </w:rPr>
                  </w:pPr>
                  <w:r>
                    <w:rPr>
                      <w:rFonts w:hint="eastAsia" w:ascii="仿宋_GB2312" w:hAnsi="宋体" w:eastAsia="仿宋_GB2312" w:cs="宋体"/>
                      <w:b/>
                      <w:bCs/>
                      <w:color w:val="auto"/>
                      <w:kern w:val="0"/>
                      <w:sz w:val="32"/>
                      <w:szCs w:val="32"/>
                    </w:rPr>
                    <w:t>一般公共预算基本支出情况表</w:t>
                  </w:r>
                </w:p>
              </w:tc>
            </w:tr>
            <w:tr>
              <w:tblPrEx>
                <w:tblLayout w:type="fixed"/>
                <w:tblCellMar>
                  <w:top w:w="0" w:type="dxa"/>
                  <w:left w:w="108" w:type="dxa"/>
                  <w:bottom w:w="0" w:type="dxa"/>
                  <w:right w:w="108" w:type="dxa"/>
                </w:tblCellMar>
              </w:tblPrEx>
              <w:trPr>
                <w:trHeight w:val="321" w:hRule="exact"/>
              </w:trPr>
              <w:tc>
                <w:tcPr>
                  <w:tcW w:w="8130" w:type="dxa"/>
                  <w:gridSpan w:val="6"/>
                  <w:tcBorders>
                    <w:top w:val="nil"/>
                    <w:left w:val="nil"/>
                    <w:bottom w:val="single" w:color="auto" w:sz="4" w:space="0"/>
                    <w:right w:val="nil"/>
                  </w:tcBorders>
                  <w:noWrap/>
                  <w:vAlign w:val="center"/>
                </w:tcPr>
                <w:p>
                  <w:pPr>
                    <w:widowControl/>
                    <w:jc w:val="left"/>
                    <w:rPr>
                      <w:rFonts w:ascii="仿宋_GB2312" w:hAnsi="宋体" w:eastAsia="仿宋_GB2312" w:cs="宋体"/>
                      <w:color w:val="auto"/>
                      <w:kern w:val="0"/>
                      <w:sz w:val="24"/>
                    </w:rPr>
                  </w:pPr>
                  <w:r>
                    <w:rPr>
                      <w:rFonts w:hint="eastAsia" w:ascii="仿宋_GB2312" w:hAnsi="宋体" w:eastAsia="仿宋_GB2312" w:cs="宋体"/>
                      <w:color w:val="auto"/>
                      <w:kern w:val="0"/>
                      <w:sz w:val="24"/>
                    </w:rPr>
                    <w:t>编制部门：</w:t>
                  </w:r>
                  <w:r>
                    <w:rPr>
                      <w:rFonts w:hint="eastAsia" w:ascii="仿宋_GB2312" w:hAnsi="宋体" w:eastAsia="仿宋_GB2312" w:cs="宋体"/>
                      <w:color w:val="auto"/>
                      <w:kern w:val="0"/>
                      <w:sz w:val="24"/>
                      <w:lang w:eastAsia="zh-CN"/>
                    </w:rPr>
                    <w:t>克孜勒苏柯尔克孜自治州人民政府外事办公室</w:t>
                  </w:r>
                  <w:r>
                    <w:rPr>
                      <w:rFonts w:hint="eastAsia" w:ascii="仿宋_GB2312" w:hAnsi="宋体" w:eastAsia="仿宋_GB2312" w:cs="宋体"/>
                      <w:color w:val="auto"/>
                      <w:kern w:val="0"/>
                      <w:sz w:val="24"/>
                      <w:lang w:val="en-US" w:eastAsia="zh-CN"/>
                    </w:rPr>
                    <w:t xml:space="preserve">           </w:t>
                  </w:r>
                  <w:r>
                    <w:rPr>
                      <w:rFonts w:hint="eastAsia" w:ascii="仿宋_GB2312" w:hAnsi="宋体" w:eastAsia="仿宋_GB2312" w:cs="宋体"/>
                      <w:color w:val="auto"/>
                      <w:kern w:val="0"/>
                      <w:sz w:val="24"/>
                    </w:rPr>
                    <w:t>单位：万元</w:t>
                  </w:r>
                </w:p>
              </w:tc>
            </w:tr>
            <w:tr>
              <w:tblPrEx>
                <w:tblLayout w:type="fixed"/>
                <w:tblCellMar>
                  <w:top w:w="0" w:type="dxa"/>
                  <w:left w:w="108" w:type="dxa"/>
                  <w:bottom w:w="0" w:type="dxa"/>
                  <w:right w:w="108" w:type="dxa"/>
                </w:tblCellMar>
              </w:tblPrEx>
              <w:trPr>
                <w:trHeight w:val="321" w:hRule="exact"/>
              </w:trPr>
              <w:tc>
                <w:tcPr>
                  <w:tcW w:w="3754"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项目</w:t>
                  </w:r>
                </w:p>
              </w:tc>
              <w:tc>
                <w:tcPr>
                  <w:tcW w:w="4376"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一般公共预算基本支出</w:t>
                  </w:r>
                </w:p>
              </w:tc>
            </w:tr>
            <w:tr>
              <w:tblPrEx>
                <w:tblLayout w:type="fixed"/>
                <w:tblCellMar>
                  <w:top w:w="0" w:type="dxa"/>
                  <w:left w:w="108" w:type="dxa"/>
                  <w:bottom w:w="0" w:type="dxa"/>
                  <w:right w:w="108" w:type="dxa"/>
                </w:tblCellMar>
              </w:tblPrEx>
              <w:trPr>
                <w:trHeight w:val="321" w:hRule="exact"/>
              </w:trPr>
              <w:tc>
                <w:tcPr>
                  <w:tcW w:w="1310" w:type="dxa"/>
                  <w:gridSpan w:val="2"/>
                  <w:tcBorders>
                    <w:top w:val="single" w:color="auto" w:sz="4" w:space="0"/>
                    <w:left w:val="single" w:color="auto" w:sz="4" w:space="0"/>
                    <w:bottom w:val="single" w:color="auto" w:sz="4" w:space="0"/>
                    <w:right w:val="nil"/>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经济分类科目编码</w:t>
                  </w:r>
                </w:p>
              </w:tc>
              <w:tc>
                <w:tcPr>
                  <w:tcW w:w="2444"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经济分类科目名称</w:t>
                  </w:r>
                </w:p>
              </w:tc>
              <w:tc>
                <w:tcPr>
                  <w:tcW w:w="1482"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小计</w:t>
                  </w:r>
                </w:p>
              </w:tc>
              <w:tc>
                <w:tcPr>
                  <w:tcW w:w="1503"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人员经费</w:t>
                  </w:r>
                </w:p>
              </w:tc>
              <w:tc>
                <w:tcPr>
                  <w:tcW w:w="139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仿宋_GB2312" w:hAnsi="宋体" w:eastAsia="仿宋_GB2312" w:cs="宋体"/>
                      <w:b/>
                      <w:bCs/>
                      <w:color w:val="auto"/>
                      <w:kern w:val="0"/>
                      <w:szCs w:val="21"/>
                    </w:rPr>
                  </w:pPr>
                  <w:r>
                    <w:rPr>
                      <w:rFonts w:hint="eastAsia" w:ascii="仿宋_GB2312" w:hAnsi="宋体" w:eastAsia="仿宋_GB2312" w:cs="宋体"/>
                      <w:b/>
                      <w:bCs/>
                      <w:color w:val="auto"/>
                      <w:kern w:val="0"/>
                      <w:szCs w:val="21"/>
                    </w:rPr>
                    <w:t>公用经费</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类</w:t>
                  </w:r>
                </w:p>
              </w:tc>
              <w:tc>
                <w:tcPr>
                  <w:tcW w:w="641" w:type="dxa"/>
                  <w:tcBorders>
                    <w:top w:val="nil"/>
                    <w:left w:val="nil"/>
                    <w:bottom w:val="single" w:color="auto" w:sz="4" w:space="0"/>
                    <w:right w:val="single" w:color="auto" w:sz="4" w:space="0"/>
                  </w:tcBorders>
                  <w:noWrap w:val="0"/>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款</w:t>
                  </w:r>
                </w:p>
              </w:tc>
              <w:tc>
                <w:tcPr>
                  <w:tcW w:w="244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仿宋_GB2312" w:hAnsi="宋体" w:eastAsia="仿宋_GB2312" w:cs="宋体"/>
                      <w:b/>
                      <w:bCs/>
                      <w:color w:val="auto"/>
                      <w:kern w:val="0"/>
                      <w:sz w:val="20"/>
                      <w:szCs w:val="20"/>
                    </w:rPr>
                  </w:pPr>
                </w:p>
              </w:tc>
              <w:tc>
                <w:tcPr>
                  <w:tcW w:w="148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503"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c>
                <w:tcPr>
                  <w:tcW w:w="139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444"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48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79.47</w:t>
                  </w:r>
                </w:p>
              </w:tc>
              <w:tc>
                <w:tcPr>
                  <w:tcW w:w="150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79.47</w:t>
                  </w:r>
                </w:p>
              </w:tc>
              <w:tc>
                <w:tcPr>
                  <w:tcW w:w="1391" w:type="dxa"/>
                  <w:tcBorders>
                    <w:top w:val="nil"/>
                    <w:left w:val="single" w:color="auto" w:sz="4" w:space="0"/>
                    <w:bottom w:val="single" w:color="000000" w:sz="4" w:space="0"/>
                    <w:right w:val="single" w:color="auto" w:sz="4" w:space="0"/>
                  </w:tcBorders>
                  <w:noWrap w:val="0"/>
                  <w:vAlign w:val="center"/>
                </w:tcPr>
                <w:p>
                  <w:pPr>
                    <w:jc w:val="center"/>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444"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48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94.80</w:t>
                  </w:r>
                </w:p>
              </w:tc>
              <w:tc>
                <w:tcPr>
                  <w:tcW w:w="150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94.80</w:t>
                  </w:r>
                </w:p>
              </w:tc>
              <w:tc>
                <w:tcPr>
                  <w:tcW w:w="1391" w:type="dxa"/>
                  <w:tcBorders>
                    <w:top w:val="nil"/>
                    <w:left w:val="single" w:color="auto" w:sz="4" w:space="0"/>
                    <w:bottom w:val="single" w:color="000000" w:sz="4" w:space="0"/>
                    <w:right w:val="single" w:color="auto" w:sz="4" w:space="0"/>
                  </w:tcBorders>
                  <w:noWrap w:val="0"/>
                  <w:vAlign w:val="center"/>
                </w:tcPr>
                <w:p>
                  <w:pPr>
                    <w:jc w:val="center"/>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444"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48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6.62</w:t>
                  </w:r>
                </w:p>
              </w:tc>
              <w:tc>
                <w:tcPr>
                  <w:tcW w:w="150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6.62</w:t>
                  </w:r>
                </w:p>
              </w:tc>
              <w:tc>
                <w:tcPr>
                  <w:tcW w:w="1391" w:type="dxa"/>
                  <w:tcBorders>
                    <w:top w:val="nil"/>
                    <w:left w:val="single" w:color="auto" w:sz="4" w:space="0"/>
                    <w:bottom w:val="single" w:color="000000" w:sz="4" w:space="0"/>
                    <w:right w:val="single" w:color="auto" w:sz="4" w:space="0"/>
                  </w:tcBorders>
                  <w:noWrap w:val="0"/>
                  <w:vAlign w:val="center"/>
                </w:tcPr>
                <w:p>
                  <w:pPr>
                    <w:jc w:val="center"/>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444"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48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25.27</w:t>
                  </w:r>
                </w:p>
              </w:tc>
              <w:tc>
                <w:tcPr>
                  <w:tcW w:w="150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25.27</w:t>
                  </w:r>
                </w:p>
              </w:tc>
              <w:tc>
                <w:tcPr>
                  <w:tcW w:w="1391" w:type="dxa"/>
                  <w:tcBorders>
                    <w:top w:val="nil"/>
                    <w:left w:val="single" w:color="auto" w:sz="4" w:space="0"/>
                    <w:bottom w:val="single" w:color="000000" w:sz="4" w:space="0"/>
                    <w:right w:val="single" w:color="auto" w:sz="4" w:space="0"/>
                  </w:tcBorders>
                  <w:noWrap w:val="0"/>
                  <w:vAlign w:val="center"/>
                </w:tcPr>
                <w:p>
                  <w:pPr>
                    <w:jc w:val="center"/>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444"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48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8.63</w:t>
                  </w:r>
                </w:p>
              </w:tc>
              <w:tc>
                <w:tcPr>
                  <w:tcW w:w="150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8.63</w:t>
                  </w:r>
                </w:p>
              </w:tc>
              <w:tc>
                <w:tcPr>
                  <w:tcW w:w="1391" w:type="dxa"/>
                  <w:tcBorders>
                    <w:top w:val="nil"/>
                    <w:left w:val="single" w:color="auto" w:sz="4" w:space="0"/>
                    <w:bottom w:val="single" w:color="000000" w:sz="4" w:space="0"/>
                    <w:right w:val="single" w:color="auto" w:sz="4" w:space="0"/>
                  </w:tcBorders>
                  <w:noWrap w:val="0"/>
                  <w:vAlign w:val="center"/>
                </w:tcPr>
                <w:p>
                  <w:pPr>
                    <w:jc w:val="center"/>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444"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b/>
                      <w:bCs/>
                      <w:color w:val="auto"/>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482"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13.19</w:t>
                  </w:r>
                </w:p>
              </w:tc>
              <w:tc>
                <w:tcPr>
                  <w:tcW w:w="1503" w:type="dxa"/>
                  <w:tcBorders>
                    <w:top w:val="nil"/>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bCs/>
                      <w:color w:val="auto"/>
                      <w:kern w:val="0"/>
                      <w:sz w:val="20"/>
                      <w:szCs w:val="20"/>
                    </w:rPr>
                  </w:pPr>
                  <w:r>
                    <w:rPr>
                      <w:rFonts w:hint="eastAsia" w:ascii="宋体" w:hAnsi="宋体" w:eastAsia="宋体" w:cs="宋体"/>
                      <w:i w:val="0"/>
                      <w:color w:val="000000"/>
                      <w:kern w:val="0"/>
                      <w:sz w:val="20"/>
                      <w:szCs w:val="20"/>
                      <w:u w:val="none"/>
                      <w:lang w:val="en-US" w:eastAsia="zh-CN" w:bidi="ar"/>
                    </w:rPr>
                    <w:t>13.19</w:t>
                  </w:r>
                </w:p>
              </w:tc>
              <w:tc>
                <w:tcPr>
                  <w:tcW w:w="1391" w:type="dxa"/>
                  <w:tcBorders>
                    <w:top w:val="nil"/>
                    <w:left w:val="single" w:color="auto" w:sz="4" w:space="0"/>
                    <w:bottom w:val="single" w:color="000000" w:sz="4" w:space="0"/>
                    <w:right w:val="single" w:color="auto" w:sz="4" w:space="0"/>
                  </w:tcBorders>
                  <w:noWrap w:val="0"/>
                  <w:vAlign w:val="center"/>
                </w:tcPr>
                <w:p>
                  <w:pPr>
                    <w:jc w:val="center"/>
                    <w:rPr>
                      <w:rFonts w:ascii="宋体" w:hAnsi="宋体" w:cs="宋体"/>
                      <w:b/>
                      <w:bCs/>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auto"/>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auto"/>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auto"/>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18.27</w:t>
                  </w: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18.27</w:t>
                  </w:r>
                </w:p>
              </w:tc>
              <w:tc>
                <w:tcPr>
                  <w:tcW w:w="1391"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办公费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2.00</w:t>
                  </w:r>
                </w:p>
              </w:tc>
              <w:tc>
                <w:tcPr>
                  <w:tcW w:w="1503" w:type="dxa"/>
                  <w:tcBorders>
                    <w:top w:val="nil"/>
                    <w:left w:val="nil"/>
                    <w:bottom w:val="single" w:color="auto" w:sz="4" w:space="0"/>
                    <w:right w:val="single" w:color="auto" w:sz="4" w:space="0"/>
                  </w:tcBorders>
                  <w:noWrap w:val="0"/>
                  <w:vAlign w:val="center"/>
                </w:tcPr>
                <w:p>
                  <w:pPr>
                    <w:jc w:val="center"/>
                    <w:rPr>
                      <w:rFonts w:hint="eastAsia" w:ascii="宋体" w:hAnsi="宋体" w:eastAsia="宋体" w:cs="宋体"/>
                      <w:i w:val="0"/>
                      <w:color w:val="000000"/>
                      <w:kern w:val="0"/>
                      <w:sz w:val="20"/>
                      <w:szCs w:val="20"/>
                      <w:u w:val="none"/>
                      <w:lang w:val="en-US" w:eastAsia="zh-CN" w:bidi="ar"/>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2.00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仿宋_GB2312" w:hAnsi="宋体" w:eastAsia="仿宋_GB2312"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auto"/>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仿宋_GB2312" w:hAnsi="宋体" w:eastAsia="仿宋_GB2312" w:cs="宋体"/>
                      <w:color w:val="auto"/>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0.50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手续费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0.20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0.20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1.50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1.50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1.20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1.20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因公出国（境）费用</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1.00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0.50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1.11</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1.11</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1.99</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1.99</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31</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公务用车运行维护费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3.50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3.50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2.80</w:t>
                  </w: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2.80</w:t>
                  </w: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12.57</w:t>
                  </w: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12.57</w:t>
                  </w:r>
                </w:p>
              </w:tc>
              <w:tc>
                <w:tcPr>
                  <w:tcW w:w="1391" w:type="dxa"/>
                  <w:tcBorders>
                    <w:top w:val="nil"/>
                    <w:left w:val="nil"/>
                    <w:bottom w:val="single" w:color="auto" w:sz="4" w:space="0"/>
                    <w:right w:val="single" w:color="auto" w:sz="4" w:space="0"/>
                  </w:tcBorders>
                  <w:noWrap w:val="0"/>
                  <w:vAlign w:val="center"/>
                </w:tcPr>
                <w:p>
                  <w:pPr>
                    <w:jc w:val="center"/>
                    <w:rPr>
                      <w:rFonts w:hint="eastAsia" w:ascii="宋体" w:hAnsi="宋体" w:eastAsia="宋体" w:cs="宋体"/>
                      <w:color w:val="auto"/>
                      <w:kern w:val="0"/>
                      <w:sz w:val="20"/>
                      <w:szCs w:val="20"/>
                      <w:lang w:val="en-US" w:eastAsia="zh-CN"/>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2.28</w:t>
                  </w: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2.28</w:t>
                  </w:r>
                </w:p>
              </w:tc>
              <w:tc>
                <w:tcPr>
                  <w:tcW w:w="1391"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3.39</w:t>
                  </w: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20"/>
                      <w:szCs w:val="20"/>
                      <w:u w:val="none"/>
                      <w:lang w:val="en-US" w:eastAsia="zh-CN" w:bidi="ar"/>
                    </w:rPr>
                    <w:t>3.39</w:t>
                  </w:r>
                </w:p>
              </w:tc>
              <w:tc>
                <w:tcPr>
                  <w:tcW w:w="1391"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10.80</w:t>
                  </w: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10.80</w:t>
                  </w:r>
                </w:p>
              </w:tc>
              <w:tc>
                <w:tcPr>
                  <w:tcW w:w="1391"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jc w:val="center"/>
                    <w:rPr>
                      <w:rFonts w:hint="eastAsia" w:ascii="宋体" w:hAnsi="宋体" w:eastAsia="宋体" w:cs="宋体"/>
                      <w:color w:val="auto"/>
                      <w:kern w:val="0"/>
                      <w:sz w:val="20"/>
                      <w:szCs w:val="20"/>
                      <w:lang w:val="en-US" w:eastAsia="zh-CN"/>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p>
              </w:tc>
            </w:tr>
            <w:tr>
              <w:tblPrEx>
                <w:tblLayout w:type="fixed"/>
                <w:tblCellMar>
                  <w:top w:w="0" w:type="dxa"/>
                  <w:left w:w="108" w:type="dxa"/>
                  <w:bottom w:w="0" w:type="dxa"/>
                  <w:right w:w="108" w:type="dxa"/>
                </w:tblCellMar>
              </w:tblPrEx>
              <w:trPr>
                <w:trHeight w:val="300"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p>
              </w:tc>
              <w:tc>
                <w:tcPr>
                  <w:tcW w:w="1503"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color w:val="auto"/>
                      <w:kern w:val="0"/>
                      <w:sz w:val="20"/>
                      <w:szCs w:val="20"/>
                      <w:lang w:val="en-US" w:eastAsia="zh-CN"/>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00"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p>
              </w:tc>
              <w:tc>
                <w:tcPr>
                  <w:tcW w:w="1503"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color w:val="auto"/>
                      <w:kern w:val="0"/>
                      <w:sz w:val="20"/>
                      <w:szCs w:val="20"/>
                      <w:lang w:val="en-US" w:eastAsia="zh-CN"/>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00"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p>
              </w:tc>
              <w:tc>
                <w:tcPr>
                  <w:tcW w:w="1503" w:type="dxa"/>
                  <w:tcBorders>
                    <w:top w:val="nil"/>
                    <w:left w:val="nil"/>
                    <w:bottom w:val="single" w:color="auto" w:sz="4" w:space="0"/>
                    <w:right w:val="single" w:color="auto" w:sz="4" w:space="0"/>
                  </w:tcBorders>
                  <w:noWrap w:val="0"/>
                  <w:vAlign w:val="center"/>
                </w:tcPr>
                <w:p>
                  <w:pPr>
                    <w:jc w:val="center"/>
                    <w:rPr>
                      <w:rFonts w:hint="default" w:ascii="宋体" w:hAnsi="宋体" w:eastAsia="宋体" w:cs="宋体"/>
                      <w:color w:val="auto"/>
                      <w:kern w:val="0"/>
                      <w:sz w:val="20"/>
                      <w:szCs w:val="20"/>
                      <w:lang w:val="en-US" w:eastAsia="zh-CN"/>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r>
            <w:tr>
              <w:tblPrEx>
                <w:tblLayout w:type="fixed"/>
                <w:tblCellMar>
                  <w:top w:w="0" w:type="dxa"/>
                  <w:left w:w="108" w:type="dxa"/>
                  <w:bottom w:w="0" w:type="dxa"/>
                  <w:right w:w="108" w:type="dxa"/>
                </w:tblCellMar>
              </w:tblPrEx>
              <w:trPr>
                <w:trHeight w:val="321"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p>
              </w:tc>
              <w:tc>
                <w:tcPr>
                  <w:tcW w:w="1503" w:type="dxa"/>
                  <w:tcBorders>
                    <w:top w:val="nil"/>
                    <w:left w:val="nil"/>
                    <w:bottom w:val="single" w:color="auto" w:sz="4" w:space="0"/>
                    <w:right w:val="single" w:color="auto" w:sz="4" w:space="0"/>
                  </w:tcBorders>
                  <w:noWrap w:val="0"/>
                  <w:vAlign w:val="center"/>
                </w:tcPr>
                <w:p>
                  <w:pPr>
                    <w:jc w:val="center"/>
                    <w:rPr>
                      <w:rFonts w:ascii="宋体" w:hAnsi="宋体" w:cs="宋体"/>
                      <w:color w:val="auto"/>
                      <w:kern w:val="0"/>
                      <w:sz w:val="20"/>
                      <w:szCs w:val="20"/>
                    </w:rPr>
                  </w:pP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lang w:val="en-US" w:eastAsia="zh-CN"/>
                    </w:rPr>
                  </w:pPr>
                </w:p>
              </w:tc>
            </w:tr>
            <w:tr>
              <w:tblPrEx>
                <w:tblLayout w:type="fixed"/>
                <w:tblCellMar>
                  <w:top w:w="0" w:type="dxa"/>
                  <w:left w:w="108" w:type="dxa"/>
                  <w:bottom w:w="0" w:type="dxa"/>
                  <w:right w:w="108" w:type="dxa"/>
                </w:tblCellMar>
              </w:tblPrEx>
              <w:trPr>
                <w:trHeight w:val="330" w:hRule="exact"/>
              </w:trPr>
              <w:tc>
                <w:tcPr>
                  <w:tcW w:w="669"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p>
              </w:tc>
              <w:tc>
                <w:tcPr>
                  <w:tcW w:w="64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p>
              </w:tc>
              <w:tc>
                <w:tcPr>
                  <w:tcW w:w="2444"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auto"/>
                      <w:kern w:val="0"/>
                      <w:sz w:val="20"/>
                      <w:szCs w:val="20"/>
                    </w:rPr>
                  </w:pPr>
                  <w:r>
                    <w:rPr>
                      <w:rFonts w:hint="eastAsia" w:ascii="宋体" w:hAnsi="宋体" w:eastAsia="宋体" w:cs="宋体"/>
                      <w:i w:val="0"/>
                      <w:color w:val="000000"/>
                      <w:kern w:val="0"/>
                      <w:sz w:val="18"/>
                      <w:szCs w:val="18"/>
                      <w:u w:val="none"/>
                      <w:lang w:val="en-US" w:eastAsia="zh-CN" w:bidi="ar"/>
                    </w:rPr>
                    <w:t>合计</w:t>
                  </w:r>
                </w:p>
              </w:tc>
              <w:tc>
                <w:tcPr>
                  <w:tcW w:w="148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291.59</w:t>
                  </w:r>
                </w:p>
              </w:tc>
              <w:tc>
                <w:tcPr>
                  <w:tcW w:w="1503"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275.29</w:t>
                  </w:r>
                </w:p>
              </w:tc>
              <w:tc>
                <w:tcPr>
                  <w:tcW w:w="139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i w:val="0"/>
                      <w:color w:val="000000"/>
                      <w:kern w:val="0"/>
                      <w:sz w:val="20"/>
                      <w:szCs w:val="20"/>
                      <w:u w:val="none"/>
                      <w:lang w:val="en-US" w:eastAsia="zh-CN" w:bidi="ar"/>
                    </w:rPr>
                    <w:t>16.30</w:t>
                  </w:r>
                </w:p>
              </w:tc>
            </w:tr>
          </w:tbl>
          <w:p>
            <w:pPr>
              <w:pStyle w:val="2"/>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pPr w:leftFromText="180" w:rightFromText="180" w:vertAnchor="text" w:horzAnchor="page" w:tblpX="1365" w:tblpY="456"/>
        <w:tblOverlap w:val="never"/>
        <w:tblW w:w="9540" w:type="dxa"/>
        <w:tblInd w:w="0" w:type="dxa"/>
        <w:tblLayout w:type="fixed"/>
        <w:tblCellMar>
          <w:top w:w="0" w:type="dxa"/>
          <w:left w:w="108" w:type="dxa"/>
          <w:bottom w:w="0" w:type="dxa"/>
          <w:right w:w="108" w:type="dxa"/>
        </w:tblCellMar>
      </w:tblPr>
      <w:tblGrid>
        <w:gridCol w:w="8"/>
        <w:gridCol w:w="523"/>
        <w:gridCol w:w="504"/>
        <w:gridCol w:w="426"/>
        <w:gridCol w:w="1388"/>
        <w:gridCol w:w="897"/>
        <w:gridCol w:w="718"/>
        <w:gridCol w:w="353"/>
        <w:gridCol w:w="687"/>
        <w:gridCol w:w="632"/>
        <w:gridCol w:w="521"/>
        <w:gridCol w:w="578"/>
        <w:gridCol w:w="419"/>
        <w:gridCol w:w="578"/>
        <w:gridCol w:w="420"/>
        <w:gridCol w:w="420"/>
        <w:gridCol w:w="389"/>
        <w:gridCol w:w="79"/>
      </w:tblGrid>
      <w:tr>
        <w:tblPrEx>
          <w:tblLayout w:type="fixed"/>
        </w:tblPrEx>
        <w:trPr>
          <w:gridBefore w:val="1"/>
          <w:gridAfter w:val="1"/>
          <w:wBefore w:w="8" w:type="dxa"/>
          <w:wAfter w:w="79" w:type="dxa"/>
          <w:trHeight w:val="375" w:hRule="atLeast"/>
        </w:trPr>
        <w:tc>
          <w:tcPr>
            <w:tcW w:w="9453" w:type="dxa"/>
            <w:gridSpan w:val="16"/>
            <w:tcBorders>
              <w:top w:val="nil"/>
              <w:left w:val="nil"/>
              <w:bottom w:val="nil"/>
              <w:right w:val="nil"/>
            </w:tcBorders>
            <w:noWrap/>
            <w:vAlign w:val="center"/>
          </w:tcPr>
          <w:p>
            <w:pPr>
              <w:widowControl/>
              <w:jc w:val="center"/>
              <w:rPr>
                <w:rFonts w:hint="eastAsia"/>
                <w:sz w:val="24"/>
                <w:szCs w:val="24"/>
              </w:rPr>
            </w:pPr>
            <w:r>
              <w:rPr>
                <w:rFonts w:hint="eastAsia"/>
                <w:sz w:val="24"/>
                <w:szCs w:val="24"/>
              </w:rPr>
              <w:t>一般公共预算项目支出情况表</w:t>
            </w:r>
          </w:p>
          <w:p>
            <w:pPr>
              <w:widowControl/>
              <w:spacing w:before="100" w:beforeAutospacing="1" w:after="100" w:afterAutospacing="1" w:line="280" w:lineRule="exact"/>
              <w:outlineLvl w:val="1"/>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6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88"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97"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8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2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04"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88"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9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5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8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eastAsia="仿宋_GB2312"/>
                <w:color w:val="000000"/>
                <w:sz w:val="16"/>
                <w:szCs w:val="16"/>
              </w:rPr>
            </w:pPr>
            <w:r>
              <w:rPr>
                <w:rFonts w:hint="eastAsia" w:ascii="仿宋" w:hAnsi="仿宋" w:eastAsia="仿宋" w:cs="仿宋"/>
                <w:b w:val="0"/>
                <w:bCs w:val="0"/>
                <w:i w:val="0"/>
                <w:color w:val="000000"/>
                <w:kern w:val="0"/>
                <w:sz w:val="16"/>
                <w:szCs w:val="16"/>
                <w:u w:val="none"/>
                <w:lang w:val="en-US" w:eastAsia="zh-CN" w:bidi="ar"/>
              </w:rPr>
              <w:t>201</w:t>
            </w:r>
          </w:p>
        </w:tc>
        <w:tc>
          <w:tcPr>
            <w:tcW w:w="504"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eastAsia="仿宋_GB2312"/>
                <w:color w:val="000000"/>
                <w:sz w:val="16"/>
                <w:szCs w:val="16"/>
              </w:rPr>
            </w:pPr>
          </w:p>
        </w:tc>
        <w:tc>
          <w:tcPr>
            <w:tcW w:w="426"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仿宋_GB2312" w:eastAsia="仿宋_GB2312"/>
                <w:color w:val="000000"/>
                <w:sz w:val="16"/>
                <w:szCs w:val="16"/>
                <w:lang w:val="en-US" w:eastAsia="zh-CN"/>
              </w:rPr>
            </w:pPr>
          </w:p>
        </w:tc>
        <w:tc>
          <w:tcPr>
            <w:tcW w:w="1388"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ascii="仿宋_GB2312" w:eastAsia="仿宋_GB2312"/>
                <w:color w:val="000000"/>
                <w:sz w:val="16"/>
                <w:szCs w:val="16"/>
              </w:rPr>
            </w:pPr>
            <w:r>
              <w:rPr>
                <w:rFonts w:hint="eastAsia" w:ascii="仿宋_GB2312" w:hAnsi="宋体" w:eastAsia="仿宋_GB2312" w:cs="宋体"/>
                <w:b w:val="0"/>
                <w:bCs w:val="0"/>
                <w:color w:val="000000"/>
                <w:sz w:val="16"/>
                <w:szCs w:val="16"/>
                <w:lang w:val="en-US" w:eastAsia="zh-CN"/>
              </w:rPr>
              <w:t>一般公共服务支出</w:t>
            </w:r>
          </w:p>
        </w:tc>
        <w:tc>
          <w:tcPr>
            <w:tcW w:w="897" w:type="dxa"/>
            <w:vAlign w:val="center"/>
          </w:tcPr>
          <w:p>
            <w:pPr>
              <w:keepNext w:val="0"/>
              <w:keepLines w:val="0"/>
              <w:widowControl/>
              <w:suppressLineNumbers w:val="0"/>
              <w:jc w:val="left"/>
              <w:textAlignment w:val="center"/>
              <w:rPr>
                <w:rFonts w:hint="eastAsia" w:ascii="宋体" w:hAnsi="宋体" w:eastAsia="宋体" w:cs="宋体"/>
                <w:color w:val="000000"/>
                <w:kern w:val="0"/>
                <w:sz w:val="16"/>
                <w:szCs w:val="16"/>
                <w:lang w:eastAsia="zh-CN"/>
              </w:rPr>
            </w:pPr>
          </w:p>
        </w:tc>
        <w:tc>
          <w:tcPr>
            <w:tcW w:w="71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 w:hAnsi="仿宋" w:eastAsia="仿宋" w:cs="仿宋"/>
                <w:b w:val="0"/>
                <w:bCs w:val="0"/>
                <w:i w:val="0"/>
                <w:color w:val="000000"/>
                <w:kern w:val="0"/>
                <w:sz w:val="16"/>
                <w:szCs w:val="16"/>
                <w:u w:val="none"/>
                <w:lang w:val="en-US" w:eastAsia="zh-CN" w:bidi="ar"/>
              </w:rPr>
              <w:t>7.97</w:t>
            </w:r>
          </w:p>
        </w:tc>
        <w:tc>
          <w:tcPr>
            <w:tcW w:w="35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p>
        </w:tc>
        <w:tc>
          <w:tcPr>
            <w:tcW w:w="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 w:hAnsi="仿宋" w:eastAsia="仿宋" w:cs="仿宋"/>
                <w:b w:val="0"/>
                <w:bCs w:val="0"/>
                <w:i w:val="0"/>
                <w:color w:val="000000"/>
                <w:kern w:val="0"/>
                <w:sz w:val="16"/>
                <w:szCs w:val="16"/>
                <w:u w:val="none"/>
                <w:lang w:val="en-US" w:eastAsia="zh-CN" w:bidi="ar"/>
              </w:rPr>
              <w:t>7.00</w:t>
            </w:r>
          </w:p>
        </w:tc>
        <w:tc>
          <w:tcPr>
            <w:tcW w:w="6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r>
              <w:rPr>
                <w:rFonts w:hint="eastAsia" w:ascii="仿宋" w:hAnsi="仿宋" w:eastAsia="仿宋" w:cs="仿宋"/>
                <w:b w:val="0"/>
                <w:bCs w:val="0"/>
                <w:i w:val="0"/>
                <w:color w:val="000000"/>
                <w:kern w:val="0"/>
                <w:sz w:val="16"/>
                <w:szCs w:val="16"/>
                <w:u w:val="none"/>
                <w:lang w:val="en-US" w:eastAsia="zh-CN" w:bidi="ar"/>
              </w:rPr>
              <w:t>0.97</w:t>
            </w:r>
          </w:p>
        </w:tc>
        <w:tc>
          <w:tcPr>
            <w:tcW w:w="52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eastAsia="仿宋_GB2312"/>
                <w:color w:val="000000"/>
                <w:sz w:val="16"/>
                <w:szCs w:val="16"/>
              </w:rPr>
            </w:pPr>
            <w:r>
              <w:rPr>
                <w:rFonts w:hint="eastAsia" w:ascii="仿宋" w:hAnsi="仿宋" w:eastAsia="仿宋" w:cs="仿宋"/>
                <w:b w:val="0"/>
                <w:bCs w:val="0"/>
                <w:i w:val="0"/>
                <w:color w:val="000000"/>
                <w:kern w:val="0"/>
                <w:sz w:val="16"/>
                <w:szCs w:val="16"/>
                <w:u w:val="none"/>
                <w:lang w:val="en-US" w:eastAsia="zh-CN" w:bidi="ar"/>
              </w:rPr>
              <w:t>201</w:t>
            </w:r>
          </w:p>
        </w:tc>
        <w:tc>
          <w:tcPr>
            <w:tcW w:w="504"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eastAsia="仿宋_GB2312"/>
                <w:color w:val="000000"/>
                <w:sz w:val="16"/>
                <w:szCs w:val="16"/>
              </w:rPr>
            </w:pPr>
            <w:r>
              <w:rPr>
                <w:rFonts w:hint="eastAsia" w:ascii="仿宋" w:hAnsi="仿宋" w:eastAsia="仿宋" w:cs="仿宋"/>
                <w:b w:val="0"/>
                <w:bCs w:val="0"/>
                <w:i w:val="0"/>
                <w:color w:val="000000"/>
                <w:kern w:val="0"/>
                <w:sz w:val="16"/>
                <w:szCs w:val="16"/>
                <w:u w:val="none"/>
                <w:lang w:val="en-US" w:eastAsia="zh-CN" w:bidi="ar"/>
              </w:rPr>
              <w:t>03</w:t>
            </w:r>
          </w:p>
        </w:tc>
        <w:tc>
          <w:tcPr>
            <w:tcW w:w="426"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仿宋_GB2312" w:eastAsia="仿宋_GB2312"/>
                <w:color w:val="000000"/>
                <w:sz w:val="16"/>
                <w:szCs w:val="16"/>
              </w:rPr>
            </w:pPr>
          </w:p>
        </w:tc>
        <w:tc>
          <w:tcPr>
            <w:tcW w:w="1388" w:type="dxa"/>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320" w:firstLineChars="200"/>
              <w:jc w:val="both"/>
              <w:textAlignment w:val="center"/>
              <w:rPr>
                <w:rFonts w:ascii="仿宋_GB2312" w:eastAsia="仿宋_GB2312"/>
                <w:color w:val="000000"/>
                <w:sz w:val="16"/>
                <w:szCs w:val="16"/>
              </w:rPr>
            </w:pPr>
            <w:r>
              <w:rPr>
                <w:rFonts w:hint="eastAsia" w:ascii="仿宋" w:hAnsi="仿宋" w:eastAsia="仿宋" w:cs="仿宋"/>
                <w:b w:val="0"/>
                <w:bCs w:val="0"/>
                <w:color w:val="000000"/>
                <w:sz w:val="16"/>
                <w:szCs w:val="16"/>
                <w:lang w:val="en-US" w:eastAsia="zh-CN"/>
              </w:rPr>
              <w:t>政府办公厅（室）及相关机构事务</w:t>
            </w:r>
          </w:p>
        </w:tc>
        <w:tc>
          <w:tcPr>
            <w:tcW w:w="897" w:type="dxa"/>
            <w:vAlign w:val="center"/>
          </w:tcPr>
          <w:p>
            <w:pPr>
              <w:keepNext w:val="0"/>
              <w:keepLines w:val="0"/>
              <w:widowControl/>
              <w:suppressLineNumbers w:val="0"/>
              <w:jc w:val="left"/>
              <w:textAlignment w:val="center"/>
              <w:rPr>
                <w:rFonts w:hint="eastAsia" w:ascii="仿宋_GB2312" w:hAnsi="宋体" w:eastAsia="仿宋_GB2312"/>
                <w:kern w:val="0"/>
                <w:sz w:val="16"/>
                <w:szCs w:val="16"/>
                <w:lang w:eastAsia="zh-CN"/>
              </w:rPr>
            </w:pPr>
          </w:p>
        </w:tc>
        <w:tc>
          <w:tcPr>
            <w:tcW w:w="71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 w:hAnsi="仿宋" w:eastAsia="仿宋" w:cs="仿宋"/>
                <w:b w:val="0"/>
                <w:bCs w:val="0"/>
                <w:i w:val="0"/>
                <w:color w:val="000000"/>
                <w:kern w:val="0"/>
                <w:sz w:val="16"/>
                <w:szCs w:val="16"/>
                <w:u w:val="none"/>
                <w:lang w:val="en-US" w:eastAsia="zh-CN" w:bidi="ar"/>
              </w:rPr>
              <w:t>7.97</w:t>
            </w:r>
          </w:p>
        </w:tc>
        <w:tc>
          <w:tcPr>
            <w:tcW w:w="35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p>
        </w:tc>
        <w:tc>
          <w:tcPr>
            <w:tcW w:w="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eastAsia="仿宋_GB2312"/>
                <w:color w:val="000000"/>
                <w:sz w:val="16"/>
                <w:szCs w:val="16"/>
                <w:lang w:val="en-US" w:eastAsia="zh-CN"/>
              </w:rPr>
            </w:pPr>
            <w:r>
              <w:rPr>
                <w:rFonts w:hint="eastAsia" w:ascii="仿宋" w:hAnsi="仿宋" w:eastAsia="仿宋" w:cs="仿宋"/>
                <w:b w:val="0"/>
                <w:bCs w:val="0"/>
                <w:i w:val="0"/>
                <w:color w:val="000000"/>
                <w:kern w:val="0"/>
                <w:sz w:val="16"/>
                <w:szCs w:val="16"/>
                <w:u w:val="none"/>
                <w:lang w:val="en-US" w:eastAsia="zh-CN" w:bidi="ar"/>
              </w:rPr>
              <w:t>7.00</w:t>
            </w:r>
          </w:p>
        </w:tc>
        <w:tc>
          <w:tcPr>
            <w:tcW w:w="6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仿宋_GB2312" w:eastAsia="仿宋_GB2312"/>
                <w:color w:val="000000"/>
                <w:sz w:val="16"/>
                <w:szCs w:val="16"/>
              </w:rPr>
            </w:pPr>
            <w:r>
              <w:rPr>
                <w:rFonts w:hint="eastAsia" w:ascii="仿宋" w:hAnsi="仿宋" w:eastAsia="仿宋" w:cs="仿宋"/>
                <w:b w:val="0"/>
                <w:bCs w:val="0"/>
                <w:i w:val="0"/>
                <w:color w:val="000000"/>
                <w:kern w:val="0"/>
                <w:sz w:val="16"/>
                <w:szCs w:val="16"/>
                <w:u w:val="none"/>
                <w:lang w:val="en-US" w:eastAsia="zh-CN" w:bidi="ar"/>
              </w:rPr>
              <w:t>0.97</w:t>
            </w:r>
          </w:p>
        </w:tc>
        <w:tc>
          <w:tcPr>
            <w:tcW w:w="52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201</w:t>
            </w:r>
          </w:p>
        </w:tc>
        <w:tc>
          <w:tcPr>
            <w:tcW w:w="50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03</w:t>
            </w:r>
          </w:p>
        </w:tc>
        <w:tc>
          <w:tcPr>
            <w:tcW w:w="426"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01</w:t>
            </w:r>
          </w:p>
        </w:tc>
        <w:tc>
          <w:tcPr>
            <w:tcW w:w="138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400"/>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行政运行（政府办公厅（室）及相关机构事务）</w:t>
            </w:r>
          </w:p>
        </w:tc>
        <w:tc>
          <w:tcPr>
            <w:tcW w:w="89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见习岗位补贴</w:t>
            </w:r>
          </w:p>
        </w:tc>
        <w:tc>
          <w:tcPr>
            <w:tcW w:w="71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0.97</w:t>
            </w:r>
          </w:p>
        </w:tc>
        <w:tc>
          <w:tcPr>
            <w:tcW w:w="35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color w:val="000000"/>
                <w:kern w:val="0"/>
                <w:sz w:val="16"/>
                <w:szCs w:val="16"/>
                <w:u w:val="none"/>
                <w:lang w:val="en-US" w:eastAsia="zh-CN" w:bidi="ar"/>
              </w:rPr>
            </w:pPr>
          </w:p>
        </w:tc>
        <w:tc>
          <w:tcPr>
            <w:tcW w:w="6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0.97</w:t>
            </w:r>
          </w:p>
        </w:tc>
        <w:tc>
          <w:tcPr>
            <w:tcW w:w="52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201</w:t>
            </w:r>
          </w:p>
        </w:tc>
        <w:tc>
          <w:tcPr>
            <w:tcW w:w="50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03</w:t>
            </w:r>
          </w:p>
        </w:tc>
        <w:tc>
          <w:tcPr>
            <w:tcW w:w="426"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99</w:t>
            </w:r>
          </w:p>
        </w:tc>
        <w:tc>
          <w:tcPr>
            <w:tcW w:w="138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400"/>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其他政府办公厅（室）及相关机构事务支出</w:t>
            </w:r>
          </w:p>
        </w:tc>
        <w:tc>
          <w:tcPr>
            <w:tcW w:w="89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群众工作经</w:t>
            </w:r>
          </w:p>
        </w:tc>
        <w:tc>
          <w:tcPr>
            <w:tcW w:w="71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7.00</w:t>
            </w:r>
          </w:p>
        </w:tc>
        <w:tc>
          <w:tcPr>
            <w:tcW w:w="35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7.00</w:t>
            </w:r>
          </w:p>
        </w:tc>
        <w:tc>
          <w:tcPr>
            <w:tcW w:w="6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521" w:type="dxa"/>
          </w:tcPr>
          <w:p>
            <w:pPr>
              <w:widowControl/>
              <w:jc w:val="left"/>
              <w:outlineLvl w:val="1"/>
              <w:rPr>
                <w:rFonts w:hint="eastAsia" w:ascii="仿宋_GB2312" w:hAnsi="宋体" w:eastAsia="仿宋_GB2312"/>
                <w:kern w:val="0"/>
                <w:sz w:val="16"/>
                <w:szCs w:val="16"/>
              </w:rPr>
            </w:pPr>
          </w:p>
        </w:tc>
        <w:tc>
          <w:tcPr>
            <w:tcW w:w="578" w:type="dxa"/>
          </w:tcPr>
          <w:p>
            <w:pPr>
              <w:widowControl/>
              <w:jc w:val="left"/>
              <w:outlineLvl w:val="1"/>
              <w:rPr>
                <w:rFonts w:hint="eastAsia" w:ascii="仿宋_GB2312" w:hAnsi="宋体" w:eastAsia="仿宋_GB2312"/>
                <w:kern w:val="0"/>
                <w:sz w:val="16"/>
                <w:szCs w:val="16"/>
              </w:rPr>
            </w:pPr>
          </w:p>
        </w:tc>
        <w:tc>
          <w:tcPr>
            <w:tcW w:w="419" w:type="dxa"/>
          </w:tcPr>
          <w:p>
            <w:pPr>
              <w:widowControl/>
              <w:jc w:val="left"/>
              <w:outlineLvl w:val="1"/>
              <w:rPr>
                <w:rFonts w:hint="eastAsia" w:ascii="仿宋_GB2312" w:hAnsi="宋体" w:eastAsia="仿宋_GB2312"/>
                <w:kern w:val="0"/>
                <w:sz w:val="16"/>
                <w:szCs w:val="16"/>
              </w:rPr>
            </w:pPr>
          </w:p>
        </w:tc>
        <w:tc>
          <w:tcPr>
            <w:tcW w:w="578" w:type="dxa"/>
          </w:tcPr>
          <w:p>
            <w:pPr>
              <w:widowControl/>
              <w:jc w:val="left"/>
              <w:outlineLvl w:val="1"/>
              <w:rPr>
                <w:rFonts w:hint="eastAsia" w:ascii="仿宋_GB2312" w:hAnsi="宋体" w:eastAsia="仿宋_GB2312"/>
                <w:kern w:val="0"/>
                <w:sz w:val="16"/>
                <w:szCs w:val="16"/>
              </w:rPr>
            </w:pPr>
          </w:p>
        </w:tc>
        <w:tc>
          <w:tcPr>
            <w:tcW w:w="420" w:type="dxa"/>
          </w:tcPr>
          <w:p>
            <w:pPr>
              <w:widowControl/>
              <w:jc w:val="left"/>
              <w:outlineLvl w:val="1"/>
              <w:rPr>
                <w:rFonts w:hint="eastAsia" w:ascii="仿宋_GB2312" w:hAnsi="宋体" w:eastAsia="仿宋_GB2312"/>
                <w:kern w:val="0"/>
                <w:sz w:val="16"/>
                <w:szCs w:val="16"/>
              </w:rPr>
            </w:pPr>
          </w:p>
        </w:tc>
        <w:tc>
          <w:tcPr>
            <w:tcW w:w="420" w:type="dxa"/>
          </w:tcPr>
          <w:p>
            <w:pPr>
              <w:widowControl/>
              <w:jc w:val="left"/>
              <w:outlineLvl w:val="1"/>
              <w:rPr>
                <w:rFonts w:hint="eastAsia" w:ascii="仿宋_GB2312" w:hAnsi="宋体" w:eastAsia="仿宋_GB2312"/>
                <w:kern w:val="0"/>
                <w:sz w:val="16"/>
                <w:szCs w:val="16"/>
              </w:rPr>
            </w:pPr>
          </w:p>
        </w:tc>
        <w:tc>
          <w:tcPr>
            <w:tcW w:w="468" w:type="dxa"/>
            <w:gridSpan w:val="2"/>
          </w:tcPr>
          <w:p>
            <w:pPr>
              <w:widowControl/>
              <w:jc w:val="left"/>
              <w:outlineLvl w:val="1"/>
              <w:rPr>
                <w:rFonts w:hint="eastAsia" w:ascii="仿宋_GB2312" w:hAnsi="宋体" w:eastAsia="仿宋_GB2312"/>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p>
        </w:tc>
        <w:tc>
          <w:tcPr>
            <w:tcW w:w="50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p>
        </w:tc>
        <w:tc>
          <w:tcPr>
            <w:tcW w:w="426"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p>
        </w:tc>
        <w:tc>
          <w:tcPr>
            <w:tcW w:w="138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400"/>
              <w:jc w:val="left"/>
              <w:textAlignment w:val="center"/>
              <w:rPr>
                <w:rFonts w:hint="eastAsia" w:ascii="仿宋" w:hAnsi="仿宋" w:eastAsia="仿宋" w:cs="仿宋"/>
                <w:b w:val="0"/>
                <w:bCs w:val="0"/>
                <w:i w:val="0"/>
                <w:color w:val="000000"/>
                <w:kern w:val="0"/>
                <w:sz w:val="16"/>
                <w:szCs w:val="16"/>
                <w:u w:val="none"/>
                <w:lang w:val="en-US" w:eastAsia="zh-CN" w:bidi="ar"/>
              </w:rPr>
            </w:pPr>
          </w:p>
        </w:tc>
        <w:tc>
          <w:tcPr>
            <w:tcW w:w="89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p>
        </w:tc>
        <w:tc>
          <w:tcPr>
            <w:tcW w:w="71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35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6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521" w:type="dxa"/>
          </w:tcPr>
          <w:p>
            <w:pPr>
              <w:widowControl/>
              <w:jc w:val="left"/>
              <w:outlineLvl w:val="1"/>
              <w:rPr>
                <w:rFonts w:hint="eastAsia" w:ascii="仿宋_GB2312" w:hAnsi="宋体" w:eastAsia="仿宋_GB2312"/>
                <w:kern w:val="0"/>
                <w:sz w:val="16"/>
                <w:szCs w:val="16"/>
              </w:rPr>
            </w:pPr>
          </w:p>
        </w:tc>
        <w:tc>
          <w:tcPr>
            <w:tcW w:w="578" w:type="dxa"/>
          </w:tcPr>
          <w:p>
            <w:pPr>
              <w:widowControl/>
              <w:jc w:val="left"/>
              <w:outlineLvl w:val="1"/>
              <w:rPr>
                <w:rFonts w:hint="eastAsia" w:ascii="仿宋_GB2312" w:hAnsi="宋体" w:eastAsia="仿宋_GB2312"/>
                <w:kern w:val="0"/>
                <w:sz w:val="16"/>
                <w:szCs w:val="16"/>
              </w:rPr>
            </w:pPr>
          </w:p>
        </w:tc>
        <w:tc>
          <w:tcPr>
            <w:tcW w:w="419" w:type="dxa"/>
          </w:tcPr>
          <w:p>
            <w:pPr>
              <w:widowControl/>
              <w:jc w:val="left"/>
              <w:outlineLvl w:val="1"/>
              <w:rPr>
                <w:rFonts w:hint="eastAsia" w:ascii="仿宋_GB2312" w:hAnsi="宋体" w:eastAsia="仿宋_GB2312"/>
                <w:kern w:val="0"/>
                <w:sz w:val="16"/>
                <w:szCs w:val="16"/>
              </w:rPr>
            </w:pPr>
          </w:p>
        </w:tc>
        <w:tc>
          <w:tcPr>
            <w:tcW w:w="578" w:type="dxa"/>
          </w:tcPr>
          <w:p>
            <w:pPr>
              <w:widowControl/>
              <w:jc w:val="left"/>
              <w:outlineLvl w:val="1"/>
              <w:rPr>
                <w:rFonts w:hint="eastAsia" w:ascii="仿宋_GB2312" w:hAnsi="宋体" w:eastAsia="仿宋_GB2312"/>
                <w:kern w:val="0"/>
                <w:sz w:val="16"/>
                <w:szCs w:val="16"/>
              </w:rPr>
            </w:pPr>
          </w:p>
        </w:tc>
        <w:tc>
          <w:tcPr>
            <w:tcW w:w="420" w:type="dxa"/>
          </w:tcPr>
          <w:p>
            <w:pPr>
              <w:widowControl/>
              <w:jc w:val="left"/>
              <w:outlineLvl w:val="1"/>
              <w:rPr>
                <w:rFonts w:hint="eastAsia" w:ascii="仿宋_GB2312" w:hAnsi="宋体" w:eastAsia="仿宋_GB2312"/>
                <w:kern w:val="0"/>
                <w:sz w:val="16"/>
                <w:szCs w:val="16"/>
              </w:rPr>
            </w:pPr>
          </w:p>
        </w:tc>
        <w:tc>
          <w:tcPr>
            <w:tcW w:w="420" w:type="dxa"/>
          </w:tcPr>
          <w:p>
            <w:pPr>
              <w:widowControl/>
              <w:jc w:val="left"/>
              <w:outlineLvl w:val="1"/>
              <w:rPr>
                <w:rFonts w:hint="eastAsia" w:ascii="仿宋_GB2312" w:hAnsi="宋体" w:eastAsia="仿宋_GB2312"/>
                <w:kern w:val="0"/>
                <w:sz w:val="16"/>
                <w:szCs w:val="16"/>
              </w:rPr>
            </w:pPr>
          </w:p>
        </w:tc>
        <w:tc>
          <w:tcPr>
            <w:tcW w:w="468" w:type="dxa"/>
            <w:gridSpan w:val="2"/>
          </w:tcPr>
          <w:p>
            <w:pPr>
              <w:widowControl/>
              <w:jc w:val="left"/>
              <w:outlineLvl w:val="1"/>
              <w:rPr>
                <w:rFonts w:hint="eastAsia" w:ascii="仿宋_GB2312" w:hAnsi="宋体" w:eastAsia="仿宋_GB2312"/>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　</w:t>
            </w:r>
          </w:p>
        </w:tc>
        <w:tc>
          <w:tcPr>
            <w:tcW w:w="504" w:type="dxa"/>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　</w:t>
            </w:r>
          </w:p>
        </w:tc>
        <w:tc>
          <w:tcPr>
            <w:tcW w:w="426" w:type="dxa"/>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　</w:t>
            </w:r>
          </w:p>
        </w:tc>
        <w:tc>
          <w:tcPr>
            <w:tcW w:w="1388" w:type="dxa"/>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　</w:t>
            </w:r>
          </w:p>
        </w:tc>
        <w:tc>
          <w:tcPr>
            <w:tcW w:w="89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合 计</w:t>
            </w:r>
          </w:p>
        </w:tc>
        <w:tc>
          <w:tcPr>
            <w:tcW w:w="718"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7.97</w:t>
            </w:r>
          </w:p>
        </w:tc>
        <w:tc>
          <w:tcPr>
            <w:tcW w:w="35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p>
        </w:tc>
        <w:tc>
          <w:tcPr>
            <w:tcW w:w="68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7.00</w:t>
            </w:r>
          </w:p>
        </w:tc>
        <w:tc>
          <w:tcPr>
            <w:tcW w:w="632"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color w:val="000000"/>
                <w:kern w:val="0"/>
                <w:sz w:val="16"/>
                <w:szCs w:val="16"/>
                <w:u w:val="none"/>
                <w:lang w:val="en-US" w:eastAsia="zh-CN" w:bidi="ar"/>
              </w:rPr>
            </w:pPr>
            <w:r>
              <w:rPr>
                <w:rFonts w:hint="eastAsia" w:ascii="仿宋" w:hAnsi="仿宋" w:eastAsia="仿宋" w:cs="仿宋"/>
                <w:b w:val="0"/>
                <w:bCs w:val="0"/>
                <w:i w:val="0"/>
                <w:color w:val="000000"/>
                <w:kern w:val="0"/>
                <w:sz w:val="16"/>
                <w:szCs w:val="16"/>
                <w:u w:val="none"/>
                <w:lang w:val="en-US" w:eastAsia="zh-CN" w:bidi="ar"/>
              </w:rPr>
              <w:t>0.97</w:t>
            </w:r>
          </w:p>
        </w:tc>
        <w:tc>
          <w:tcPr>
            <w:tcW w:w="52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spacing w:before="100" w:beforeAutospacing="1" w:after="100" w:afterAutospacing="1" w:line="280" w:lineRule="exact"/>
        <w:outlineLvl w:val="1"/>
        <w:rPr>
          <w:rFonts w:ascii="仿宋_GB2312" w:hAnsi="宋体" w:eastAsia="仿宋_GB2312"/>
          <w:kern w:val="0"/>
          <w:sz w:val="24"/>
        </w:rPr>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w:t>
      </w:r>
      <w:r>
        <w:rPr>
          <w:rFonts w:hint="eastAsia" w:ascii="仿宋_GB2312" w:hAnsi="宋体" w:eastAsia="仿宋_GB2312" w:cs="宋体"/>
          <w:kern w:val="0"/>
          <w:sz w:val="24"/>
          <w:szCs w:val="24"/>
          <w:lang w:val="en-US" w:eastAsia="zh-CN"/>
        </w:rPr>
        <w:t xml:space="preserve">      </w:t>
      </w:r>
      <w:r>
        <w:rPr>
          <w:rFonts w:hint="eastAsia" w:ascii="仿宋_GB2312" w:hAnsi="宋体" w:eastAsia="仿宋_GB2312" w:cs="宋体"/>
          <w:kern w:val="0"/>
          <w:sz w:val="24"/>
          <w:szCs w:val="24"/>
        </w:rPr>
        <w:t>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42"/>
        <w:gridCol w:w="1435"/>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i w:val="0"/>
                <w:color w:val="000000"/>
                <w:kern w:val="0"/>
                <w:sz w:val="18"/>
                <w:szCs w:val="18"/>
                <w:u w:val="none"/>
                <w:lang w:val="en-US" w:eastAsia="zh-CN" w:bidi="ar"/>
              </w:rPr>
              <w:t>5.00</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i w:val="0"/>
                <w:color w:val="000000"/>
                <w:kern w:val="0"/>
                <w:sz w:val="18"/>
                <w:szCs w:val="18"/>
                <w:u w:val="none"/>
                <w:lang w:val="en-US" w:eastAsia="zh-CN" w:bidi="ar"/>
              </w:rPr>
              <w:t>1.00</w:t>
            </w:r>
          </w:p>
        </w:tc>
        <w:tc>
          <w:tcPr>
            <w:tcW w:w="154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i w:val="0"/>
                <w:color w:val="000000"/>
                <w:kern w:val="0"/>
                <w:sz w:val="18"/>
                <w:szCs w:val="18"/>
                <w:u w:val="none"/>
                <w:lang w:val="en-US" w:eastAsia="zh-CN" w:bidi="ar"/>
              </w:rPr>
              <w:t>3.50</w:t>
            </w:r>
          </w:p>
        </w:tc>
        <w:tc>
          <w:tcPr>
            <w:tcW w:w="1435"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i w:val="0"/>
                <w:color w:val="000000"/>
                <w:kern w:val="0"/>
                <w:sz w:val="18"/>
                <w:szCs w:val="18"/>
                <w:u w:val="none"/>
                <w:lang w:val="en-US" w:eastAsia="zh-CN" w:bidi="ar"/>
              </w:rPr>
              <w:t>3.50</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i w:val="0"/>
                <w:color w:val="000000"/>
                <w:kern w:val="0"/>
                <w:sz w:val="18"/>
                <w:szCs w:val="18"/>
                <w:u w:val="none"/>
                <w:lang w:val="en-US" w:eastAsia="zh-CN" w:bidi="ar"/>
              </w:rPr>
              <w:t>0.50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435"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4"/>
              </w:rPr>
            </w:pPr>
          </w:p>
        </w:tc>
        <w:tc>
          <w:tcPr>
            <w:tcW w:w="154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4"/>
              </w:rPr>
            </w:pPr>
          </w:p>
        </w:tc>
        <w:tc>
          <w:tcPr>
            <w:tcW w:w="14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4"/>
              </w:rPr>
            </w:pPr>
          </w:p>
        </w:tc>
        <w:tc>
          <w:tcPr>
            <w:tcW w:w="17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4"/>
              </w:rPr>
            </w:pPr>
          </w:p>
        </w:tc>
      </w:tr>
    </w:tbl>
    <w:p>
      <w:pPr>
        <w:widowControl/>
        <w:spacing w:line="280" w:lineRule="exact"/>
        <w:jc w:val="left"/>
        <w:outlineLvl w:val="1"/>
        <w:rPr>
          <w:rFonts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before="100" w:beforeAutospacing="1" w:after="100" w:afterAutospacing="1" w:line="280" w:lineRule="exact"/>
        <w:outlineLvl w:val="1"/>
      </w:pPr>
      <w:r>
        <w:rPr>
          <w:rFonts w:hint="eastAsia" w:ascii="仿宋_GB2312" w:hAnsi="宋体" w:eastAsia="仿宋_GB2312" w:cs="宋体"/>
          <w:kern w:val="0"/>
          <w:sz w:val="24"/>
          <w:szCs w:val="24"/>
        </w:rPr>
        <w:t>编制部门（单位）：</w:t>
      </w:r>
      <w:r>
        <w:rPr>
          <w:rFonts w:hint="eastAsia" w:ascii="仿宋_GB2312" w:hAnsi="宋体" w:eastAsia="仿宋_GB2312" w:cs="宋体"/>
          <w:kern w:val="0"/>
          <w:sz w:val="24"/>
          <w:szCs w:val="24"/>
          <w:lang w:eastAsia="zh-CN"/>
        </w:rPr>
        <w:t>克孜勒苏柯尔克孜自治州外事办公室</w:t>
      </w:r>
      <w:r>
        <w:rPr>
          <w:rFonts w:hint="eastAsia" w:ascii="仿宋_GB2312" w:hAnsi="宋体" w:eastAsia="仿宋_GB2312" w:cs="宋体"/>
          <w:kern w:val="0"/>
          <w:sz w:val="24"/>
          <w:szCs w:val="24"/>
        </w:rPr>
        <w:t xml:space="preserve">    </w:t>
      </w:r>
      <w:r>
        <w:rPr>
          <w:rFonts w:hint="eastAsia" w:ascii="仿宋_GB2312" w:hAnsi="宋体" w:eastAsia="仿宋_GB2312" w:cs="宋体"/>
          <w:kern w:val="0"/>
          <w:sz w:val="24"/>
          <w:szCs w:val="24"/>
          <w:lang w:val="en-US" w:eastAsia="zh-CN"/>
        </w:rPr>
        <w:t xml:space="preserve">        </w:t>
      </w:r>
      <w:r>
        <w:rPr>
          <w:rFonts w:hint="eastAsia" w:ascii="仿宋_GB2312" w:hAnsi="宋体" w:eastAsia="仿宋_GB2312" w:cs="宋体"/>
          <w:kern w:val="0"/>
          <w:sz w:val="24"/>
          <w:szCs w:val="24"/>
        </w:rPr>
        <w:t xml:space="preserve">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hint="eastAsia"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克孜勒苏柯尔克孜自治州人民政府外事办公室无政府性基金预算拨款情况说明支出本表为空表。</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 xml:space="preserve"> </w:t>
      </w:r>
      <w:r>
        <w:rPr>
          <w:rFonts w:hint="eastAsia" w:ascii="黑体" w:hAnsi="黑体" w:eastAsia="黑体"/>
          <w:kern w:val="0"/>
          <w:sz w:val="32"/>
          <w:szCs w:val="32"/>
          <w:lang w:eastAsia="zh-CN"/>
        </w:rPr>
        <w:t>克孜勒苏柯尔克孜自治州外事办公室</w:t>
      </w:r>
      <w:r>
        <w:rPr>
          <w:rFonts w:hint="eastAsia" w:ascii="黑体" w:hAnsi="黑体" w:eastAsia="黑体"/>
          <w:kern w:val="0"/>
          <w:sz w:val="32"/>
          <w:szCs w:val="32"/>
        </w:rPr>
        <w:t>预算情况说明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克孜勒苏柯尔克孜自治州外事办公室</w:t>
      </w:r>
      <w:r>
        <w:rPr>
          <w:rFonts w:hint="eastAsia" w:ascii="黑体" w:hAnsi="宋体" w:eastAsia="黑体" w:cs="宋体"/>
          <w:kern w:val="0"/>
          <w:sz w:val="32"/>
          <w:szCs w:val="32"/>
        </w:rPr>
        <w:t>2021年收支预算情况的总体说明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克孜勒苏柯尔克孜自治州外事办公室</w:t>
      </w:r>
      <w:r>
        <w:rPr>
          <w:rFonts w:hint="eastAsia" w:ascii="仿宋_GB2312" w:hAnsi="宋体" w:eastAsia="仿宋_GB2312" w:cs="宋体"/>
          <w:kern w:val="0"/>
          <w:sz w:val="32"/>
          <w:szCs w:val="32"/>
        </w:rPr>
        <w:t>2021年所有收入和支出均纳入部门（单位）预算管理。收支总预算</w:t>
      </w:r>
      <w:r>
        <w:rPr>
          <w:rFonts w:hint="eastAsia" w:ascii="仿宋_GB2312" w:hAnsi="宋体" w:eastAsia="仿宋_GB2312" w:cs="宋体"/>
          <w:kern w:val="0"/>
          <w:sz w:val="32"/>
          <w:szCs w:val="32"/>
          <w:lang w:val="en-US" w:eastAsia="zh-CN"/>
        </w:rPr>
        <w:t>330.56</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w:t>
      </w:r>
      <w:r>
        <w:rPr>
          <w:rFonts w:hint="eastAsia" w:ascii="仿宋_GB2312" w:hAnsi="宋体" w:eastAsia="仿宋_GB2312" w:cs="宋体"/>
          <w:color w:val="auto"/>
          <w:kern w:val="0"/>
          <w:sz w:val="32"/>
          <w:szCs w:val="32"/>
        </w:rPr>
        <w:t>一般公共预算、</w:t>
      </w:r>
      <w:r>
        <w:rPr>
          <w:rFonts w:hint="eastAsia" w:ascii="仿宋_GB2312" w:hAnsi="仿宋_GB2312" w:eastAsia="仿宋_GB2312" w:cs="仿宋_GB2312"/>
          <w:color w:val="auto"/>
          <w:sz w:val="32"/>
          <w:szCs w:val="32"/>
          <w:lang w:val="en-US" w:eastAsia="zh-CN"/>
        </w:rPr>
        <w:t>上级补助收入、</w:t>
      </w:r>
      <w:r>
        <w:rPr>
          <w:rFonts w:hint="eastAsia" w:ascii="仿宋_GB2312" w:hAnsi="仿宋_GB2312" w:eastAsia="仿宋_GB2312" w:cs="仿宋_GB2312"/>
          <w:color w:val="auto"/>
          <w:sz w:val="32"/>
          <w:szCs w:val="32"/>
          <w:lang w:eastAsia="zh-CN"/>
        </w:rPr>
        <w:t>上级专项收入</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kern w:val="0"/>
          <w:sz w:val="32"/>
          <w:szCs w:val="32"/>
        </w:rPr>
      </w:pPr>
      <w:r>
        <w:rPr>
          <w:rFonts w:hint="eastAsia" w:ascii="黑体" w:hAnsi="宋体" w:eastAsia="黑体" w:cs="宋体"/>
          <w:kern w:val="0"/>
          <w:sz w:val="32"/>
          <w:szCs w:val="32"/>
        </w:rPr>
        <w:t>二、</w:t>
      </w:r>
      <w:r>
        <w:rPr>
          <w:rFonts w:hint="default" w:ascii="Times New Roman" w:hAnsi="Times New Roman" w:eastAsia="黑体" w:cs="Times New Roman"/>
          <w:kern w:val="0"/>
          <w:sz w:val="32"/>
          <w:szCs w:val="32"/>
        </w:rPr>
        <w:t>关于</w:t>
      </w:r>
      <w:r>
        <w:rPr>
          <w:rFonts w:hint="default" w:ascii="Times New Roman" w:hAnsi="Times New Roman" w:eastAsia="黑体" w:cs="Times New Roman"/>
          <w:kern w:val="0"/>
          <w:sz w:val="32"/>
          <w:szCs w:val="32"/>
          <w:lang w:eastAsia="zh-CN"/>
        </w:rPr>
        <w:t>克孜勒苏柯尔克孜自治州</w:t>
      </w:r>
      <w:r>
        <w:rPr>
          <w:rFonts w:hint="eastAsia" w:eastAsia="黑体" w:cs="Times New Roman"/>
          <w:kern w:val="0"/>
          <w:sz w:val="32"/>
          <w:szCs w:val="32"/>
          <w:lang w:val="en-US" w:eastAsia="zh-CN"/>
        </w:rPr>
        <w:t>人民政府外事办公室</w:t>
      </w:r>
      <w:r>
        <w:rPr>
          <w:rFonts w:hint="default" w:ascii="Times New Roman" w:hAnsi="Times New Roman" w:eastAsia="黑体" w:cs="Times New Roman"/>
          <w:kern w:val="0"/>
          <w:sz w:val="32"/>
          <w:szCs w:val="32"/>
        </w:rPr>
        <w:t>2021年收入预算情况说明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default" w:ascii="Times New Roman" w:hAnsi="Times New Roman" w:eastAsia="仿宋_GB2312" w:cs="Times New Roman"/>
          <w:color w:val="auto"/>
          <w:kern w:val="0"/>
          <w:sz w:val="32"/>
          <w:szCs w:val="32"/>
          <w:lang w:eastAsia="zh-CN"/>
        </w:rPr>
        <w:t>克孜勒苏柯尔克孜自治州</w:t>
      </w:r>
      <w:r>
        <w:rPr>
          <w:rFonts w:hint="eastAsia" w:eastAsia="仿宋_GB2312" w:cs="Times New Roman"/>
          <w:color w:val="auto"/>
          <w:kern w:val="0"/>
          <w:sz w:val="32"/>
          <w:szCs w:val="32"/>
          <w:lang w:val="en-US" w:eastAsia="zh-CN"/>
        </w:rPr>
        <w:t>人民政府外事办公室</w:t>
      </w:r>
      <w:r>
        <w:rPr>
          <w:rFonts w:hint="default" w:ascii="Times New Roman" w:hAnsi="Times New Roman" w:eastAsia="仿宋_GB2312" w:cs="Times New Roman"/>
          <w:color w:val="auto"/>
          <w:kern w:val="0"/>
          <w:sz w:val="32"/>
          <w:szCs w:val="32"/>
        </w:rPr>
        <w:t>收入预算</w:t>
      </w:r>
      <w:r>
        <w:rPr>
          <w:rFonts w:hint="eastAsia" w:ascii="仿宋_GB2312" w:hAnsi="宋体" w:eastAsia="仿宋_GB2312" w:cs="宋体"/>
          <w:color w:val="auto"/>
          <w:kern w:val="0"/>
          <w:sz w:val="32"/>
          <w:szCs w:val="32"/>
          <w:lang w:val="en-US" w:eastAsia="zh-CN"/>
        </w:rPr>
        <w:t>33</w:t>
      </w:r>
      <w:r>
        <w:rPr>
          <w:rFonts w:hint="eastAsia" w:ascii="仿宋_GB2312" w:hAnsi="宋体" w:eastAsia="仿宋_GB2312" w:cs="宋体"/>
          <w:kern w:val="0"/>
          <w:sz w:val="32"/>
          <w:szCs w:val="32"/>
          <w:lang w:val="en-US" w:eastAsia="zh-CN"/>
        </w:rPr>
        <w:t>0.56</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299.56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90.62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color w:val="auto"/>
          <w:kern w:val="0"/>
          <w:sz w:val="32"/>
          <w:szCs w:val="32"/>
        </w:rPr>
        <w:t>减少</w:t>
      </w:r>
      <w:r>
        <w:rPr>
          <w:rFonts w:hint="eastAsia" w:ascii="仿宋_GB2312" w:hAnsi="宋体" w:eastAsia="仿宋_GB2312" w:cs="宋体"/>
          <w:color w:val="auto"/>
          <w:kern w:val="0"/>
          <w:sz w:val="32"/>
          <w:szCs w:val="32"/>
          <w:lang w:val="en-US" w:eastAsia="zh-CN"/>
        </w:rPr>
        <w:t>7.71</w:t>
      </w:r>
      <w:r>
        <w:rPr>
          <w:rFonts w:hint="eastAsia" w:ascii="仿宋_GB2312" w:hAnsi="宋体" w:eastAsia="仿宋_GB2312" w:cs="宋体"/>
          <w:color w:val="auto"/>
          <w:kern w:val="0"/>
          <w:sz w:val="32"/>
          <w:szCs w:val="32"/>
        </w:rPr>
        <w:t>万元</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单位人员调出，人员减少。</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 xml:space="preserve">未安排。 </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上级补助收入10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3.03</w:t>
      </w:r>
      <w:r>
        <w:rPr>
          <w:rFonts w:hint="eastAsia"/>
        </w:rPr>
        <w:t xml:space="preserve"> </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上级补助经费增加</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上级专项</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3.63</w:t>
      </w:r>
      <w:r>
        <w:rPr>
          <w:rFonts w:hint="eastAsia"/>
        </w:rPr>
        <w:t xml:space="preserve"> </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克孜勒苏柯尔克孜自治州外事办公室</w:t>
      </w:r>
      <w:r>
        <w:rPr>
          <w:rFonts w:hint="eastAsia" w:ascii="黑体" w:hAnsi="宋体" w:eastAsia="黑体" w:cs="宋体"/>
          <w:kern w:val="0"/>
          <w:sz w:val="32"/>
          <w:szCs w:val="32"/>
        </w:rPr>
        <w:t>2021年支出预算情况说明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克孜勒苏柯尔克孜自治州外事办公室</w:t>
      </w:r>
      <w:r>
        <w:rPr>
          <w:rFonts w:hint="eastAsia" w:ascii="仿宋_GB2312" w:hAnsi="宋体" w:eastAsia="仿宋_GB2312" w:cs="宋体"/>
          <w:kern w:val="0"/>
          <w:sz w:val="32"/>
          <w:szCs w:val="32"/>
        </w:rPr>
        <w:t xml:space="preserve">2021年支出预算  </w:t>
      </w:r>
      <w:r>
        <w:rPr>
          <w:rFonts w:hint="eastAsia" w:ascii="仿宋_GB2312" w:hAnsi="宋体" w:eastAsia="仿宋_GB2312" w:cs="宋体"/>
          <w:kern w:val="0"/>
          <w:sz w:val="32"/>
          <w:szCs w:val="32"/>
          <w:lang w:val="en-US" w:eastAsia="zh-CN"/>
        </w:rPr>
        <w:t>330.56</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310.59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93.96</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6.18</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单位人员调出一人，工资减少</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黑体" w:eastAsia="黑体" w:cs="宋体"/>
          <w:bCs/>
          <w:kern w:val="0"/>
          <w:sz w:val="32"/>
          <w:szCs w:val="32"/>
        </w:rPr>
      </w:pPr>
      <w:r>
        <w:rPr>
          <w:rFonts w:hint="eastAsia" w:ascii="仿宋_GB2312" w:hAnsi="宋体" w:eastAsia="仿宋_GB2312" w:cs="宋体"/>
          <w:b w:val="0"/>
          <w:bCs w:val="0"/>
          <w:kern w:val="0"/>
          <w:sz w:val="32"/>
          <w:szCs w:val="32"/>
          <w:lang w:val="en-US" w:eastAsia="zh-CN" w:bidi="ar-SA"/>
        </w:rPr>
        <w:t xml:space="preserve">项目支出 19.97万元，占6.04 %，比上年预算增加0.97万元，主要原因是：2021年增加了实习就业人员生活补助。        </w:t>
      </w:r>
      <w:r>
        <w:rPr>
          <w:rFonts w:hint="eastAsia" w:ascii="仿宋_GB2312" w:hAnsi="宋体" w:eastAsia="仿宋_GB2312" w:cs="宋体"/>
          <w:kern w:val="0"/>
          <w:sz w:val="32"/>
          <w:szCs w:val="32"/>
        </w:rPr>
        <w:t xml:space="preserve"> </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克孜勒苏柯尔克孜自治州外事办公室</w:t>
      </w:r>
      <w:r>
        <w:rPr>
          <w:rFonts w:hint="eastAsia" w:ascii="黑体" w:hAnsi="黑体" w:eastAsia="黑体" w:cs="宋体"/>
          <w:bCs/>
          <w:kern w:val="0"/>
          <w:sz w:val="32"/>
          <w:szCs w:val="32"/>
        </w:rPr>
        <w:t>2021年财政拨款收支预算情况的总体说明</w:t>
      </w:r>
    </w:p>
    <w:p>
      <w:pPr>
        <w:spacing w:line="560" w:lineRule="exact"/>
        <w:ind w:firstLine="640" w:firstLineChars="200"/>
        <w:rPr>
          <w:rFonts w:ascii="仿宋_GB2312" w:hAnsi="宋体" w:eastAsia="仿宋_GB2312" w:cs="宋体"/>
          <w:color w:val="auto"/>
          <w:spacing w:val="-4"/>
          <w:kern w:val="0"/>
          <w:sz w:val="32"/>
          <w:szCs w:val="32"/>
        </w:rPr>
      </w:pPr>
      <w:r>
        <w:rPr>
          <w:rFonts w:hint="eastAsia" w:ascii="仿宋_GB2312" w:hAnsi="宋体" w:eastAsia="仿宋_GB2312" w:cs="宋体"/>
          <w:color w:val="auto"/>
          <w:kern w:val="0"/>
          <w:sz w:val="32"/>
          <w:szCs w:val="32"/>
          <w:lang w:val="en-US" w:eastAsia="zh-CN"/>
        </w:rPr>
        <w:t>2021</w:t>
      </w:r>
      <w:r>
        <w:rPr>
          <w:rFonts w:hint="eastAsia" w:ascii="仿宋_GB2312" w:hAnsi="宋体" w:eastAsia="仿宋_GB2312" w:cs="宋体"/>
          <w:color w:val="auto"/>
          <w:kern w:val="0"/>
          <w:sz w:val="32"/>
          <w:szCs w:val="32"/>
        </w:rPr>
        <w:t>年财政拨款收支总预算</w:t>
      </w:r>
      <w:r>
        <w:rPr>
          <w:rFonts w:hint="eastAsia" w:ascii="仿宋_GB2312" w:hAnsi="宋体" w:eastAsia="仿宋_GB2312" w:cs="宋体"/>
          <w:color w:val="auto"/>
          <w:spacing w:val="-6"/>
          <w:kern w:val="0"/>
          <w:sz w:val="32"/>
          <w:szCs w:val="32"/>
          <w:lang w:val="en-US" w:eastAsia="zh-CN"/>
        </w:rPr>
        <w:t>299.56</w:t>
      </w:r>
      <w:r>
        <w:rPr>
          <w:rFonts w:hint="eastAsia" w:ascii="仿宋_GB2312" w:hAnsi="宋体" w:eastAsia="仿宋_GB2312" w:cs="宋体"/>
          <w:color w:val="auto"/>
          <w:kern w:val="0"/>
          <w:sz w:val="32"/>
          <w:szCs w:val="32"/>
        </w:rPr>
        <w:t>万元。</w:t>
      </w:r>
    </w:p>
    <w:p>
      <w:pPr>
        <w:spacing w:line="560" w:lineRule="exact"/>
        <w:ind w:firstLine="616" w:firstLineChars="200"/>
        <w:rPr>
          <w:rFonts w:hint="eastAsia" w:ascii="仿宋_GB2312" w:hAnsi="宋体" w:eastAsia="仿宋_GB2312" w:cs="宋体"/>
          <w:color w:val="auto"/>
          <w:spacing w:val="-6"/>
          <w:kern w:val="0"/>
          <w:sz w:val="32"/>
          <w:szCs w:val="32"/>
        </w:rPr>
      </w:pPr>
      <w:r>
        <w:rPr>
          <w:rFonts w:hint="eastAsia" w:ascii="仿宋_GB2312" w:hAnsi="宋体" w:eastAsia="仿宋_GB2312" w:cs="宋体"/>
          <w:color w:val="auto"/>
          <w:spacing w:val="-6"/>
          <w:kern w:val="0"/>
          <w:sz w:val="32"/>
          <w:szCs w:val="32"/>
        </w:rPr>
        <w:t>收入全部为一般公共预算拨款，无政府性基金预算拨款和国有资本经营预算。</w:t>
      </w:r>
    </w:p>
    <w:p>
      <w:pPr>
        <w:spacing w:line="560" w:lineRule="exact"/>
        <w:ind w:firstLine="616" w:firstLineChars="200"/>
        <w:rPr>
          <w:rFonts w:hint="eastAsia" w:ascii="仿宋_GB2312" w:hAnsi="宋体" w:eastAsia="仿宋_GB2312" w:cs="宋体"/>
          <w:color w:val="auto"/>
          <w:spacing w:val="-6"/>
          <w:kern w:val="0"/>
          <w:sz w:val="32"/>
          <w:szCs w:val="32"/>
        </w:rPr>
      </w:pPr>
      <w:r>
        <w:rPr>
          <w:rFonts w:hint="eastAsia" w:ascii="仿宋_GB2312" w:hAnsi="宋体" w:eastAsia="仿宋_GB2312" w:cs="宋体"/>
          <w:color w:val="auto"/>
          <w:spacing w:val="-6"/>
          <w:kern w:val="0"/>
          <w:sz w:val="32"/>
          <w:szCs w:val="32"/>
        </w:rPr>
        <w:t>收入预算包括：一般公共预算拨款</w:t>
      </w:r>
      <w:r>
        <w:rPr>
          <w:rFonts w:hint="eastAsia" w:ascii="仿宋_GB2312" w:hAnsi="宋体" w:eastAsia="仿宋_GB2312" w:cs="宋体"/>
          <w:color w:val="auto"/>
          <w:spacing w:val="-6"/>
          <w:kern w:val="0"/>
          <w:sz w:val="32"/>
          <w:szCs w:val="32"/>
          <w:lang w:val="en-US" w:eastAsia="zh-CN"/>
        </w:rPr>
        <w:t>299.56</w:t>
      </w:r>
      <w:r>
        <w:rPr>
          <w:rFonts w:hint="eastAsia" w:ascii="仿宋_GB2312" w:hAnsi="宋体" w:eastAsia="仿宋_GB2312" w:cs="宋体"/>
          <w:color w:val="auto"/>
          <w:spacing w:val="-6"/>
          <w:kern w:val="0"/>
          <w:sz w:val="32"/>
          <w:szCs w:val="32"/>
        </w:rPr>
        <w:t>万元。</w:t>
      </w:r>
    </w:p>
    <w:p>
      <w:pPr>
        <w:spacing w:line="560" w:lineRule="exact"/>
        <w:ind w:firstLine="616" w:firstLineChars="200"/>
        <w:rPr>
          <w:rFonts w:hint="eastAsia" w:ascii="仿宋_GB2312" w:hAnsi="宋体" w:eastAsia="仿宋_GB2312" w:cs="宋体"/>
          <w:b/>
          <w:color w:val="auto"/>
          <w:spacing w:val="-6"/>
          <w:kern w:val="0"/>
          <w:sz w:val="32"/>
          <w:szCs w:val="32"/>
        </w:rPr>
      </w:pPr>
      <w:r>
        <w:rPr>
          <w:rFonts w:hint="eastAsia" w:ascii="仿宋_GB2312" w:hAnsi="宋体" w:eastAsia="仿宋_GB2312" w:cs="宋体"/>
          <w:color w:val="auto"/>
          <w:spacing w:val="-6"/>
          <w:kern w:val="0"/>
          <w:sz w:val="32"/>
          <w:szCs w:val="32"/>
        </w:rPr>
        <w:t>一般公共预算支出包括：一般公共服务支出</w:t>
      </w:r>
      <w:r>
        <w:rPr>
          <w:rFonts w:hint="eastAsia" w:ascii="仿宋_GB2312" w:hAnsi="宋体" w:eastAsia="仿宋_GB2312" w:cs="宋体"/>
          <w:color w:val="auto"/>
          <w:spacing w:val="-6"/>
          <w:kern w:val="0"/>
          <w:sz w:val="32"/>
          <w:szCs w:val="32"/>
          <w:lang w:val="en-US" w:eastAsia="zh-CN"/>
        </w:rPr>
        <w:t>299.56</w:t>
      </w:r>
      <w:r>
        <w:rPr>
          <w:rFonts w:hint="eastAsia" w:ascii="仿宋_GB2312" w:hAnsi="宋体" w:eastAsia="仿宋_GB2312" w:cs="宋体"/>
          <w:color w:val="auto"/>
          <w:spacing w:val="-6"/>
          <w:kern w:val="0"/>
          <w:sz w:val="32"/>
          <w:szCs w:val="32"/>
        </w:rPr>
        <w:t>万元，主要用于用于</w:t>
      </w:r>
      <w:r>
        <w:rPr>
          <w:rFonts w:hint="eastAsia" w:ascii="仿宋_GB2312" w:hAnsi="宋体" w:eastAsia="仿宋_GB2312" w:cs="宋体"/>
          <w:color w:val="auto"/>
          <w:kern w:val="0"/>
          <w:sz w:val="32"/>
          <w:szCs w:val="32"/>
        </w:rPr>
        <w:t>人员经费与机关运行经费。</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克孜勒苏柯尔克孜自治州外事办公室</w:t>
      </w:r>
      <w:r>
        <w:rPr>
          <w:rFonts w:hint="eastAsia" w:ascii="黑体" w:hAnsi="宋体" w:eastAsia="黑体" w:cs="宋体"/>
          <w:kern w:val="0"/>
          <w:sz w:val="32"/>
          <w:szCs w:val="32"/>
        </w:rPr>
        <w:t>2021年一般公共预算当年拨款情况说明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楷体_GB2312" w:hAnsi="宋体" w:eastAsia="楷体_GB2312" w:cs="宋体"/>
          <w:b/>
          <w:kern w:val="0"/>
          <w:sz w:val="32"/>
          <w:szCs w:val="32"/>
        </w:rPr>
      </w:pPr>
      <w:r>
        <w:rPr>
          <w:rFonts w:hint="default" w:ascii="Times New Roman" w:hAnsi="Times New Roman" w:eastAsia="仿宋_GB2312" w:cs="Times New Roman"/>
          <w:kern w:val="0"/>
          <w:sz w:val="32"/>
          <w:szCs w:val="32"/>
        </w:rPr>
        <w:t xml:space="preserve"> </w:t>
      </w:r>
      <w:r>
        <w:rPr>
          <w:rFonts w:hint="eastAsia" w:ascii="楷体_GB2312" w:hAnsi="宋体" w:eastAsia="楷体_GB2312" w:cs="宋体"/>
          <w:b/>
          <w:kern w:val="0"/>
          <w:sz w:val="32"/>
          <w:szCs w:val="32"/>
        </w:rPr>
        <w:t>（一）一般公共预算当年拨款规模变化情况</w:t>
      </w:r>
    </w:p>
    <w:p>
      <w:pPr>
        <w:keepNext w:val="0"/>
        <w:keepLines w:val="0"/>
        <w:pageBreakBefore w:val="0"/>
        <w:widowControl/>
        <w:kinsoku/>
        <w:wordWrap/>
        <w:overflowPunct/>
        <w:topLinePunct w:val="0"/>
        <w:autoSpaceDE/>
        <w:autoSpaceDN/>
        <w:bidi w:val="0"/>
        <w:adjustRightInd/>
        <w:snapToGrid/>
        <w:spacing w:line="500" w:lineRule="exact"/>
        <w:ind w:firstLine="640" w:firstLineChars="200"/>
        <w:jc w:val="left"/>
        <w:textAlignment w:val="auto"/>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克孜勒苏柯尔克孜自治州外事办公室202</w:t>
      </w:r>
      <w:r>
        <w:rPr>
          <w:rFonts w:hint="eastAsia" w:ascii="仿宋_GB2312" w:hAnsi="宋体" w:eastAsia="仿宋_GB2312" w:cs="宋体"/>
          <w:kern w:val="0"/>
          <w:sz w:val="32"/>
          <w:szCs w:val="32"/>
        </w:rPr>
        <w:t>1年一般公共预算拨款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299.56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其中：基本支出</w:t>
      </w:r>
      <w:r>
        <w:rPr>
          <w:rFonts w:hint="eastAsia" w:ascii="仿宋_GB2312" w:hAnsi="宋体" w:eastAsia="仿宋_GB2312" w:cs="宋体"/>
          <w:kern w:val="0"/>
          <w:sz w:val="32"/>
          <w:szCs w:val="32"/>
          <w:lang w:val="en-US" w:eastAsia="zh-CN"/>
        </w:rPr>
        <w:t>291.59万元，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val="en-US" w:eastAsia="zh-CN"/>
        </w:rPr>
        <w:t>预算</w:t>
      </w:r>
      <w:r>
        <w:rPr>
          <w:rFonts w:hint="eastAsia" w:ascii="仿宋_GB2312" w:hAnsi="宋体" w:eastAsia="仿宋_GB2312" w:cs="宋体"/>
          <w:color w:val="auto"/>
          <w:kern w:val="0"/>
          <w:sz w:val="32"/>
          <w:szCs w:val="32"/>
        </w:rPr>
        <w:t>数</w:t>
      </w:r>
      <w:r>
        <w:rPr>
          <w:rFonts w:hint="eastAsia" w:ascii="仿宋_GB2312" w:hAnsi="宋体" w:eastAsia="仿宋_GB2312" w:cs="宋体"/>
          <w:color w:val="auto"/>
          <w:kern w:val="0"/>
          <w:sz w:val="32"/>
          <w:szCs w:val="32"/>
          <w:lang w:val="en-US" w:eastAsia="zh-CN"/>
        </w:rPr>
        <w:t>减少8.68</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减少2.89</w:t>
      </w:r>
      <w:r>
        <w:rPr>
          <w:rFonts w:hint="eastAsia" w:ascii="仿宋_GB2312" w:hAnsi="宋体" w:eastAsia="仿宋_GB2312" w:cs="宋体"/>
          <w:color w:val="auto"/>
          <w:kern w:val="0"/>
          <w:sz w:val="32"/>
          <w:szCs w:val="32"/>
        </w:rPr>
        <w:t>%。主要原因是：主要原因是：</w:t>
      </w:r>
      <w:r>
        <w:rPr>
          <w:rFonts w:hint="eastAsia" w:ascii="仿宋_GB2312" w:hAnsi="宋体" w:eastAsia="仿宋_GB2312" w:cs="宋体"/>
          <w:color w:val="auto"/>
          <w:kern w:val="0"/>
          <w:sz w:val="32"/>
          <w:szCs w:val="32"/>
        </w:rPr>
        <w:sym w:font="Wingdings" w:char="F081"/>
      </w:r>
      <w:r>
        <w:rPr>
          <w:rFonts w:hint="eastAsia" w:ascii="仿宋_GB2312" w:hAnsi="宋体" w:eastAsia="仿宋_GB2312" w:cs="宋体"/>
          <w:color w:val="auto"/>
          <w:kern w:val="0"/>
          <w:sz w:val="32"/>
          <w:szCs w:val="32"/>
          <w:lang w:val="en-US" w:eastAsia="zh-CN"/>
        </w:rPr>
        <w:t>单位人</w:t>
      </w:r>
      <w:r>
        <w:rPr>
          <w:rFonts w:hint="eastAsia" w:ascii="仿宋_GB2312" w:hAnsi="宋体" w:eastAsia="仿宋_GB2312" w:cs="宋体"/>
          <w:color w:val="000000"/>
          <w:kern w:val="0"/>
          <w:sz w:val="32"/>
          <w:szCs w:val="32"/>
          <w:lang w:val="en-US" w:eastAsia="zh-CN"/>
        </w:rPr>
        <w:t>员调出一人，工资减少；</w:t>
      </w:r>
      <w:r>
        <w:rPr>
          <w:rFonts w:hint="eastAsia" w:ascii="仿宋_GB2312" w:hAnsi="宋体" w:eastAsia="仿宋_GB2312" w:cs="宋体"/>
          <w:color w:val="000000"/>
          <w:kern w:val="0"/>
          <w:sz w:val="32"/>
          <w:szCs w:val="32"/>
          <w:lang w:val="en-US" w:eastAsia="zh-CN"/>
        </w:rPr>
        <w:sym w:font="Wingdings" w:char="F082"/>
      </w:r>
      <w:r>
        <w:rPr>
          <w:rFonts w:hint="eastAsia"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lang w:val="en-US" w:eastAsia="zh-CN"/>
        </w:rPr>
        <w:t>020</w:t>
      </w:r>
      <w:r>
        <w:rPr>
          <w:rFonts w:hint="eastAsia" w:ascii="仿宋_GB2312" w:hAnsi="宋体" w:eastAsia="仿宋_GB2312" w:cs="宋体"/>
          <w:color w:val="000000"/>
          <w:kern w:val="0"/>
          <w:sz w:val="32"/>
          <w:szCs w:val="32"/>
        </w:rPr>
        <w:t>年支出数据中包括边界维护资金</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lang w:val="en-US" w:eastAsia="zh-CN"/>
        </w:rPr>
        <w:t>边界资金未列入预算。</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lang w:val="en-US" w:eastAsia="zh-CN"/>
        </w:rPr>
        <w:t>7.97</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0.97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13.8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增加实习生工资。</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2010301</w:t>
      </w:r>
      <w:r>
        <w:rPr>
          <w:rFonts w:hint="eastAsia" w:ascii="仿宋_GB2312" w:eastAsia="仿宋_GB2312"/>
          <w:sz w:val="32"/>
          <w:szCs w:val="32"/>
        </w:rPr>
        <w:t>（类）</w:t>
      </w:r>
      <w:r>
        <w:rPr>
          <w:rFonts w:hint="eastAsia" w:ascii="仿宋_GB2312" w:eastAsia="仿宋_GB2312"/>
          <w:sz w:val="32"/>
          <w:szCs w:val="32"/>
          <w:lang w:val="en-US" w:eastAsia="zh-CN"/>
        </w:rPr>
        <w:t>291.59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97.34</w:t>
      </w:r>
      <w:r>
        <w:rPr>
          <w:rFonts w:hint="eastAsia" w:ascii="仿宋_GB2312" w:hAnsi="宋体" w:eastAsia="仿宋_GB2312" w:cs="宋体"/>
          <w:kern w:val="0"/>
          <w:sz w:val="32"/>
          <w:szCs w:val="32"/>
        </w:rPr>
        <w:t>%。</w:t>
      </w:r>
      <w:r>
        <w:rPr>
          <w:rFonts w:hint="eastAsia" w:ascii="仿宋_GB2312" w:eastAsia="仿宋_GB2312"/>
          <w:sz w:val="32"/>
          <w:szCs w:val="32"/>
        </w:rPr>
        <w:t>一般公共服务</w:t>
      </w:r>
      <w:r>
        <w:rPr>
          <w:rFonts w:hint="eastAsia" w:ascii="仿宋_GB2312" w:eastAsia="仿宋_GB2312"/>
          <w:sz w:val="32"/>
          <w:szCs w:val="32"/>
          <w:lang w:val="en-US" w:eastAsia="zh-CN"/>
        </w:rPr>
        <w:t>2010399</w:t>
      </w:r>
      <w:r>
        <w:rPr>
          <w:rFonts w:hint="eastAsia" w:ascii="仿宋_GB2312" w:eastAsia="仿宋_GB2312"/>
          <w:sz w:val="32"/>
          <w:szCs w:val="32"/>
        </w:rPr>
        <w:t>（类）</w:t>
      </w:r>
      <w:r>
        <w:rPr>
          <w:rFonts w:hint="eastAsia" w:ascii="仿宋_GB2312" w:eastAsia="仿宋_GB2312"/>
          <w:sz w:val="32"/>
          <w:szCs w:val="32"/>
          <w:lang w:val="en-US" w:eastAsia="zh-CN"/>
        </w:rPr>
        <w:t>7.97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2.66</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rPr>
        <w:t>1.</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 xml:space="preserve">：201 </w:t>
      </w:r>
      <w:r>
        <w:rPr>
          <w:rFonts w:ascii="仿宋_GB2312" w:hAnsi="宋体" w:eastAsia="仿宋_GB2312" w:cs="宋体"/>
          <w:color w:val="auto"/>
          <w:kern w:val="0"/>
          <w:sz w:val="32"/>
          <w:szCs w:val="32"/>
        </w:rPr>
        <w:t>）财政事务（款</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auto"/>
          <w:kern w:val="0"/>
          <w:sz w:val="32"/>
          <w:szCs w:val="32"/>
          <w:lang w:val="en-US" w:eastAsia="zh-CN"/>
        </w:rPr>
        <w:t>03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行政运行</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01</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291.59</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lang w:val="en-US" w:eastAsia="zh-CN"/>
        </w:rPr>
        <w:t>减少8.68</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减少2.89</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办公经费减少，上年增加了会议费用。</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 xml:space="preserve">：201 </w:t>
      </w:r>
      <w:r>
        <w:rPr>
          <w:rFonts w:ascii="仿宋_GB2312" w:hAnsi="宋体" w:eastAsia="仿宋_GB2312" w:cs="宋体"/>
          <w:color w:val="auto"/>
          <w:kern w:val="0"/>
          <w:sz w:val="32"/>
          <w:szCs w:val="32"/>
        </w:rPr>
        <w:t>）财政事务（款</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auto"/>
          <w:kern w:val="0"/>
          <w:sz w:val="32"/>
          <w:szCs w:val="32"/>
          <w:lang w:val="en-US" w:eastAsia="zh-CN"/>
        </w:rPr>
        <w:t>03</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其他政府办公厅（室）</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99</w:t>
      </w:r>
      <w:r>
        <w:rPr>
          <w:rFonts w:hint="eastAsia" w:ascii="仿宋_GB2312" w:hAnsi="宋体" w:eastAsia="仿宋_GB2312" w:cs="宋体"/>
          <w:color w:val="auto"/>
          <w:kern w:val="0"/>
          <w:sz w:val="32"/>
          <w:szCs w:val="32"/>
        </w:rPr>
        <w:t xml:space="preserve"> </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2021</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7.97</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lang w:val="en-US" w:eastAsia="zh-CN"/>
        </w:rPr>
        <w:t>增加0.97</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增加13.85</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val="en-US" w:eastAsia="zh-CN"/>
        </w:rPr>
        <w:t>单位见习生增加两人，增加见习生工资。</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宋体" w:eastAsia="黑体" w:cs="宋体"/>
          <w:kern w:val="0"/>
          <w:sz w:val="32"/>
          <w:szCs w:val="32"/>
        </w:rPr>
      </w:pPr>
      <w:r>
        <w:rPr>
          <w:rFonts w:hint="eastAsia" w:ascii="黑体" w:hAnsi="宋体" w:eastAsia="黑体" w:cs="宋体"/>
          <w:color w:val="auto"/>
          <w:kern w:val="0"/>
          <w:sz w:val="32"/>
          <w:szCs w:val="32"/>
        </w:rPr>
        <w:t>六、关于</w:t>
      </w:r>
      <w:r>
        <w:rPr>
          <w:rFonts w:hint="eastAsia" w:ascii="黑体" w:hAnsi="宋体" w:eastAsia="黑体" w:cs="宋体"/>
          <w:color w:val="auto"/>
          <w:kern w:val="0"/>
          <w:sz w:val="32"/>
          <w:szCs w:val="32"/>
          <w:lang w:eastAsia="zh-CN"/>
        </w:rPr>
        <w:t>克孜勒</w:t>
      </w:r>
      <w:r>
        <w:rPr>
          <w:rFonts w:hint="eastAsia" w:ascii="黑体" w:hAnsi="宋体" w:eastAsia="黑体" w:cs="宋体"/>
          <w:kern w:val="0"/>
          <w:sz w:val="32"/>
          <w:szCs w:val="32"/>
          <w:lang w:eastAsia="zh-CN"/>
        </w:rPr>
        <w:t>苏柯尔克孜自治州外事办公室</w:t>
      </w:r>
      <w:r>
        <w:rPr>
          <w:rFonts w:hint="eastAsia" w:ascii="黑体" w:hAnsi="宋体" w:eastAsia="黑体" w:cs="宋体"/>
          <w:kern w:val="0"/>
          <w:sz w:val="32"/>
          <w:szCs w:val="32"/>
        </w:rPr>
        <w:t>2021年一般公共预算基本支出情况说明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克孜勒苏柯尔克孜自治州外事办公室</w:t>
      </w:r>
      <w:r>
        <w:rPr>
          <w:rFonts w:hint="eastAsia" w:ascii="仿宋_GB2312" w:hAnsi="宋体" w:eastAsia="仿宋_GB2312" w:cs="宋体"/>
          <w:kern w:val="0"/>
          <w:sz w:val="32"/>
          <w:szCs w:val="32"/>
        </w:rPr>
        <w:t>2021年一般公共预算基本支出</w:t>
      </w:r>
      <w:r>
        <w:rPr>
          <w:rFonts w:hint="eastAsia" w:ascii="仿宋_GB2312" w:hAnsi="宋体" w:eastAsia="仿宋_GB2312" w:cs="宋体"/>
          <w:kern w:val="0"/>
          <w:sz w:val="32"/>
          <w:szCs w:val="32"/>
          <w:lang w:val="en-US" w:eastAsia="zh-CN"/>
        </w:rPr>
        <w:t>291.59</w:t>
      </w:r>
      <w:r>
        <w:rPr>
          <w:rFonts w:hint="eastAsia" w:ascii="仿宋_GB2312" w:hAnsi="宋体" w:eastAsia="仿宋_GB2312" w:cs="宋体"/>
          <w:kern w:val="0"/>
          <w:sz w:val="32"/>
          <w:szCs w:val="32"/>
        </w:rPr>
        <w:t>万元， 其中：</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275.29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79.47</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94.80</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6.62</w:t>
      </w:r>
      <w:r>
        <w:rPr>
          <w:rFonts w:hint="eastAsia" w:ascii="仿宋_GB2312" w:hAnsi="宋体" w:eastAsia="仿宋_GB2312" w:cs="宋体"/>
          <w:kern w:val="0"/>
          <w:sz w:val="32"/>
          <w:szCs w:val="32"/>
        </w:rPr>
        <w:t>万元、机关事业单位基本养老保险缴费</w:t>
      </w:r>
      <w:r>
        <w:rPr>
          <w:rFonts w:hint="eastAsia" w:ascii="仿宋_GB2312" w:hAnsi="宋体" w:eastAsia="仿宋_GB2312" w:cs="宋体"/>
          <w:kern w:val="0"/>
          <w:sz w:val="32"/>
          <w:szCs w:val="32"/>
          <w:lang w:val="en-US" w:eastAsia="zh-CN"/>
        </w:rPr>
        <w:t>25.27</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rPr>
        <w:t>、其他社会保障缴费</w:t>
      </w:r>
      <w:r>
        <w:rPr>
          <w:rFonts w:hint="eastAsia" w:ascii="仿宋_GB2312" w:hAnsi="宋体" w:eastAsia="仿宋_GB2312" w:cs="宋体"/>
          <w:color w:val="auto"/>
          <w:kern w:val="0"/>
          <w:sz w:val="32"/>
          <w:szCs w:val="32"/>
          <w:lang w:val="en-US" w:eastAsia="zh-CN"/>
        </w:rPr>
        <w:t>21.82</w:t>
      </w:r>
      <w:r>
        <w:rPr>
          <w:rFonts w:hint="eastAsia" w:ascii="仿宋_GB2312" w:hAnsi="宋体" w:eastAsia="仿宋_GB2312" w:cs="宋体"/>
          <w:color w:val="auto"/>
          <w:kern w:val="0"/>
          <w:sz w:val="32"/>
          <w:szCs w:val="32"/>
        </w:rPr>
        <w:t>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18.27</w:t>
      </w:r>
      <w:r>
        <w:rPr>
          <w:rFonts w:hint="eastAsia" w:ascii="仿宋_GB2312" w:hAnsi="宋体" w:eastAsia="仿宋_GB2312" w:cs="宋体"/>
          <w:kern w:val="0"/>
          <w:sz w:val="32"/>
          <w:szCs w:val="32"/>
        </w:rPr>
        <w:t>万元、退休费</w:t>
      </w:r>
      <w:r>
        <w:rPr>
          <w:rFonts w:hint="eastAsia" w:ascii="仿宋_GB2312" w:hAnsi="宋体" w:eastAsia="仿宋_GB2312" w:cs="宋体"/>
          <w:kern w:val="0"/>
          <w:sz w:val="32"/>
          <w:szCs w:val="32"/>
          <w:lang w:val="en-US" w:eastAsia="zh-CN"/>
        </w:rPr>
        <w:t>12.57</w:t>
      </w:r>
      <w:r>
        <w:rPr>
          <w:rFonts w:hint="eastAsia" w:ascii="仿宋_GB2312" w:hAnsi="宋体" w:eastAsia="仿宋_GB2312" w:cs="宋体"/>
          <w:kern w:val="0"/>
          <w:sz w:val="32"/>
          <w:szCs w:val="32"/>
        </w:rPr>
        <w:t>万元、生活补助</w:t>
      </w:r>
      <w:r>
        <w:rPr>
          <w:rFonts w:hint="eastAsia" w:ascii="仿宋_GB2312" w:hAnsi="宋体" w:eastAsia="仿宋_GB2312" w:cs="宋体"/>
          <w:kern w:val="0"/>
          <w:sz w:val="32"/>
          <w:szCs w:val="32"/>
          <w:lang w:val="en-US" w:eastAsia="zh-CN"/>
        </w:rPr>
        <w:t>2.28</w:t>
      </w:r>
      <w:r>
        <w:rPr>
          <w:rFonts w:hint="eastAsia" w:ascii="仿宋_GB2312" w:hAnsi="宋体" w:eastAsia="仿宋_GB2312" w:cs="宋体"/>
          <w:kern w:val="0"/>
          <w:sz w:val="32"/>
          <w:szCs w:val="32"/>
        </w:rPr>
        <w:t>万元、奖励金</w:t>
      </w:r>
      <w:r>
        <w:rPr>
          <w:rFonts w:hint="eastAsia" w:ascii="仿宋_GB2312" w:hAnsi="宋体" w:eastAsia="仿宋_GB2312" w:cs="宋体"/>
          <w:kern w:val="0"/>
          <w:sz w:val="32"/>
          <w:szCs w:val="32"/>
          <w:lang w:val="en-US" w:eastAsia="zh-CN"/>
        </w:rPr>
        <w:t>3.39</w:t>
      </w:r>
      <w:r>
        <w:rPr>
          <w:rFonts w:hint="eastAsia" w:ascii="仿宋_GB2312" w:hAnsi="宋体" w:eastAsia="仿宋_GB2312" w:cs="宋体"/>
          <w:kern w:val="0"/>
          <w:sz w:val="32"/>
          <w:szCs w:val="32"/>
        </w:rPr>
        <w:t>万元、其他对个人和家庭的补助</w:t>
      </w:r>
      <w:r>
        <w:rPr>
          <w:rFonts w:hint="eastAsia" w:ascii="仿宋_GB2312" w:hAnsi="宋体" w:eastAsia="仿宋_GB2312" w:cs="宋体"/>
          <w:kern w:val="0"/>
          <w:sz w:val="32"/>
          <w:szCs w:val="32"/>
          <w:lang w:val="en-US" w:eastAsia="zh-CN"/>
        </w:rPr>
        <w:t>10.80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16.30</w:t>
      </w:r>
      <w:r>
        <w:rPr>
          <w:rFonts w:hint="eastAsia" w:ascii="仿宋_GB2312" w:hAnsi="宋体" w:eastAsia="仿宋_GB2312" w:cs="宋体"/>
          <w:kern w:val="0"/>
          <w:sz w:val="32"/>
          <w:szCs w:val="32"/>
        </w:rPr>
        <w:t>万元，主要包括：</w:t>
      </w:r>
      <w:r>
        <w:rPr>
          <w:rFonts w:hint="eastAsia" w:ascii="仿宋_GB2312" w:hAnsi="宋体" w:eastAsia="仿宋_GB2312" w:cs="宋体"/>
          <w:kern w:val="0"/>
          <w:sz w:val="32"/>
          <w:szCs w:val="32"/>
          <w:lang w:val="en-US" w:eastAsia="zh-CN"/>
        </w:rPr>
        <w:t>办公费2万元、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差旅费1.20万元、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1.50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手续费0.2万元、</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万元、工会经费</w:t>
      </w:r>
      <w:r>
        <w:rPr>
          <w:rFonts w:hint="eastAsia" w:ascii="仿宋_GB2312" w:hAnsi="宋体" w:eastAsia="仿宋_GB2312" w:cs="宋体"/>
          <w:kern w:val="0"/>
          <w:sz w:val="32"/>
          <w:szCs w:val="32"/>
          <w:lang w:val="en-US" w:eastAsia="zh-CN"/>
        </w:rPr>
        <w:t>1.11</w:t>
      </w:r>
      <w:r>
        <w:rPr>
          <w:rFonts w:hint="eastAsia" w:ascii="仿宋_GB2312" w:hAnsi="宋体" w:eastAsia="仿宋_GB2312" w:cs="宋体"/>
          <w:kern w:val="0"/>
          <w:sz w:val="32"/>
          <w:szCs w:val="32"/>
        </w:rPr>
        <w:t>万元、福利费</w:t>
      </w:r>
      <w:r>
        <w:rPr>
          <w:rFonts w:hint="eastAsia" w:ascii="仿宋_GB2312" w:hAnsi="宋体" w:eastAsia="仿宋_GB2312" w:cs="宋体"/>
          <w:kern w:val="0"/>
          <w:sz w:val="32"/>
          <w:szCs w:val="32"/>
          <w:lang w:val="en-US" w:eastAsia="zh-CN"/>
        </w:rPr>
        <w:t>1.99</w:t>
      </w:r>
      <w:r>
        <w:rPr>
          <w:rFonts w:hint="eastAsia" w:ascii="仿宋_GB2312" w:hAnsi="宋体" w:eastAsia="仿宋_GB2312" w:cs="宋体"/>
          <w:kern w:val="0"/>
          <w:sz w:val="32"/>
          <w:szCs w:val="32"/>
        </w:rPr>
        <w:t>万元、公务用车运行维护费</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万元、办公设备购置</w:t>
      </w:r>
      <w:r>
        <w:rPr>
          <w:rFonts w:hint="eastAsia" w:ascii="仿宋_GB2312" w:hAnsi="宋体" w:eastAsia="仿宋_GB2312" w:cs="宋体"/>
          <w:kern w:val="0"/>
          <w:sz w:val="32"/>
          <w:szCs w:val="32"/>
          <w:lang w:val="en-US" w:eastAsia="zh-CN"/>
        </w:rPr>
        <w:t>2.80</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克孜勒苏柯尔克孜自治州外事办公室</w:t>
      </w:r>
      <w:r>
        <w:rPr>
          <w:rFonts w:hint="eastAsia" w:ascii="黑体" w:hAnsi="宋体" w:eastAsia="黑体" w:cs="宋体"/>
          <w:kern w:val="0"/>
          <w:sz w:val="32"/>
          <w:szCs w:val="32"/>
        </w:rPr>
        <w:t>2021年一般公共预算项目支出情况说明</w:t>
      </w:r>
    </w:p>
    <w:p>
      <w:pPr>
        <w:widowControl/>
        <w:spacing w:line="560" w:lineRule="exact"/>
        <w:ind w:firstLine="643" w:firstLineChars="200"/>
        <w:jc w:val="left"/>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情况一：</w:t>
      </w:r>
    </w:p>
    <w:p>
      <w:pPr>
        <w:widowControl/>
        <w:spacing w:line="560" w:lineRule="exact"/>
        <w:ind w:firstLine="643" w:firstLineChars="200"/>
        <w:jc w:val="left"/>
        <w:rPr>
          <w:rFonts w:hint="eastAsia" w:ascii="仿宋_GB2312" w:hAnsi="黑体" w:eastAsia="仿宋_GB2312"/>
          <w:b/>
          <w:color w:val="auto"/>
          <w:sz w:val="32"/>
          <w:szCs w:val="32"/>
        </w:rPr>
      </w:pPr>
      <w:r>
        <w:rPr>
          <w:rFonts w:hint="eastAsia" w:ascii="仿宋_GB2312" w:hAnsi="黑体" w:eastAsia="仿宋_GB2312"/>
          <w:b/>
          <w:color w:val="auto"/>
          <w:sz w:val="32"/>
          <w:szCs w:val="32"/>
        </w:rPr>
        <w:t>1、项目名称：群众工作经费</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年财政预算编制内容</w:t>
      </w:r>
    </w:p>
    <w:p>
      <w:pPr>
        <w:widowControl/>
        <w:spacing w:line="560" w:lineRule="exact"/>
        <w:ind w:firstLine="640" w:firstLineChars="200"/>
        <w:jc w:val="left"/>
        <w:rPr>
          <w:rFonts w:hint="eastAsia"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：7万元</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项目承担单位：克州外事办公室</w:t>
      </w:r>
    </w:p>
    <w:p>
      <w:pPr>
        <w:widowControl/>
        <w:spacing w:line="560" w:lineRule="exact"/>
        <w:ind w:firstLine="640" w:firstLineChars="200"/>
        <w:jc w:val="left"/>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lang w:val="en-US" w:eastAsia="zh-CN"/>
        </w:rPr>
        <w:t>慰问困难群众及解决群众人员困难诉求</w:t>
      </w:r>
    </w:p>
    <w:p>
      <w:pPr>
        <w:widowControl/>
        <w:spacing w:line="560" w:lineRule="exact"/>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资金执行时</w:t>
      </w:r>
      <w:r>
        <w:rPr>
          <w:rFonts w:hint="eastAsia" w:ascii="仿宋" w:hAnsi="仿宋" w:eastAsia="仿宋" w:cs="仿宋"/>
          <w:sz w:val="32"/>
          <w:szCs w:val="32"/>
        </w:rPr>
        <w:t>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年1月至</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年12月</w:t>
      </w:r>
    </w:p>
    <w:p>
      <w:pPr>
        <w:spacing w:line="560" w:lineRule="exact"/>
        <w:ind w:firstLine="643" w:firstLineChars="200"/>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kern w:val="0"/>
          <w:sz w:val="32"/>
          <w:szCs w:val="32"/>
          <w:lang w:val="en-US" w:eastAsia="zh-CN"/>
        </w:rPr>
        <w:t>情况二：</w:t>
      </w:r>
    </w:p>
    <w:p>
      <w:pPr>
        <w:numPr>
          <w:ilvl w:val="0"/>
          <w:numId w:val="1"/>
        </w:numPr>
        <w:spacing w:line="560" w:lineRule="exact"/>
        <w:ind w:firstLine="640" w:firstLineChars="200"/>
        <w:rPr>
          <w:rFonts w:hint="eastAsia"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项目名称：</w:t>
      </w:r>
      <w:r>
        <w:rPr>
          <w:rFonts w:hint="eastAsia" w:eastAsia="仿宋_GB2312" w:cs="Times New Roman"/>
          <w:kern w:val="0"/>
          <w:sz w:val="32"/>
          <w:szCs w:val="32"/>
          <w:lang w:val="en-US" w:eastAsia="zh-CN"/>
        </w:rPr>
        <w:t>见习生工资</w:t>
      </w:r>
    </w:p>
    <w:p>
      <w:pPr>
        <w:spacing w:line="560" w:lineRule="exact"/>
        <w:ind w:firstLine="640" w:firstLineChars="200"/>
        <w:rPr>
          <w:rFonts w:hint="eastAsia"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设立的政策依据：</w:t>
      </w:r>
      <w:r>
        <w:rPr>
          <w:rFonts w:hint="eastAsia" w:eastAsia="仿宋_GB2312" w:cs="Times New Roman"/>
          <w:kern w:val="0"/>
          <w:sz w:val="32"/>
          <w:szCs w:val="32"/>
          <w:lang w:val="en-US" w:eastAsia="zh-CN"/>
        </w:rPr>
        <w:t xml:space="preserve">克财社【2020】99号文件 </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预算安排规模：</w:t>
      </w:r>
      <w:r>
        <w:rPr>
          <w:rFonts w:hint="eastAsia" w:eastAsia="仿宋_GB2312" w:cs="Times New Roman"/>
          <w:b w:val="0"/>
          <w:bCs w:val="0"/>
          <w:kern w:val="0"/>
          <w:sz w:val="32"/>
          <w:szCs w:val="32"/>
          <w:lang w:val="en-US" w:eastAsia="zh-CN"/>
        </w:rPr>
        <w:t>0.97</w:t>
      </w:r>
      <w:r>
        <w:rPr>
          <w:rFonts w:hint="eastAsia" w:eastAsia="仿宋_GB2312" w:cs="Times New Roman"/>
          <w:kern w:val="0"/>
          <w:sz w:val="32"/>
          <w:szCs w:val="32"/>
          <w:lang w:val="en-US" w:eastAsia="zh-CN"/>
        </w:rPr>
        <w:t>万元</w:t>
      </w:r>
    </w:p>
    <w:p>
      <w:pPr>
        <w:widowControl/>
        <w:spacing w:line="560" w:lineRule="exact"/>
        <w:ind w:firstLine="640" w:firstLineChars="200"/>
        <w:jc w:val="left"/>
        <w:rPr>
          <w:rFonts w:hint="eastAsia" w:ascii="仿宋_GB2312" w:hAnsi="黑体" w:eastAsia="仿宋_GB2312"/>
          <w:sz w:val="32"/>
          <w:szCs w:val="32"/>
        </w:rPr>
      </w:pPr>
      <w:r>
        <w:rPr>
          <w:rFonts w:hint="default" w:ascii="Times New Roman" w:hAnsi="Times New Roman" w:eastAsia="仿宋_GB2312" w:cs="Times New Roman"/>
          <w:kern w:val="0"/>
          <w:sz w:val="32"/>
          <w:szCs w:val="32"/>
          <w:lang w:val="en-US" w:eastAsia="zh-CN"/>
        </w:rPr>
        <w:t>项目承担单位：</w:t>
      </w:r>
      <w:r>
        <w:rPr>
          <w:rFonts w:hint="eastAsia" w:ascii="仿宋_GB2312" w:hAnsi="黑体" w:eastAsia="仿宋_GB2312"/>
          <w:sz w:val="32"/>
          <w:szCs w:val="32"/>
        </w:rPr>
        <w:t>克州外事办公室</w:t>
      </w:r>
    </w:p>
    <w:p>
      <w:pPr>
        <w:widowControl/>
        <w:spacing w:line="560" w:lineRule="exact"/>
        <w:ind w:firstLine="640" w:firstLineChars="200"/>
        <w:jc w:val="left"/>
        <w:rPr>
          <w:rFonts w:hint="default" w:ascii="仿宋_GB2312" w:hAnsi="宋体" w:eastAsia="仿宋_GB2312" w:cs="宋体"/>
          <w:kern w:val="0"/>
          <w:sz w:val="32"/>
          <w:szCs w:val="32"/>
          <w:lang w:val="en-US" w:eastAsia="zh-CN"/>
        </w:rPr>
      </w:pPr>
      <w:r>
        <w:rPr>
          <w:rFonts w:hint="default" w:ascii="Times New Roman" w:hAnsi="Times New Roman" w:eastAsia="仿宋_GB2312" w:cs="Times New Roman"/>
          <w:kern w:val="0"/>
          <w:sz w:val="32"/>
          <w:szCs w:val="32"/>
          <w:lang w:val="en-US" w:eastAsia="zh-CN"/>
        </w:rPr>
        <w:t>资金分配情况：</w:t>
      </w:r>
      <w:r>
        <w:rPr>
          <w:rFonts w:hint="eastAsia" w:ascii="仿宋_GB2312" w:hAnsi="宋体" w:eastAsia="仿宋_GB2312" w:cs="宋体"/>
          <w:kern w:val="0"/>
          <w:sz w:val="32"/>
          <w:szCs w:val="32"/>
          <w:lang w:val="en-US" w:eastAsia="zh-CN"/>
        </w:rPr>
        <w:t>解决见习生生活补助</w:t>
      </w:r>
    </w:p>
    <w:p>
      <w:pPr>
        <w:widowControl/>
        <w:spacing w:line="560" w:lineRule="exact"/>
        <w:ind w:firstLine="640" w:firstLineChars="200"/>
        <w:jc w:val="left"/>
        <w:rPr>
          <w:rFonts w:hint="eastAsia" w:ascii="仿宋_GB2312" w:hAnsi="黑体" w:eastAsia="仿宋_GB2312"/>
          <w:sz w:val="32"/>
          <w:szCs w:val="32"/>
        </w:rPr>
      </w:pPr>
      <w:r>
        <w:rPr>
          <w:rFonts w:hint="default" w:ascii="Times New Roman" w:hAnsi="Times New Roman" w:eastAsia="仿宋_GB2312" w:cs="Times New Roman"/>
          <w:kern w:val="0"/>
          <w:sz w:val="32"/>
          <w:szCs w:val="32"/>
          <w:lang w:val="en-US" w:eastAsia="zh-CN"/>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年1月至</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9</w:t>
      </w:r>
      <w:r>
        <w:rPr>
          <w:rFonts w:hint="eastAsia" w:ascii="仿宋_GB2312" w:hAnsi="黑体" w:eastAsia="仿宋_GB2312"/>
          <w:sz w:val="32"/>
          <w:szCs w:val="32"/>
        </w:rPr>
        <w:t>月</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资金来源：</w:t>
      </w:r>
      <w:r>
        <w:rPr>
          <w:rFonts w:hint="eastAsia" w:eastAsia="仿宋_GB2312" w:cs="Times New Roman"/>
          <w:kern w:val="0"/>
          <w:sz w:val="32"/>
          <w:szCs w:val="32"/>
          <w:lang w:val="en-US" w:eastAsia="zh-CN"/>
        </w:rPr>
        <w:t>财政拨款</w:t>
      </w:r>
    </w:p>
    <w:p>
      <w:pPr>
        <w:spacing w:line="560" w:lineRule="exact"/>
        <w:ind w:firstLine="640" w:firstLineChars="200"/>
        <w:rPr>
          <w:rFonts w:hint="default"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补贴人数：</w:t>
      </w:r>
      <w:r>
        <w:rPr>
          <w:rFonts w:hint="eastAsia" w:eastAsia="仿宋_GB2312" w:cs="Times New Roman"/>
          <w:kern w:val="0"/>
          <w:sz w:val="32"/>
          <w:szCs w:val="32"/>
          <w:lang w:val="en-US" w:eastAsia="zh-CN"/>
        </w:rPr>
        <w:t>2人</w:t>
      </w:r>
    </w:p>
    <w:p>
      <w:pPr>
        <w:spacing w:line="560" w:lineRule="exact"/>
        <w:ind w:firstLine="640" w:firstLineChars="200"/>
        <w:rPr>
          <w:rFonts w:hint="eastAsia"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补贴标准：</w:t>
      </w:r>
      <w:r>
        <w:rPr>
          <w:rFonts w:hint="eastAsia" w:eastAsia="仿宋_GB2312" w:cs="Times New Roman"/>
          <w:kern w:val="0"/>
          <w:sz w:val="32"/>
          <w:szCs w:val="32"/>
          <w:lang w:val="en-US" w:eastAsia="zh-CN"/>
        </w:rPr>
        <w:t>540</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补贴范围：</w:t>
      </w:r>
      <w:r>
        <w:rPr>
          <w:rFonts w:hint="eastAsia" w:eastAsia="仿宋_GB2312" w:cs="Times New Roman"/>
          <w:kern w:val="0"/>
          <w:sz w:val="32"/>
          <w:szCs w:val="32"/>
          <w:lang w:val="en-US" w:eastAsia="zh-CN"/>
        </w:rPr>
        <w:t>见习生</w:t>
      </w:r>
    </w:p>
    <w:p>
      <w:pPr>
        <w:spacing w:line="560" w:lineRule="exact"/>
        <w:ind w:firstLine="640" w:firstLineChars="200"/>
        <w:rPr>
          <w:rFonts w:hint="eastAsia"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补贴方式：</w:t>
      </w:r>
      <w:r>
        <w:rPr>
          <w:rFonts w:hint="eastAsia" w:eastAsia="仿宋_GB2312" w:cs="Times New Roman"/>
          <w:kern w:val="0"/>
          <w:sz w:val="32"/>
          <w:szCs w:val="32"/>
          <w:lang w:val="en-US" w:eastAsia="zh-CN"/>
        </w:rPr>
        <w:t>按月发放</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发放程序：</w:t>
      </w:r>
      <w:r>
        <w:rPr>
          <w:rFonts w:hint="eastAsia" w:eastAsia="仿宋_GB2312" w:cs="Times New Roman"/>
          <w:kern w:val="0"/>
          <w:sz w:val="32"/>
          <w:szCs w:val="32"/>
          <w:lang w:val="en-US" w:eastAsia="zh-CN"/>
        </w:rPr>
        <w:t>按考勤发放</w:t>
      </w:r>
    </w:p>
    <w:p>
      <w:pPr>
        <w:spacing w:line="560" w:lineRule="exact"/>
        <w:ind w:firstLine="640" w:firstLineChars="200"/>
        <w:rPr>
          <w:rFonts w:hint="eastAsia"/>
        </w:rPr>
      </w:pPr>
      <w:r>
        <w:rPr>
          <w:rFonts w:hint="default" w:ascii="Times New Roman" w:hAnsi="Times New Roman" w:eastAsia="仿宋_GB2312" w:cs="Times New Roman"/>
          <w:kern w:val="0"/>
          <w:sz w:val="32"/>
          <w:szCs w:val="32"/>
          <w:lang w:val="en-US" w:eastAsia="zh-CN"/>
        </w:rPr>
        <w:t>受益人群和社会效益：</w:t>
      </w:r>
      <w:r>
        <w:rPr>
          <w:rFonts w:hint="eastAsia" w:eastAsia="仿宋_GB2312" w:cs="Times New Roman"/>
          <w:kern w:val="0"/>
          <w:sz w:val="32"/>
          <w:szCs w:val="32"/>
          <w:lang w:val="en-US" w:eastAsia="zh-CN"/>
        </w:rPr>
        <w:t>保障见习生岗位津贴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克孜勒苏柯尔克孜自治州外事办公室</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克孜勒苏柯尔克孜自治州外事办公室</w:t>
      </w:r>
      <w:r>
        <w:rPr>
          <w:rFonts w:hint="eastAsia" w:ascii="仿宋_GB2312" w:hAnsi="宋体" w:eastAsia="仿宋_GB2312" w:cs="宋体"/>
          <w:kern w:val="0"/>
          <w:sz w:val="32"/>
          <w:szCs w:val="32"/>
        </w:rPr>
        <w:t>2021年一般公共预算“三公”经费数为</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万元，公务用车购置0万元，公务用车运行费</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lang w:val="en-US" w:eastAsia="zh-CN" w:bidi="ar-SA"/>
        </w:rPr>
      </w:pPr>
      <w:r>
        <w:rPr>
          <w:rFonts w:hint="eastAsia" w:ascii="仿宋_GB2312" w:hAnsi="宋体" w:eastAsia="仿宋_GB2312" w:cs="宋体"/>
          <w:color w:val="auto"/>
          <w:kern w:val="0"/>
          <w:sz w:val="32"/>
          <w:szCs w:val="32"/>
          <w:lang w:val="en-US" w:eastAsia="zh-CN"/>
        </w:rPr>
        <w:t>2021</w:t>
      </w:r>
      <w:r>
        <w:rPr>
          <w:rFonts w:hint="eastAsia" w:ascii="仿宋_GB2312" w:hAnsi="宋体" w:eastAsia="仿宋_GB2312" w:cs="宋体"/>
          <w:color w:val="auto"/>
          <w:kern w:val="0"/>
          <w:sz w:val="32"/>
          <w:szCs w:val="32"/>
        </w:rPr>
        <w:t>年“三公”经费财政拨款预算比上年</w:t>
      </w:r>
      <w:r>
        <w:rPr>
          <w:rFonts w:hint="eastAsia" w:ascii="仿宋_GB2312" w:hAnsi="宋体" w:eastAsia="仿宋_GB2312" w:cs="宋体"/>
          <w:color w:val="auto"/>
          <w:kern w:val="0"/>
          <w:sz w:val="32"/>
          <w:szCs w:val="32"/>
          <w:lang w:val="en-US" w:eastAsia="zh-CN"/>
        </w:rPr>
        <w:t>增加1.5</w:t>
      </w:r>
      <w:r>
        <w:rPr>
          <w:rFonts w:hint="eastAsia" w:ascii="仿宋_GB2312" w:hAnsi="宋体" w:eastAsia="仿宋_GB2312" w:cs="宋体"/>
          <w:color w:val="auto"/>
          <w:kern w:val="0"/>
          <w:sz w:val="32"/>
          <w:szCs w:val="32"/>
        </w:rPr>
        <w:t>万元，其中：因公出国（境）费增加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万元，主要原因是厉行节约，加强管理，降低费用；公务用车购置费为0</w:t>
      </w:r>
      <w:r>
        <w:rPr>
          <w:rFonts w:hint="eastAsia" w:ascii="仿宋_GB2312" w:hAnsi="宋体" w:eastAsia="仿宋_GB2312" w:cs="宋体"/>
          <w:color w:val="auto"/>
          <w:kern w:val="0"/>
          <w:sz w:val="32"/>
          <w:szCs w:val="32"/>
          <w:lang w:val="en-US" w:eastAsia="zh-CN"/>
        </w:rPr>
        <w:t>万元，</w:t>
      </w:r>
      <w:r>
        <w:rPr>
          <w:rFonts w:hint="eastAsia" w:ascii="仿宋_GB2312" w:hAnsi="宋体" w:eastAsia="仿宋_GB2312" w:cs="宋体"/>
          <w:color w:val="auto"/>
          <w:kern w:val="0"/>
          <w:sz w:val="32"/>
          <w:szCs w:val="32"/>
        </w:rPr>
        <w:t>未安排预算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公务用车运行费</w:t>
      </w:r>
      <w:r>
        <w:rPr>
          <w:rFonts w:hint="eastAsia" w:ascii="仿宋_GB2312" w:hAnsi="宋体" w:eastAsia="仿宋_GB2312" w:cs="宋体"/>
          <w:color w:val="auto"/>
          <w:kern w:val="0"/>
          <w:sz w:val="32"/>
          <w:szCs w:val="32"/>
          <w:lang w:val="en-US" w:eastAsia="zh-CN"/>
        </w:rPr>
        <w:t>增加1.5</w:t>
      </w:r>
      <w:r>
        <w:rPr>
          <w:rFonts w:hint="eastAsia" w:ascii="仿宋_GB2312" w:hAnsi="宋体" w:eastAsia="仿宋_GB2312" w:cs="宋体"/>
          <w:color w:val="auto"/>
          <w:kern w:val="0"/>
          <w:sz w:val="32"/>
          <w:szCs w:val="32"/>
        </w:rPr>
        <w:t>万元，主要原因</w:t>
      </w:r>
      <w:r>
        <w:rPr>
          <w:rFonts w:hint="eastAsia" w:ascii="仿宋_GB2312" w:hAnsi="宋体" w:eastAsia="仿宋_GB2312" w:cs="宋体"/>
          <w:color w:val="auto"/>
          <w:kern w:val="0"/>
          <w:sz w:val="32"/>
          <w:szCs w:val="32"/>
          <w:lang w:val="en-US" w:eastAsia="zh-CN"/>
        </w:rPr>
        <w:t>是单位正常车辆维修，加油</w:t>
      </w:r>
      <w:r>
        <w:rPr>
          <w:rFonts w:hint="eastAsia" w:ascii="仿宋_GB2312" w:hAnsi="宋体" w:eastAsia="仿宋_GB2312" w:cs="宋体"/>
          <w:color w:val="auto"/>
          <w:kern w:val="0"/>
          <w:sz w:val="32"/>
          <w:szCs w:val="32"/>
        </w:rPr>
        <w:t>；</w:t>
      </w:r>
      <w:r>
        <w:rPr>
          <w:rFonts w:hint="default" w:ascii="Times New Roman" w:hAnsi="Times New Roman" w:eastAsia="仿宋_GB2312" w:cs="Times New Roman"/>
          <w:kern w:val="0"/>
          <w:sz w:val="32"/>
          <w:szCs w:val="32"/>
          <w:lang w:val="en-US" w:eastAsia="zh-CN"/>
        </w:rPr>
        <w:t>公务接待费比上年预算数减少1万元，</w:t>
      </w:r>
      <w:r>
        <w:rPr>
          <w:rFonts w:hint="default" w:ascii="Times New Roman" w:hAnsi="Times New Roman" w:eastAsia="仿宋_GB2312" w:cs="Times New Roman"/>
          <w:kern w:val="0"/>
          <w:sz w:val="32"/>
          <w:szCs w:val="32"/>
          <w:lang w:val="en-US" w:eastAsia="zh-CN" w:bidi="ar-SA"/>
        </w:rPr>
        <w:t>主要原因是减少接待人数及次数</w:t>
      </w:r>
      <w:r>
        <w:rPr>
          <w:rFonts w:hint="default" w:ascii="Times New Roman" w:hAnsi="Times New Roman" w:eastAsia="仿宋_GB2312" w:cs="Times New Roman"/>
          <w:kern w:val="0"/>
          <w:sz w:val="32"/>
          <w:szCs w:val="32"/>
          <w:lang w:val="en-US" w:eastAsia="zh-CN"/>
        </w:rPr>
        <w:t>。</w:t>
      </w:r>
    </w:p>
    <w:p>
      <w:pPr>
        <w:spacing w:line="560" w:lineRule="exact"/>
        <w:ind w:firstLine="640" w:firstLineChars="200"/>
        <w:rPr>
          <w:rFonts w:hint="eastAsia" w:ascii="仿宋_GB2312" w:hAnsi="宋体" w:eastAsia="仿宋_GB2312" w:cs="宋体"/>
          <w:kern w:val="0"/>
          <w:sz w:val="32"/>
          <w:szCs w:val="32"/>
          <w:lang w:eastAsia="zh-CN"/>
        </w:rPr>
      </w:pP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克孜勒苏柯尔克孜自治州外事办公室</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克孜勒苏柯尔克孜自治州外事办公室</w:t>
      </w:r>
      <w:r>
        <w:rPr>
          <w:rFonts w:hint="eastAsia" w:ascii="仿宋_GB2312" w:hAnsi="宋体" w:eastAsia="仿宋_GB2312" w:cs="宋体"/>
          <w:kern w:val="0"/>
          <w:sz w:val="32"/>
          <w:szCs w:val="32"/>
        </w:rPr>
        <w:t>2021年没有使用政府性基金预算拨款安排的支出，政府性基金预算支出情况表为空表。</w:t>
      </w:r>
    </w:p>
    <w:p>
      <w:pPr>
        <w:widowControl/>
        <w:spacing w:line="560" w:lineRule="exact"/>
        <w:ind w:firstLine="640" w:firstLineChars="200"/>
        <w:jc w:val="left"/>
        <w:rPr>
          <w:rFonts w:ascii="黑体" w:hAnsi="宋体" w:eastAsia="黑体" w:cs="宋体"/>
          <w:color w:val="auto"/>
          <w:kern w:val="0"/>
          <w:sz w:val="32"/>
          <w:szCs w:val="32"/>
        </w:rPr>
      </w:pPr>
      <w:r>
        <w:rPr>
          <w:rFonts w:hint="eastAsia" w:ascii="黑体" w:hAnsi="宋体" w:eastAsia="黑体" w:cs="宋体"/>
          <w:color w:val="auto"/>
          <w:kern w:val="0"/>
          <w:sz w:val="32"/>
          <w:szCs w:val="32"/>
        </w:rPr>
        <w:t>十、其他重要事项的情况说明</w:t>
      </w:r>
    </w:p>
    <w:p>
      <w:pPr>
        <w:widowControl/>
        <w:spacing w:line="560" w:lineRule="exact"/>
        <w:ind w:firstLine="630" w:firstLineChars="196"/>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（一）机关运行经费情况</w:t>
      </w:r>
    </w:p>
    <w:p>
      <w:pPr>
        <w:spacing w:line="560" w:lineRule="exact"/>
        <w:ind w:firstLine="640" w:firstLineChars="200"/>
        <w:rPr>
          <w:rFonts w:hint="default" w:ascii="仿宋_GB2312" w:hAnsi="宋体" w:eastAsia="仿宋_GB2312" w:cs="宋体"/>
          <w:kern w:val="0"/>
          <w:sz w:val="32"/>
          <w:szCs w:val="32"/>
          <w:lang w:val="en-US"/>
        </w:rPr>
      </w:pPr>
      <w:r>
        <w:rPr>
          <w:rFonts w:hint="default" w:ascii="Times New Roman" w:hAnsi="Times New Roman" w:eastAsia="仿宋_GB2312" w:cs="Times New Roman"/>
          <w:kern w:val="0"/>
          <w:sz w:val="32"/>
          <w:szCs w:val="32"/>
        </w:rPr>
        <w:t>2021年</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克孜勒苏柯尔克孜自治州</w:t>
      </w:r>
      <w:r>
        <w:rPr>
          <w:rFonts w:hint="eastAsia" w:eastAsia="仿宋_GB2312" w:cs="Times New Roman"/>
          <w:kern w:val="0"/>
          <w:sz w:val="32"/>
          <w:szCs w:val="32"/>
          <w:lang w:val="en-US" w:eastAsia="zh-CN"/>
        </w:rPr>
        <w:t>人民政府外事办公室</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家事业单位的机关运行经费财政拨款预算 </w:t>
      </w:r>
      <w:r>
        <w:rPr>
          <w:rFonts w:hint="eastAsia" w:ascii="仿宋_GB2312" w:hAnsi="宋体" w:eastAsia="仿宋_GB2312" w:cs="宋体"/>
          <w:kern w:val="0"/>
          <w:sz w:val="32"/>
          <w:szCs w:val="32"/>
          <w:lang w:val="en-US" w:eastAsia="zh-CN"/>
        </w:rPr>
        <w:t>16.30</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val="en-US" w:eastAsia="zh-CN"/>
        </w:rPr>
        <w:t>增加1.45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9.76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2020年我单位新成立外事服务中心，增加3个事业编制。</w:t>
      </w:r>
    </w:p>
    <w:p>
      <w:pPr>
        <w:widowControl/>
        <w:spacing w:line="560" w:lineRule="exact"/>
        <w:ind w:firstLine="643" w:firstLineChars="200"/>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（二）政府采购情况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2021</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克州外办</w:t>
      </w:r>
      <w:r>
        <w:rPr>
          <w:rFonts w:hint="eastAsia" w:ascii="仿宋_GB2312" w:hAnsi="宋体" w:eastAsia="仿宋_GB2312" w:cs="宋体"/>
          <w:color w:val="auto"/>
          <w:kern w:val="0"/>
          <w:sz w:val="32"/>
          <w:szCs w:val="32"/>
        </w:rPr>
        <w:t>及下属单位政府采购预算</w:t>
      </w:r>
      <w:r>
        <w:rPr>
          <w:rFonts w:hint="eastAsia" w:ascii="仿宋_GB2312" w:hAnsi="宋体" w:eastAsia="仿宋_GB2312" w:cs="宋体"/>
          <w:color w:val="auto"/>
          <w:kern w:val="0"/>
          <w:sz w:val="32"/>
          <w:szCs w:val="32"/>
          <w:lang w:val="en-US" w:eastAsia="zh-CN"/>
        </w:rPr>
        <w:t>26</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color w:val="auto"/>
          <w:kern w:val="0"/>
          <w:sz w:val="32"/>
          <w:szCs w:val="32"/>
          <w:lang w:val="en-US" w:eastAsia="zh-CN"/>
        </w:rPr>
        <w:t>26</w:t>
      </w:r>
      <w:r>
        <w:rPr>
          <w:rFonts w:hint="eastAsia" w:ascii="仿宋_GB2312" w:hAnsi="宋体" w:eastAsia="仿宋_GB2312" w:cs="宋体"/>
          <w:color w:val="auto"/>
          <w:kern w:val="0"/>
          <w:sz w:val="32"/>
          <w:szCs w:val="32"/>
        </w:rPr>
        <w:t>万元，政府采购工程预算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万元，政府采购服务预算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widowControl/>
        <w:spacing w:line="560" w:lineRule="exact"/>
        <w:ind w:firstLine="472" w:firstLineChars="147"/>
        <w:jc w:val="left"/>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克州外办</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1.房屋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平方米，价值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2.车辆 </w:t>
      </w:r>
      <w:r>
        <w:rPr>
          <w:rFonts w:hint="eastAsia" w:ascii="仿宋_GB2312" w:hAnsi="宋体" w:eastAsia="仿宋_GB2312" w:cs="宋体"/>
          <w:color w:val="000000"/>
          <w:kern w:val="0"/>
          <w:sz w:val="32"/>
          <w:szCs w:val="32"/>
          <w:lang w:val="en-US" w:eastAsia="zh-CN"/>
        </w:rPr>
        <w:t>3</w:t>
      </w:r>
      <w:r>
        <w:rPr>
          <w:rFonts w:hint="eastAsia" w:ascii="仿宋_GB2312" w:hAnsi="宋体" w:eastAsia="仿宋_GB2312" w:cs="宋体"/>
          <w:color w:val="000000"/>
          <w:kern w:val="0"/>
          <w:sz w:val="32"/>
          <w:szCs w:val="32"/>
        </w:rPr>
        <w:t xml:space="preserve"> 辆，价值</w:t>
      </w:r>
      <w:r>
        <w:rPr>
          <w:rFonts w:hint="eastAsia" w:ascii="仿宋_GB2312" w:hAnsi="宋体" w:eastAsia="仿宋_GB2312" w:cs="宋体"/>
          <w:color w:val="000000"/>
          <w:kern w:val="0"/>
          <w:sz w:val="32"/>
          <w:szCs w:val="32"/>
          <w:lang w:val="en-US" w:eastAsia="zh-CN"/>
        </w:rPr>
        <w:t>65.92</w:t>
      </w:r>
      <w:r>
        <w:rPr>
          <w:rFonts w:hint="eastAsia" w:ascii="仿宋_GB2312" w:hAnsi="宋体" w:eastAsia="仿宋_GB2312" w:cs="宋体"/>
          <w:color w:val="000000"/>
          <w:kern w:val="0"/>
          <w:sz w:val="32"/>
          <w:szCs w:val="32"/>
        </w:rPr>
        <w:t xml:space="preserve">万元；其中：一般公务用车 </w:t>
      </w:r>
      <w:r>
        <w:rPr>
          <w:rFonts w:hint="eastAsia" w:ascii="仿宋_GB2312" w:hAnsi="宋体" w:eastAsia="仿宋_GB2312" w:cs="宋体"/>
          <w:color w:val="000000"/>
          <w:kern w:val="0"/>
          <w:sz w:val="32"/>
          <w:szCs w:val="32"/>
          <w:lang w:val="en-US" w:eastAsia="zh-CN"/>
        </w:rPr>
        <w:t>3</w:t>
      </w:r>
      <w:r>
        <w:rPr>
          <w:rFonts w:hint="eastAsia" w:ascii="仿宋_GB2312" w:hAnsi="宋体" w:eastAsia="仿宋_GB2312" w:cs="宋体"/>
          <w:color w:val="000000"/>
          <w:kern w:val="0"/>
          <w:sz w:val="32"/>
          <w:szCs w:val="32"/>
        </w:rPr>
        <w:t>辆，价值</w:t>
      </w:r>
      <w:r>
        <w:rPr>
          <w:rFonts w:hint="eastAsia" w:ascii="仿宋_GB2312" w:hAnsi="宋体" w:eastAsia="仿宋_GB2312" w:cs="宋体"/>
          <w:color w:val="000000"/>
          <w:kern w:val="0"/>
          <w:sz w:val="32"/>
          <w:szCs w:val="32"/>
          <w:lang w:val="en-US" w:eastAsia="zh-CN"/>
        </w:rPr>
        <w:t>65.92</w:t>
      </w:r>
      <w:r>
        <w:rPr>
          <w:rFonts w:hint="eastAsia" w:ascii="仿宋_GB2312" w:hAnsi="宋体" w:eastAsia="仿宋_GB2312" w:cs="宋体"/>
          <w:color w:val="000000"/>
          <w:kern w:val="0"/>
          <w:sz w:val="32"/>
          <w:szCs w:val="32"/>
        </w:rPr>
        <w:t xml:space="preserve">万元；执法执勤用车 </w:t>
      </w:r>
      <w:r>
        <w:rPr>
          <w:rFonts w:hint="eastAsia" w:ascii="仿宋_GB2312" w:hAnsi="宋体" w:eastAsia="仿宋_GB2312" w:cs="宋体"/>
          <w:color w:val="000000"/>
          <w:kern w:val="0"/>
          <w:sz w:val="32"/>
          <w:szCs w:val="32"/>
          <w:lang w:val="en-US" w:eastAsia="zh-CN"/>
        </w:rPr>
        <w:t>0</w:t>
      </w:r>
      <w:r>
        <w:rPr>
          <w:rFonts w:hint="eastAsia" w:ascii="仿宋_GB2312" w:hAnsi="宋体" w:eastAsia="仿宋_GB2312" w:cs="宋体"/>
          <w:color w:val="000000"/>
          <w:kern w:val="0"/>
          <w:sz w:val="32"/>
          <w:szCs w:val="32"/>
        </w:rPr>
        <w:t xml:space="preserve">  辆，价值  </w:t>
      </w:r>
      <w:r>
        <w:rPr>
          <w:rFonts w:hint="eastAsia" w:ascii="仿宋_GB2312" w:hAnsi="宋体" w:eastAsia="仿宋_GB2312" w:cs="宋体"/>
          <w:color w:val="000000"/>
          <w:kern w:val="0"/>
          <w:sz w:val="32"/>
          <w:szCs w:val="32"/>
          <w:lang w:val="en-US" w:eastAsia="zh-CN"/>
        </w:rPr>
        <w:t>0</w:t>
      </w:r>
      <w:r>
        <w:rPr>
          <w:rFonts w:hint="eastAsia" w:ascii="仿宋_GB2312" w:hAnsi="宋体" w:eastAsia="仿宋_GB2312" w:cs="宋体"/>
          <w:color w:val="000000"/>
          <w:kern w:val="0"/>
          <w:sz w:val="32"/>
          <w:szCs w:val="32"/>
        </w:rPr>
        <w:t xml:space="preserve"> 万元；其他车辆 </w:t>
      </w:r>
      <w:r>
        <w:rPr>
          <w:rFonts w:hint="eastAsia" w:ascii="仿宋_GB2312" w:hAnsi="宋体" w:eastAsia="仿宋_GB2312" w:cs="宋体"/>
          <w:color w:val="000000"/>
          <w:kern w:val="0"/>
          <w:sz w:val="32"/>
          <w:szCs w:val="32"/>
          <w:lang w:val="en-US" w:eastAsia="zh-CN"/>
        </w:rPr>
        <w:t>0</w:t>
      </w:r>
      <w:r>
        <w:rPr>
          <w:rFonts w:hint="eastAsia" w:ascii="仿宋_GB2312" w:hAnsi="宋体" w:eastAsia="仿宋_GB2312" w:cs="宋体"/>
          <w:color w:val="000000"/>
          <w:kern w:val="0"/>
          <w:sz w:val="32"/>
          <w:szCs w:val="32"/>
        </w:rPr>
        <w:t xml:space="preserve"> 辆，价值 </w:t>
      </w:r>
      <w:r>
        <w:rPr>
          <w:rFonts w:hint="eastAsia" w:ascii="仿宋_GB2312" w:hAnsi="宋体" w:eastAsia="仿宋_GB2312" w:cs="宋体"/>
          <w:color w:val="000000"/>
          <w:kern w:val="0"/>
          <w:sz w:val="32"/>
          <w:szCs w:val="32"/>
          <w:lang w:val="en-US" w:eastAsia="zh-CN"/>
        </w:rPr>
        <w:t>0</w:t>
      </w:r>
      <w:r>
        <w:rPr>
          <w:rFonts w:hint="eastAsia" w:ascii="仿宋_GB2312" w:hAnsi="宋体" w:eastAsia="仿宋_GB2312" w:cs="宋体"/>
          <w:color w:val="000000"/>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000000"/>
          <w:kern w:val="0"/>
          <w:sz w:val="32"/>
          <w:szCs w:val="32"/>
        </w:rPr>
        <w:t>3.办公家具价值</w:t>
      </w: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auto"/>
          <w:kern w:val="0"/>
          <w:sz w:val="32"/>
          <w:szCs w:val="32"/>
          <w:lang w:val="en-US" w:eastAsia="zh-CN"/>
        </w:rPr>
        <w:t>15.82</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auto"/>
          <w:kern w:val="0"/>
          <w:sz w:val="32"/>
          <w:szCs w:val="32"/>
        </w:rPr>
        <w:t>4.其他资产价值</w:t>
      </w:r>
      <w:r>
        <w:rPr>
          <w:rFonts w:hint="eastAsia" w:ascii="仿宋_GB2312" w:hAnsi="宋体" w:eastAsia="仿宋_GB2312" w:cs="宋体"/>
          <w:color w:val="auto"/>
          <w:kern w:val="0"/>
          <w:sz w:val="32"/>
          <w:szCs w:val="32"/>
          <w:lang w:val="en-US" w:eastAsia="zh-CN"/>
        </w:rPr>
        <w:t>75.42</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000000"/>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单位价值50万元以上大型设备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万元。具体情况见下表（按项目分别填报）：</w:t>
      </w:r>
      <w:bookmarkStart w:id="0" w:name="_GoBack"/>
      <w:bookmarkEnd w:id="0"/>
    </w:p>
    <w:p>
      <w:pPr>
        <w:pStyle w:val="2"/>
        <w:rPr>
          <w:rFonts w:hint="eastAsia" w:ascii="仿宋_GB2312" w:hAnsi="宋体" w:eastAsia="仿宋_GB2312" w:cs="宋体"/>
          <w:kern w:val="0"/>
          <w:sz w:val="32"/>
          <w:szCs w:val="32"/>
        </w:rPr>
      </w:pPr>
    </w:p>
    <w:p>
      <w:pPr>
        <w:rPr>
          <w:rFonts w:hint="eastAsia" w:ascii="仿宋_GB2312" w:hAnsi="宋体" w:eastAsia="仿宋_GB2312" w:cs="宋体"/>
          <w:kern w:val="0"/>
          <w:sz w:val="32"/>
          <w:szCs w:val="32"/>
        </w:rPr>
      </w:pPr>
    </w:p>
    <w:p>
      <w:pPr>
        <w:pStyle w:val="2"/>
        <w:keepNext w:val="0"/>
        <w:keepLines w:val="0"/>
        <w:pageBreakBefore w:val="0"/>
        <w:kinsoku/>
        <w:wordWrap/>
        <w:overflowPunct/>
        <w:topLinePunct w:val="0"/>
        <w:autoSpaceDE/>
        <w:autoSpaceDN/>
        <w:bidi w:val="0"/>
        <w:adjustRightInd/>
        <w:snapToGrid/>
        <w:spacing w:line="320" w:lineRule="exact"/>
      </w:pPr>
    </w:p>
    <w:tbl>
      <w:tblPr>
        <w:tblStyle w:val="8"/>
        <w:tblW w:w="9915" w:type="dxa"/>
        <w:tblInd w:w="0" w:type="dxa"/>
        <w:shd w:val="clear" w:color="auto" w:fill="auto"/>
        <w:tblLayout w:type="fixed"/>
        <w:tblCellMar>
          <w:top w:w="0" w:type="dxa"/>
          <w:left w:w="0" w:type="dxa"/>
          <w:bottom w:w="0" w:type="dxa"/>
          <w:right w:w="0" w:type="dxa"/>
        </w:tblCellMar>
      </w:tblPr>
      <w:tblGrid>
        <w:gridCol w:w="616"/>
        <w:gridCol w:w="736"/>
        <w:gridCol w:w="1016"/>
        <w:gridCol w:w="3299"/>
        <w:gridCol w:w="3363"/>
        <w:gridCol w:w="645"/>
        <w:gridCol w:w="240"/>
      </w:tblGrid>
      <w:tr>
        <w:tblPrEx>
          <w:tblLayout w:type="fixed"/>
          <w:tblCellMar>
            <w:top w:w="0" w:type="dxa"/>
            <w:left w:w="0" w:type="dxa"/>
            <w:bottom w:w="0" w:type="dxa"/>
            <w:right w:w="0" w:type="dxa"/>
          </w:tblCellMar>
        </w:tblPrEx>
        <w:trPr>
          <w:trHeight w:val="480" w:hRule="atLeast"/>
        </w:trPr>
        <w:tc>
          <w:tcPr>
            <w:tcW w:w="61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宋体" w:eastAsia="黑体" w:cs="黑体"/>
                <w:i w:val="0"/>
                <w:color w:val="000000"/>
                <w:sz w:val="24"/>
                <w:szCs w:val="24"/>
                <w:u w:val="none"/>
              </w:rPr>
            </w:pPr>
          </w:p>
        </w:tc>
        <w:tc>
          <w:tcPr>
            <w:tcW w:w="736"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20" w:lineRule="exact"/>
              <w:rPr>
                <w:rFonts w:hint="eastAsia" w:ascii="黑体" w:hAnsi="宋体" w:eastAsia="黑体" w:cs="黑体"/>
                <w:i w:val="0"/>
                <w:color w:val="000000"/>
                <w:sz w:val="24"/>
                <w:szCs w:val="24"/>
                <w:u w:val="none"/>
              </w:rPr>
            </w:pPr>
          </w:p>
        </w:tc>
        <w:tc>
          <w:tcPr>
            <w:tcW w:w="1016"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20" w:lineRule="exact"/>
              <w:rPr>
                <w:rFonts w:hint="eastAsia" w:ascii="黑体" w:hAnsi="宋体" w:eastAsia="黑体" w:cs="黑体"/>
                <w:i w:val="0"/>
                <w:color w:val="000000"/>
                <w:sz w:val="24"/>
                <w:szCs w:val="24"/>
                <w:u w:val="none"/>
              </w:rPr>
            </w:pPr>
          </w:p>
        </w:tc>
        <w:tc>
          <w:tcPr>
            <w:tcW w:w="3299"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20" w:lineRule="exact"/>
              <w:rPr>
                <w:rFonts w:hint="eastAsia" w:ascii="黑体" w:hAnsi="宋体" w:eastAsia="黑体" w:cs="黑体"/>
                <w:i w:val="0"/>
                <w:color w:val="000000"/>
                <w:sz w:val="24"/>
                <w:szCs w:val="24"/>
                <w:u w:val="none"/>
              </w:rPr>
            </w:pPr>
          </w:p>
        </w:tc>
        <w:tc>
          <w:tcPr>
            <w:tcW w:w="3363"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24"/>
                <w:szCs w:val="24"/>
                <w:u w:val="none"/>
              </w:rPr>
            </w:pPr>
          </w:p>
        </w:tc>
        <w:tc>
          <w:tcPr>
            <w:tcW w:w="645"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24"/>
                <w:szCs w:val="24"/>
                <w:u w:val="none"/>
              </w:rPr>
            </w:pPr>
          </w:p>
        </w:tc>
        <w:tc>
          <w:tcPr>
            <w:tcW w:w="240" w:type="dxa"/>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480" w:hRule="atLeast"/>
        </w:trPr>
        <w:tc>
          <w:tcPr>
            <w:tcW w:w="9915"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ind w:firstLine="2891" w:firstLineChars="900"/>
              <w:jc w:val="both"/>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部门预算项目支出绩效目标表</w:t>
            </w:r>
          </w:p>
        </w:tc>
      </w:tr>
      <w:tr>
        <w:tblPrEx>
          <w:shd w:val="clear" w:color="auto" w:fill="auto"/>
          <w:tblLayout w:type="fixed"/>
          <w:tblCellMar>
            <w:top w:w="0" w:type="dxa"/>
            <w:left w:w="0" w:type="dxa"/>
            <w:bottom w:w="0" w:type="dxa"/>
            <w:right w:w="0" w:type="dxa"/>
          </w:tblCellMar>
        </w:tblPrEx>
        <w:trPr>
          <w:trHeight w:val="285" w:hRule="atLeast"/>
        </w:trPr>
        <w:tc>
          <w:tcPr>
            <w:tcW w:w="9915"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w:t>
            </w:r>
            <w:r>
              <w:rPr>
                <w:rFonts w:hint="eastAsia" w:ascii="宋体" w:hAnsi="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年度）</w:t>
            </w:r>
          </w:p>
        </w:tc>
      </w:tr>
      <w:tr>
        <w:tblPrEx>
          <w:shd w:val="clear" w:color="auto" w:fill="auto"/>
          <w:tblLayout w:type="fixed"/>
          <w:tblCellMar>
            <w:top w:w="0" w:type="dxa"/>
            <w:left w:w="0" w:type="dxa"/>
            <w:bottom w:w="0" w:type="dxa"/>
            <w:right w:w="0" w:type="dxa"/>
          </w:tblCellMar>
        </w:tblPrEx>
        <w:trPr>
          <w:trHeight w:val="439" w:hRule="atLeast"/>
        </w:trPr>
        <w:tc>
          <w:tcPr>
            <w:tcW w:w="2368"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75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cs="宋体"/>
                <w:kern w:val="0"/>
                <w:sz w:val="15"/>
                <w:szCs w:val="15"/>
                <w:lang w:val="en-US" w:eastAsia="zh-CN"/>
              </w:rPr>
              <w:t>群众工作经费</w:t>
            </w:r>
          </w:p>
        </w:tc>
      </w:tr>
      <w:tr>
        <w:tblPrEx>
          <w:shd w:val="clear" w:color="auto" w:fill="auto"/>
          <w:tblLayout w:type="fixed"/>
          <w:tblCellMar>
            <w:top w:w="0" w:type="dxa"/>
            <w:left w:w="0" w:type="dxa"/>
            <w:bottom w:w="0" w:type="dxa"/>
            <w:right w:w="0" w:type="dxa"/>
          </w:tblCellMar>
        </w:tblPrEx>
        <w:trPr>
          <w:trHeight w:val="439" w:hRule="atLeast"/>
        </w:trPr>
        <w:tc>
          <w:tcPr>
            <w:tcW w:w="2368"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预算单位</w:t>
            </w:r>
          </w:p>
        </w:tc>
        <w:tc>
          <w:tcPr>
            <w:tcW w:w="75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cs="宋体"/>
                <w:kern w:val="0"/>
                <w:sz w:val="15"/>
                <w:szCs w:val="15"/>
              </w:rPr>
              <w:t>新疆克孜勒苏柯尔克孜自治州人民政府外事办公室</w:t>
            </w:r>
          </w:p>
        </w:tc>
      </w:tr>
      <w:tr>
        <w:tblPrEx>
          <w:shd w:val="clear" w:color="auto" w:fill="auto"/>
          <w:tblLayout w:type="fixed"/>
          <w:tblCellMar>
            <w:top w:w="0" w:type="dxa"/>
            <w:left w:w="0" w:type="dxa"/>
            <w:bottom w:w="0" w:type="dxa"/>
            <w:right w:w="0" w:type="dxa"/>
          </w:tblCellMar>
        </w:tblPrEx>
        <w:trPr>
          <w:trHeight w:val="439" w:hRule="atLeast"/>
        </w:trPr>
        <w:tc>
          <w:tcPr>
            <w:tcW w:w="23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（万元）</w:t>
            </w:r>
          </w:p>
        </w:tc>
        <w:tc>
          <w:tcPr>
            <w:tcW w:w="75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年度资金总额：</w:t>
            </w:r>
            <w:r>
              <w:rPr>
                <w:rFonts w:hint="eastAsia" w:ascii="宋体" w:hAnsi="宋体" w:cs="宋体"/>
                <w:i w:val="0"/>
                <w:color w:val="000000"/>
                <w:kern w:val="0"/>
                <w:sz w:val="15"/>
                <w:szCs w:val="15"/>
                <w:u w:val="none"/>
                <w:lang w:val="en-US" w:eastAsia="zh-CN" w:bidi="ar"/>
              </w:rPr>
              <w:t>7</w:t>
            </w:r>
          </w:p>
        </w:tc>
      </w:tr>
      <w:tr>
        <w:tblPrEx>
          <w:shd w:val="clear" w:color="auto" w:fill="auto"/>
          <w:tblLayout w:type="fixed"/>
          <w:tblCellMar>
            <w:top w:w="0" w:type="dxa"/>
            <w:left w:w="0" w:type="dxa"/>
            <w:bottom w:w="0" w:type="dxa"/>
            <w:right w:w="0" w:type="dxa"/>
          </w:tblCellMar>
        </w:tblPrEx>
        <w:trPr>
          <w:trHeight w:val="439" w:hRule="atLeast"/>
        </w:trPr>
        <w:tc>
          <w:tcPr>
            <w:tcW w:w="23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5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其中：财政拨款：</w:t>
            </w:r>
            <w:r>
              <w:rPr>
                <w:rFonts w:hint="eastAsia" w:ascii="宋体" w:hAnsi="宋体" w:cs="宋体"/>
                <w:i w:val="0"/>
                <w:color w:val="000000"/>
                <w:kern w:val="0"/>
                <w:sz w:val="15"/>
                <w:szCs w:val="15"/>
                <w:u w:val="none"/>
                <w:lang w:val="en-US" w:eastAsia="zh-CN" w:bidi="ar"/>
              </w:rPr>
              <w:t>7</w:t>
            </w:r>
          </w:p>
        </w:tc>
      </w:tr>
      <w:tr>
        <w:tblPrEx>
          <w:shd w:val="clear" w:color="auto" w:fill="auto"/>
          <w:tblLayout w:type="fixed"/>
          <w:tblCellMar>
            <w:top w:w="0" w:type="dxa"/>
            <w:left w:w="0" w:type="dxa"/>
            <w:bottom w:w="0" w:type="dxa"/>
            <w:right w:w="0" w:type="dxa"/>
          </w:tblCellMar>
        </w:tblPrEx>
        <w:trPr>
          <w:trHeight w:val="439" w:hRule="atLeast"/>
        </w:trPr>
        <w:tc>
          <w:tcPr>
            <w:tcW w:w="23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5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其他资金：0</w:t>
            </w:r>
          </w:p>
        </w:tc>
      </w:tr>
      <w:tr>
        <w:tblPrEx>
          <w:shd w:val="clear" w:color="auto" w:fill="auto"/>
          <w:tblLayout w:type="fixed"/>
          <w:tblCellMar>
            <w:top w:w="0" w:type="dxa"/>
            <w:left w:w="0" w:type="dxa"/>
            <w:bottom w:w="0" w:type="dxa"/>
            <w:right w:w="0" w:type="dxa"/>
          </w:tblCellMar>
        </w:tblPrEx>
        <w:trPr>
          <w:trHeight w:val="439"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体</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目</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标</w:t>
            </w:r>
          </w:p>
        </w:tc>
        <w:tc>
          <w:tcPr>
            <w:tcW w:w="929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年度目标</w:t>
            </w:r>
          </w:p>
        </w:tc>
      </w:tr>
      <w:tr>
        <w:tblPrEx>
          <w:shd w:val="clear" w:color="auto" w:fill="auto"/>
          <w:tblLayout w:type="fixed"/>
          <w:tblCellMar>
            <w:top w:w="0" w:type="dxa"/>
            <w:left w:w="0" w:type="dxa"/>
            <w:bottom w:w="0" w:type="dxa"/>
            <w:right w:w="0" w:type="dxa"/>
          </w:tblCellMar>
        </w:tblPrEx>
        <w:trPr>
          <w:trHeight w:val="927"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929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w:t>
            </w:r>
            <w:r>
              <w:rPr>
                <w:rFonts w:hint="eastAsia" w:ascii="宋体" w:hAnsi="宋体" w:cs="宋体"/>
                <w:i w:val="0"/>
                <w:color w:val="000000"/>
                <w:kern w:val="0"/>
                <w:sz w:val="15"/>
                <w:szCs w:val="15"/>
                <w:u w:val="none"/>
                <w:lang w:val="en-US" w:eastAsia="zh-CN" w:bidi="ar"/>
              </w:rPr>
              <w:t xml:space="preserve"> </w:t>
            </w:r>
            <w:r>
              <w:rPr>
                <w:rFonts w:hint="eastAsia" w:ascii="宋体" w:hAnsi="宋体" w:eastAsia="宋体" w:cs="宋体"/>
                <w:i w:val="0"/>
                <w:color w:val="000000"/>
                <w:kern w:val="0"/>
                <w:sz w:val="15"/>
                <w:szCs w:val="15"/>
                <w:u w:val="none"/>
                <w:lang w:val="en-US" w:eastAsia="zh-CN" w:bidi="ar"/>
              </w:rPr>
              <w:t xml:space="preserve">  </w:t>
            </w:r>
            <w:r>
              <w:rPr>
                <w:rFonts w:hint="eastAsia" w:ascii="宋体" w:hAnsi="宋体" w:cs="宋体"/>
                <w:kern w:val="0"/>
                <w:sz w:val="15"/>
                <w:szCs w:val="15"/>
              </w:rPr>
              <w:t>该项目资金预计主要用于阿克陶县加马铁列克乡喀什博依村为群众办实事好事、解决困难家庭实际困难、开展群众工作购买实物，下沉点购办公设备等，通过该项目的实施及时有效的缓解了困难家庭的燃眉之急，解决其生产生活、子女上学等方面的困难。</w:t>
            </w:r>
          </w:p>
        </w:tc>
      </w:tr>
      <w:tr>
        <w:tblPrEx>
          <w:shd w:val="clear" w:color="auto" w:fill="auto"/>
          <w:tblLayout w:type="fixed"/>
          <w:tblCellMar>
            <w:top w:w="0" w:type="dxa"/>
            <w:left w:w="0" w:type="dxa"/>
            <w:bottom w:w="0" w:type="dxa"/>
            <w:right w:w="0" w:type="dxa"/>
          </w:tblCellMar>
        </w:tblPrEx>
        <w:trPr>
          <w:trHeight w:val="704"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绩</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效</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指</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标</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指标</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指标值（包含数字及文字描述）</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项目完成</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办理实事好事数量（件）</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开展群众活动次数（次）</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24</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资金使用合规率（%）</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资金拨付及时率（%）</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开展工作所需经费（万元）</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7</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项目效益</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基层工作生活保障</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有效保障</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生态效益指标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可持续影响指标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满足基层日常工作需要</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效果显著</w:t>
            </w:r>
          </w:p>
        </w:tc>
      </w:tr>
      <w:tr>
        <w:tblPrEx>
          <w:shd w:val="clear" w:color="auto" w:fill="auto"/>
          <w:tblLayout w:type="fixed"/>
          <w:tblCellMar>
            <w:top w:w="0" w:type="dxa"/>
            <w:left w:w="0" w:type="dxa"/>
            <w:bottom w:w="0" w:type="dxa"/>
            <w:right w:w="0" w:type="dxa"/>
          </w:tblCellMar>
        </w:tblPrEx>
        <w:trPr>
          <w:trHeight w:val="567" w:hRule="exac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32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受益群众满意度（%）</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r>
    </w:tbl>
    <w:p>
      <w:pPr>
        <w:spacing w:line="560" w:lineRule="exact"/>
        <w:rPr>
          <w:rFonts w:ascii="仿宋_GB2312" w:hAnsi="宋体" w:eastAsia="仿宋_GB2312" w:cs="宋体"/>
          <w:b/>
          <w:kern w:val="0"/>
          <w:sz w:val="32"/>
          <w:szCs w:val="32"/>
        </w:rPr>
      </w:pPr>
    </w:p>
    <w:p>
      <w:pPr>
        <w:widowControl/>
        <w:numPr>
          <w:ilvl w:val="0"/>
          <w:numId w:val="0"/>
        </w:numPr>
        <w:spacing w:line="560" w:lineRule="exact"/>
        <w:ind w:firstLine="321" w:firstLineChars="100"/>
        <w:jc w:val="left"/>
        <w:rPr>
          <w:rFonts w:hint="eastAsia" w:ascii="仿宋_GB2312" w:hAnsi="宋体" w:eastAsia="仿宋_GB2312" w:cs="宋体"/>
          <w:b/>
          <w:kern w:val="0"/>
          <w:sz w:val="32"/>
          <w:szCs w:val="32"/>
        </w:rPr>
      </w:pPr>
    </w:p>
    <w:p>
      <w:pPr>
        <w:widowControl/>
        <w:numPr>
          <w:ilvl w:val="0"/>
          <w:numId w:val="0"/>
        </w:numPr>
        <w:spacing w:line="560" w:lineRule="exact"/>
        <w:ind w:firstLine="321" w:firstLineChars="100"/>
        <w:jc w:val="left"/>
        <w:rPr>
          <w:rFonts w:hint="eastAsia"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（五）</w:t>
      </w:r>
      <w:r>
        <w:rPr>
          <w:rFonts w:hint="eastAsia" w:ascii="仿宋_GB2312" w:hAnsi="宋体" w:eastAsia="仿宋_GB2312" w:cs="宋体"/>
          <w:b/>
          <w:kern w:val="0"/>
          <w:sz w:val="32"/>
          <w:szCs w:val="32"/>
        </w:rPr>
        <w:t>其他需说明的事项</w:t>
      </w:r>
    </w:p>
    <w:p>
      <w:pPr>
        <w:widowControl/>
        <w:spacing w:line="520" w:lineRule="exact"/>
        <w:ind w:firstLine="630" w:firstLineChars="300"/>
        <w:jc w:val="left"/>
        <w:rPr>
          <w:rFonts w:hint="default" w:ascii="Times New Roman" w:hAnsi="Times New Roman" w:eastAsia="仿宋_GB2312" w:cs="Times New Roman"/>
          <w:kern w:val="0"/>
          <w:sz w:val="32"/>
          <w:szCs w:val="32"/>
          <w:lang w:val="en-US" w:eastAsia="zh-CN"/>
        </w:rPr>
      </w:pPr>
      <w:r>
        <w:rPr>
          <w:rFonts w:hint="eastAsia"/>
          <w:lang w:val="en-US" w:eastAsia="zh-CN"/>
        </w:rPr>
        <w:t xml:space="preserve">    </w:t>
      </w:r>
      <w:r>
        <w:rPr>
          <w:rFonts w:hint="default" w:ascii="Times New Roman" w:hAnsi="Times New Roman" w:eastAsia="仿宋_GB2312" w:cs="Times New Roman"/>
          <w:kern w:val="0"/>
          <w:sz w:val="32"/>
          <w:szCs w:val="32"/>
          <w:lang w:val="en-US" w:eastAsia="zh-CN"/>
        </w:rPr>
        <w:t>克孜勒苏柯尔克孜自治州</w:t>
      </w:r>
      <w:r>
        <w:rPr>
          <w:rFonts w:hint="eastAsia" w:eastAsia="仿宋_GB2312" w:cs="Times New Roman"/>
          <w:kern w:val="0"/>
          <w:sz w:val="32"/>
          <w:szCs w:val="32"/>
          <w:lang w:val="en-US" w:eastAsia="zh-CN"/>
        </w:rPr>
        <w:t>人民政府外事办公室</w:t>
      </w:r>
      <w:r>
        <w:rPr>
          <w:rFonts w:hint="default" w:ascii="Times New Roman" w:hAnsi="Times New Roman" w:eastAsia="仿宋_GB2312" w:cs="Times New Roman"/>
          <w:kern w:val="0"/>
          <w:sz w:val="32"/>
          <w:szCs w:val="32"/>
          <w:lang w:val="en-US" w:eastAsia="zh-CN"/>
        </w:rPr>
        <w:t>无其他需说明的事项。</w:t>
      </w:r>
    </w:p>
    <w:p>
      <w:pPr>
        <w:pStyle w:val="2"/>
        <w:rPr>
          <w:rFonts w:hint="default" w:ascii="Times New Roman" w:hAnsi="Times New Roman" w:eastAsia="仿宋_GB2312" w:cs="Times New Roman"/>
          <w:kern w:val="0"/>
          <w:sz w:val="32"/>
          <w:szCs w:val="32"/>
          <w:lang w:val="en-US" w:eastAsia="zh-CN"/>
        </w:rPr>
      </w:pPr>
    </w:p>
    <w:p>
      <w:pPr>
        <w:rPr>
          <w:rFonts w:hint="default" w:ascii="Times New Roman" w:hAnsi="Times New Roman" w:eastAsia="仿宋_GB2312" w:cs="Times New Roman"/>
          <w:kern w:val="0"/>
          <w:sz w:val="32"/>
          <w:szCs w:val="32"/>
          <w:lang w:val="en-US" w:eastAsia="zh-CN"/>
        </w:rPr>
      </w:pPr>
    </w:p>
    <w:p>
      <w:pPr>
        <w:pStyle w:val="2"/>
        <w:rPr>
          <w:rFonts w:hint="default" w:ascii="Times New Roman" w:hAnsi="Times New Roman" w:eastAsia="仿宋_GB2312" w:cs="Times New Roman"/>
          <w:kern w:val="0"/>
          <w:sz w:val="32"/>
          <w:szCs w:val="32"/>
          <w:lang w:val="en-US" w:eastAsia="zh-CN"/>
        </w:rPr>
      </w:pPr>
    </w:p>
    <w:p>
      <w:pPr>
        <w:rPr>
          <w:rFonts w:hint="default" w:ascii="Times New Roman" w:hAnsi="Times New Roman" w:eastAsia="仿宋_GB2312" w:cs="Times New Roman"/>
          <w:kern w:val="0"/>
          <w:sz w:val="32"/>
          <w:szCs w:val="32"/>
          <w:lang w:val="en-US" w:eastAsia="zh-CN"/>
        </w:rPr>
      </w:pPr>
    </w:p>
    <w:p>
      <w:pPr>
        <w:pStyle w:val="2"/>
        <w:rPr>
          <w:rFonts w:hint="default" w:ascii="Times New Roman" w:hAnsi="Times New Roman" w:eastAsia="仿宋_GB2312" w:cs="Times New Roman"/>
          <w:kern w:val="0"/>
          <w:sz w:val="32"/>
          <w:szCs w:val="32"/>
          <w:lang w:val="en-US" w:eastAsia="zh-CN"/>
        </w:rPr>
      </w:pPr>
    </w:p>
    <w:p>
      <w:pPr>
        <w:rPr>
          <w:rFonts w:hint="default" w:ascii="Times New Roman" w:hAnsi="Times New Roman" w:eastAsia="仿宋_GB2312" w:cs="Times New Roman"/>
          <w:kern w:val="0"/>
          <w:sz w:val="32"/>
          <w:szCs w:val="32"/>
          <w:lang w:val="en-US" w:eastAsia="zh-CN"/>
        </w:rPr>
      </w:pPr>
    </w:p>
    <w:p>
      <w:pPr>
        <w:pStyle w:val="2"/>
        <w:rPr>
          <w:rFonts w:hint="default" w:ascii="Times New Roman" w:hAnsi="Times New Roman" w:eastAsia="仿宋_GB2312" w:cs="Times New Roman"/>
          <w:kern w:val="0"/>
          <w:sz w:val="32"/>
          <w:szCs w:val="32"/>
          <w:lang w:val="en-US" w:eastAsia="zh-CN"/>
        </w:rPr>
      </w:pPr>
    </w:p>
    <w:p>
      <w:pPr>
        <w:rPr>
          <w:rFonts w:hint="default" w:ascii="Times New Roman" w:hAnsi="Times New Roman" w:eastAsia="仿宋_GB2312" w:cs="Times New Roman"/>
          <w:kern w:val="0"/>
          <w:sz w:val="32"/>
          <w:szCs w:val="32"/>
          <w:lang w:val="en-US" w:eastAsia="zh-CN"/>
        </w:rPr>
      </w:pPr>
    </w:p>
    <w:p>
      <w:pPr>
        <w:pStyle w:val="2"/>
        <w:rPr>
          <w:rFonts w:hint="default" w:ascii="Times New Roman" w:hAnsi="Times New Roman" w:eastAsia="仿宋_GB2312" w:cs="Times New Roman"/>
          <w:kern w:val="0"/>
          <w:sz w:val="32"/>
          <w:szCs w:val="32"/>
          <w:lang w:val="en-US" w:eastAsia="zh-CN"/>
        </w:rPr>
      </w:pPr>
    </w:p>
    <w:p>
      <w:pPr>
        <w:rPr>
          <w:rFonts w:hint="default" w:ascii="Times New Roman" w:hAnsi="Times New Roman" w:eastAsia="仿宋_GB2312" w:cs="Times New Roman"/>
          <w:kern w:val="0"/>
          <w:sz w:val="32"/>
          <w:szCs w:val="32"/>
          <w:lang w:val="en-US" w:eastAsia="zh-CN"/>
        </w:rPr>
      </w:pPr>
    </w:p>
    <w:p>
      <w:pPr>
        <w:pStyle w:val="2"/>
        <w:rPr>
          <w:rFonts w:hint="default" w:ascii="Times New Roman" w:hAnsi="Times New Roman" w:eastAsia="仿宋_GB2312" w:cs="Times New Roman"/>
          <w:kern w:val="0"/>
          <w:sz w:val="32"/>
          <w:szCs w:val="32"/>
          <w:lang w:val="en-US" w:eastAsia="zh-CN"/>
        </w:rPr>
      </w:pPr>
    </w:p>
    <w:p>
      <w:pPr>
        <w:rPr>
          <w:rFonts w:hint="default" w:ascii="Times New Roman" w:hAnsi="Times New Roman" w:eastAsia="仿宋_GB2312" w:cs="Times New Roman"/>
          <w:kern w:val="0"/>
          <w:sz w:val="32"/>
          <w:szCs w:val="32"/>
          <w:lang w:val="en-US" w:eastAsia="zh-CN"/>
        </w:rPr>
      </w:pPr>
    </w:p>
    <w:p>
      <w:pPr>
        <w:pStyle w:val="2"/>
        <w:rPr>
          <w:rFonts w:hint="default" w:ascii="Times New Roman" w:hAnsi="Times New Roman" w:eastAsia="仿宋_GB2312" w:cs="Times New Roman"/>
          <w:kern w:val="0"/>
          <w:sz w:val="32"/>
          <w:szCs w:val="32"/>
          <w:lang w:val="en-US" w:eastAsia="zh-CN"/>
        </w:rPr>
      </w:pPr>
    </w:p>
    <w:p>
      <w:pPr>
        <w:rPr>
          <w:rFonts w:hint="eastAsia"/>
        </w:rPr>
      </w:pPr>
    </w:p>
    <w:p>
      <w:pPr>
        <w:keepNext w:val="0"/>
        <w:keepLines w:val="0"/>
        <w:pageBreakBefore w:val="0"/>
        <w:widowControl/>
        <w:kinsoku/>
        <w:wordWrap/>
        <w:overflowPunct/>
        <w:topLinePunct w:val="0"/>
        <w:autoSpaceDE/>
        <w:autoSpaceDN/>
        <w:bidi w:val="0"/>
        <w:adjustRightInd/>
        <w:snapToGrid/>
        <w:spacing w:beforeLines="50" w:line="4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460" w:lineRule="exact"/>
        <w:ind w:firstLine="642"/>
        <w:textAlignment w:val="auto"/>
        <w:rPr>
          <w:rFonts w:ascii="仿宋_GB2312" w:eastAsia="仿宋_GB2312"/>
          <w:sz w:val="32"/>
          <w:szCs w:val="32"/>
          <w:highlight w:val="none"/>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包括公共财政拨款资金、专项收入。</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hint="eastAsia" w:ascii="仿宋_GB2312" w:eastAsia="仿宋_GB2312"/>
          <w:sz w:val="32"/>
          <w:szCs w:val="32"/>
          <w:lang w:eastAsia="zh-CN"/>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包括其他收入。</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hint="default" w:ascii="Times New Roman" w:hAnsi="Times New Roman" w:eastAsia="仿宋_GB2312" w:cs="Times New Roman"/>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w:t>
      </w:r>
      <w:r>
        <w:rPr>
          <w:rFonts w:hint="eastAsia" w:ascii="仿宋_GB2312" w:eastAsia="仿宋_GB2312"/>
          <w:sz w:val="32"/>
          <w:szCs w:val="32"/>
          <w:lang w:val="en-US" w:eastAsia="zh-CN"/>
        </w:rPr>
        <w:t>公用经费</w:t>
      </w:r>
      <w:r>
        <w:rPr>
          <w:rFonts w:hint="eastAsia" w:ascii="仿宋_GB2312" w:eastAsia="仿宋_GB2312"/>
          <w:sz w:val="32"/>
          <w:szCs w:val="32"/>
        </w:rPr>
        <w:t>。</w:t>
      </w:r>
      <w:r>
        <w:rPr>
          <w:rFonts w:hint="default" w:ascii="Times New Roman" w:hAnsi="Times New Roman" w:eastAsia="仿宋_GB2312" w:cs="Times New Roman"/>
          <w:sz w:val="32"/>
          <w:szCs w:val="32"/>
        </w:rPr>
        <w:t>其中</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人员经费包括工资福利支出、对个人和家庭的补助。</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单位支出预算的组成部分，是自治区本级单位为完成其特定的行政任务或事业发展目标，在基本支出预算之外编制的年度项目支出计划。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单位用一般公共预算财政拨款安排的因公出国（境）费、公务用车购置及运行费和公务接待费。其中，因公出国（境）费指单位公务出国（境）的住宿费、旅费、伙食补助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460" w:lineRule="exact"/>
        <w:ind w:firstLine="642"/>
        <w:textAlignment w:val="auto"/>
        <w:rPr>
          <w:rFonts w:hint="eastAsia" w:ascii="仿宋_GB2312" w:eastAsia="仿宋_GB2312"/>
          <w:sz w:val="32"/>
          <w:szCs w:val="32"/>
          <w:lang w:eastAsia="zh-CN"/>
        </w:rPr>
      </w:pPr>
      <w:r>
        <w:rPr>
          <w:rFonts w:hint="eastAsia" w:ascii="黑体" w:hAnsi="黑体" w:eastAsia="黑体"/>
          <w:sz w:val="32"/>
          <w:szCs w:val="32"/>
        </w:rPr>
        <w:t>八、机关运行经费：</w:t>
      </w:r>
      <w:r>
        <w:rPr>
          <w:rFonts w:hint="eastAsia" w:ascii="仿宋_GB2312" w:eastAsia="仿宋_GB2312"/>
          <w:sz w:val="32"/>
          <w:szCs w:val="32"/>
        </w:rPr>
        <w:t>指单位的公用经费，包括办公及印刷费、邮电费、差旅费、会议费、福利费、日常维修费、专用材料及一般设备购置费、办公用房水电费、公务用车运行维护费及其他费用</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460" w:lineRule="exact"/>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460" w:lineRule="exact"/>
        <w:jc w:val="both"/>
        <w:textAlignment w:val="auto"/>
        <w:rPr>
          <w:rFonts w:hint="eastAsia"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460" w:lineRule="exact"/>
        <w:ind w:firstLine="4160" w:firstLineChars="1300"/>
        <w:jc w:val="both"/>
        <w:textAlignment w:val="auto"/>
        <w:rPr>
          <w:rFonts w:hint="eastAsia" w:eastAsia="仿宋_GB2312" w:cs="Times New Roman"/>
          <w:sz w:val="32"/>
          <w:szCs w:val="32"/>
          <w:lang w:eastAsia="zh-CN"/>
        </w:rPr>
      </w:pPr>
      <w:r>
        <w:rPr>
          <w:rFonts w:hint="eastAsia" w:eastAsia="仿宋_GB2312" w:cs="Times New Roman"/>
          <w:sz w:val="32"/>
          <w:szCs w:val="32"/>
          <w:lang w:val="en-US" w:eastAsia="zh-CN"/>
        </w:rPr>
        <w:t xml:space="preserve">  </w:t>
      </w:r>
      <w:r>
        <w:rPr>
          <w:rFonts w:hint="eastAsia" w:eastAsia="仿宋_GB2312" w:cs="Times New Roman"/>
          <w:sz w:val="32"/>
          <w:szCs w:val="32"/>
          <w:lang w:eastAsia="zh-CN"/>
        </w:rPr>
        <w:t>克孜勒苏柯尔克孜自治州</w:t>
      </w:r>
    </w:p>
    <w:p>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 xml:space="preserve">                     人民政府外事办公室</w:t>
      </w:r>
    </w:p>
    <w:p>
      <w:pPr>
        <w:pStyle w:val="2"/>
        <w:keepNext w:val="0"/>
        <w:keepLines w:val="0"/>
        <w:pageBreakBefore w:val="0"/>
        <w:kinsoku/>
        <w:wordWrap/>
        <w:overflowPunct/>
        <w:topLinePunct w:val="0"/>
        <w:autoSpaceDE/>
        <w:autoSpaceDN/>
        <w:bidi w:val="0"/>
        <w:adjustRightInd/>
        <w:snapToGrid/>
        <w:spacing w:line="460" w:lineRule="exact"/>
        <w:jc w:val="center"/>
        <w:textAlignment w:val="auto"/>
        <w:rPr>
          <w:rFonts w:hint="eastAsia"/>
          <w:lang w:eastAsia="zh-CN"/>
        </w:rPr>
      </w:pPr>
      <w:r>
        <w:rPr>
          <w:rFonts w:hint="eastAsia" w:eastAsia="仿宋_GB2312" w:cs="Times New Roman"/>
          <w:sz w:val="32"/>
          <w:szCs w:val="32"/>
          <w:lang w:val="en-US" w:eastAsia="zh-CN"/>
        </w:rPr>
        <w:t xml:space="preserve">                 </w:t>
      </w:r>
      <w:r>
        <w:rPr>
          <w:rFonts w:hint="eastAsia"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 xml:space="preserve">  2021年2月5日</w:t>
      </w:r>
    </w:p>
    <w:sectPr>
      <w:footerReference r:id="rId3" w:type="default"/>
      <w:footerReference r:id="rId4"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9631" w:y="37"/>
      <w:jc w:val="right"/>
      <w:rPr>
        <w:rStyle w:val="12"/>
        <w:rFonts w:ascii="宋体" w:hAnsi="宋体" w:eastAsia="宋体"/>
        <w:sz w:val="28"/>
      </w:rPr>
    </w:pPr>
    <w:r>
      <w:rPr>
        <w:rFonts w:ascii="宋体" w:hAnsi="宋体" w:eastAsia="宋体"/>
        <w:sz w:val="28"/>
      </w:rPr>
      <w:fldChar w:fldCharType="begin"/>
    </w:r>
    <w:r>
      <w:rPr>
        <w:rStyle w:val="12"/>
        <w:rFonts w:ascii="宋体" w:hAnsi="宋体" w:eastAsia="宋体"/>
        <w:sz w:val="28"/>
      </w:rPr>
      <w:instrText xml:space="preserve"> PAGE </w:instrText>
    </w:r>
    <w:r>
      <w:rPr>
        <w:rFonts w:ascii="宋体" w:hAnsi="宋体" w:eastAsia="宋体"/>
        <w:sz w:val="28"/>
      </w:rPr>
      <w:fldChar w:fldCharType="separate"/>
    </w:r>
    <w:r>
      <w:rPr>
        <w:rStyle w:val="12"/>
        <w:rFonts w:ascii="宋体" w:hAnsi="宋体" w:eastAsia="宋体"/>
        <w:sz w:val="28"/>
      </w:rPr>
      <w:t>- 18 -</w:t>
    </w:r>
    <w:r>
      <w:rPr>
        <w:rFonts w:ascii="宋体" w:hAnsi="宋体" w:eastAsia="宋体"/>
        <w:sz w:val="28"/>
      </w:rPr>
      <w:fldChar w:fldCharType="end"/>
    </w:r>
    <w:r>
      <w:rPr>
        <w:rStyle w:val="12"/>
        <w:rFonts w:hint="eastAsia" w:ascii="宋体" w:hAnsi="宋体" w:eastAsia="宋体"/>
        <w:sz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756" w:y="37"/>
      <w:rPr>
        <w:rStyle w:val="12"/>
        <w:rFonts w:ascii="宋体" w:hAnsi="宋体" w:eastAsia="宋体"/>
        <w:sz w:val="28"/>
        <w:szCs w:val="28"/>
      </w:rPr>
    </w:pP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- 34 -</w:t>
    </w:r>
    <w:r>
      <w:rPr>
        <w:rFonts w:ascii="宋体" w:hAnsi="宋体" w:eastAsia="宋体"/>
        <w:sz w:val="28"/>
        <w:szCs w:val="28"/>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984F54"/>
    <w:multiLevelType w:val="singleLevel"/>
    <w:tmpl w:val="B5984F5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5BF"/>
    <w:rsid w:val="000253A7"/>
    <w:rsid w:val="00032D5E"/>
    <w:rsid w:val="0009522A"/>
    <w:rsid w:val="000A446D"/>
    <w:rsid w:val="000C350B"/>
    <w:rsid w:val="000F140C"/>
    <w:rsid w:val="0010379C"/>
    <w:rsid w:val="00105B9B"/>
    <w:rsid w:val="00121764"/>
    <w:rsid w:val="001246B2"/>
    <w:rsid w:val="001410DA"/>
    <w:rsid w:val="00146E16"/>
    <w:rsid w:val="00163AF1"/>
    <w:rsid w:val="001662FE"/>
    <w:rsid w:val="00172C01"/>
    <w:rsid w:val="00186398"/>
    <w:rsid w:val="001D3009"/>
    <w:rsid w:val="001F5533"/>
    <w:rsid w:val="002166BA"/>
    <w:rsid w:val="00221F09"/>
    <w:rsid w:val="002C261B"/>
    <w:rsid w:val="002C4CA9"/>
    <w:rsid w:val="002C6E1A"/>
    <w:rsid w:val="002D7DF6"/>
    <w:rsid w:val="002E5A9A"/>
    <w:rsid w:val="002F3187"/>
    <w:rsid w:val="00302593"/>
    <w:rsid w:val="003178FD"/>
    <w:rsid w:val="00322052"/>
    <w:rsid w:val="00324290"/>
    <w:rsid w:val="00356F0F"/>
    <w:rsid w:val="00396814"/>
    <w:rsid w:val="003A6278"/>
    <w:rsid w:val="003B4B5F"/>
    <w:rsid w:val="003C2AD8"/>
    <w:rsid w:val="003C61E3"/>
    <w:rsid w:val="003E64E5"/>
    <w:rsid w:val="0042442C"/>
    <w:rsid w:val="00424D47"/>
    <w:rsid w:val="00432267"/>
    <w:rsid w:val="004377B3"/>
    <w:rsid w:val="00441330"/>
    <w:rsid w:val="00470D5F"/>
    <w:rsid w:val="00493EEC"/>
    <w:rsid w:val="004A72BA"/>
    <w:rsid w:val="004B1FE5"/>
    <w:rsid w:val="004B5A44"/>
    <w:rsid w:val="004D2619"/>
    <w:rsid w:val="004E6BBE"/>
    <w:rsid w:val="004E6FB9"/>
    <w:rsid w:val="004F62F9"/>
    <w:rsid w:val="00520D5A"/>
    <w:rsid w:val="005303E5"/>
    <w:rsid w:val="00536398"/>
    <w:rsid w:val="0056004C"/>
    <w:rsid w:val="0056338A"/>
    <w:rsid w:val="00592B4B"/>
    <w:rsid w:val="005B4A5A"/>
    <w:rsid w:val="005F5101"/>
    <w:rsid w:val="00641FBF"/>
    <w:rsid w:val="006836D5"/>
    <w:rsid w:val="00696574"/>
    <w:rsid w:val="006B6A8C"/>
    <w:rsid w:val="006D5EAD"/>
    <w:rsid w:val="0072037B"/>
    <w:rsid w:val="007219F8"/>
    <w:rsid w:val="00780E99"/>
    <w:rsid w:val="00782C99"/>
    <w:rsid w:val="007C626E"/>
    <w:rsid w:val="007E2CEA"/>
    <w:rsid w:val="007F32D0"/>
    <w:rsid w:val="00843E71"/>
    <w:rsid w:val="00846616"/>
    <w:rsid w:val="008752FD"/>
    <w:rsid w:val="008A6D99"/>
    <w:rsid w:val="008C157A"/>
    <w:rsid w:val="008F0187"/>
    <w:rsid w:val="009035BA"/>
    <w:rsid w:val="00907796"/>
    <w:rsid w:val="00925EA3"/>
    <w:rsid w:val="00942603"/>
    <w:rsid w:val="0096028F"/>
    <w:rsid w:val="0099744C"/>
    <w:rsid w:val="009C0857"/>
    <w:rsid w:val="009C6198"/>
    <w:rsid w:val="00A04063"/>
    <w:rsid w:val="00A2137B"/>
    <w:rsid w:val="00A9706D"/>
    <w:rsid w:val="00AC3B0D"/>
    <w:rsid w:val="00AC56F8"/>
    <w:rsid w:val="00AE39A0"/>
    <w:rsid w:val="00AE7CAF"/>
    <w:rsid w:val="00AF262E"/>
    <w:rsid w:val="00B127E0"/>
    <w:rsid w:val="00B17644"/>
    <w:rsid w:val="00B66222"/>
    <w:rsid w:val="00B81AEF"/>
    <w:rsid w:val="00BA582F"/>
    <w:rsid w:val="00BB162A"/>
    <w:rsid w:val="00BD664C"/>
    <w:rsid w:val="00BE5A0C"/>
    <w:rsid w:val="00C117E5"/>
    <w:rsid w:val="00C91D41"/>
    <w:rsid w:val="00C92F64"/>
    <w:rsid w:val="00CA4E1E"/>
    <w:rsid w:val="00D05A1C"/>
    <w:rsid w:val="00D15954"/>
    <w:rsid w:val="00DA4D54"/>
    <w:rsid w:val="00DC05BF"/>
    <w:rsid w:val="00DC5511"/>
    <w:rsid w:val="00DD7F3E"/>
    <w:rsid w:val="00E5025A"/>
    <w:rsid w:val="00E65E89"/>
    <w:rsid w:val="00E72E1E"/>
    <w:rsid w:val="00E7576A"/>
    <w:rsid w:val="00EA6693"/>
    <w:rsid w:val="00EB23BD"/>
    <w:rsid w:val="00F02589"/>
    <w:rsid w:val="00F068E3"/>
    <w:rsid w:val="00F23808"/>
    <w:rsid w:val="00F54FE8"/>
    <w:rsid w:val="00F830A1"/>
    <w:rsid w:val="00F83503"/>
    <w:rsid w:val="00F90952"/>
    <w:rsid w:val="00FC7153"/>
    <w:rsid w:val="00FD45A2"/>
    <w:rsid w:val="00FE023A"/>
    <w:rsid w:val="01102267"/>
    <w:rsid w:val="01184FCB"/>
    <w:rsid w:val="01485DF8"/>
    <w:rsid w:val="01865258"/>
    <w:rsid w:val="01DA4AD6"/>
    <w:rsid w:val="02046C23"/>
    <w:rsid w:val="029736CA"/>
    <w:rsid w:val="02AF594C"/>
    <w:rsid w:val="02CF61B1"/>
    <w:rsid w:val="035F0C94"/>
    <w:rsid w:val="03633A64"/>
    <w:rsid w:val="03666FC9"/>
    <w:rsid w:val="038F2DB2"/>
    <w:rsid w:val="03E029A8"/>
    <w:rsid w:val="040E3660"/>
    <w:rsid w:val="044B139B"/>
    <w:rsid w:val="04BF18E7"/>
    <w:rsid w:val="04EF0CBF"/>
    <w:rsid w:val="056608CD"/>
    <w:rsid w:val="05BD1532"/>
    <w:rsid w:val="05C829F4"/>
    <w:rsid w:val="05CC3B3B"/>
    <w:rsid w:val="06586647"/>
    <w:rsid w:val="06C86A2E"/>
    <w:rsid w:val="0711022B"/>
    <w:rsid w:val="07345ECC"/>
    <w:rsid w:val="07976572"/>
    <w:rsid w:val="07B422C1"/>
    <w:rsid w:val="07D63446"/>
    <w:rsid w:val="07FB5DAB"/>
    <w:rsid w:val="08004D02"/>
    <w:rsid w:val="080C7493"/>
    <w:rsid w:val="081C2ADF"/>
    <w:rsid w:val="082E059A"/>
    <w:rsid w:val="084505F1"/>
    <w:rsid w:val="08615B4F"/>
    <w:rsid w:val="08A55FB0"/>
    <w:rsid w:val="08E65CE5"/>
    <w:rsid w:val="0963601C"/>
    <w:rsid w:val="0971048E"/>
    <w:rsid w:val="0A0D50B2"/>
    <w:rsid w:val="0AA13901"/>
    <w:rsid w:val="0AA472D5"/>
    <w:rsid w:val="0AF23A84"/>
    <w:rsid w:val="0B072D39"/>
    <w:rsid w:val="0B0F1992"/>
    <w:rsid w:val="0BA06E5B"/>
    <w:rsid w:val="0BA80944"/>
    <w:rsid w:val="0BAD71A0"/>
    <w:rsid w:val="0C23150D"/>
    <w:rsid w:val="0C2A01C8"/>
    <w:rsid w:val="0C742E70"/>
    <w:rsid w:val="0D313AFC"/>
    <w:rsid w:val="0D56304F"/>
    <w:rsid w:val="0D5D1ED3"/>
    <w:rsid w:val="0DC13762"/>
    <w:rsid w:val="0E107AEA"/>
    <w:rsid w:val="0ECD3A3F"/>
    <w:rsid w:val="0ED70304"/>
    <w:rsid w:val="0EF2105F"/>
    <w:rsid w:val="0F2D30CD"/>
    <w:rsid w:val="0FAA5CBE"/>
    <w:rsid w:val="0FAC28A1"/>
    <w:rsid w:val="0FBF1A55"/>
    <w:rsid w:val="108B2448"/>
    <w:rsid w:val="10AA1529"/>
    <w:rsid w:val="10D061DB"/>
    <w:rsid w:val="10E14756"/>
    <w:rsid w:val="110F2658"/>
    <w:rsid w:val="113F4EF5"/>
    <w:rsid w:val="11D33C35"/>
    <w:rsid w:val="11DA605E"/>
    <w:rsid w:val="120402C6"/>
    <w:rsid w:val="12064362"/>
    <w:rsid w:val="12283A1C"/>
    <w:rsid w:val="12B70328"/>
    <w:rsid w:val="131F04F8"/>
    <w:rsid w:val="13216855"/>
    <w:rsid w:val="135A40B8"/>
    <w:rsid w:val="137769E7"/>
    <w:rsid w:val="139B6FCE"/>
    <w:rsid w:val="13B21B2F"/>
    <w:rsid w:val="13CF25BD"/>
    <w:rsid w:val="1463796C"/>
    <w:rsid w:val="147D4BE8"/>
    <w:rsid w:val="14D46723"/>
    <w:rsid w:val="14DE4DE6"/>
    <w:rsid w:val="154A2ADF"/>
    <w:rsid w:val="154C581A"/>
    <w:rsid w:val="155244DF"/>
    <w:rsid w:val="15FE0CB4"/>
    <w:rsid w:val="164C42BD"/>
    <w:rsid w:val="16683627"/>
    <w:rsid w:val="167D08D6"/>
    <w:rsid w:val="172C3EBA"/>
    <w:rsid w:val="17A44200"/>
    <w:rsid w:val="17ED14C3"/>
    <w:rsid w:val="18087756"/>
    <w:rsid w:val="18593C69"/>
    <w:rsid w:val="18D35F3B"/>
    <w:rsid w:val="1954346F"/>
    <w:rsid w:val="19556AF1"/>
    <w:rsid w:val="19B96702"/>
    <w:rsid w:val="19CA78A3"/>
    <w:rsid w:val="1A1022E8"/>
    <w:rsid w:val="1A921E94"/>
    <w:rsid w:val="1ADB67D3"/>
    <w:rsid w:val="1AEF2FEC"/>
    <w:rsid w:val="1B0267D7"/>
    <w:rsid w:val="1B043ACA"/>
    <w:rsid w:val="1B1A34F1"/>
    <w:rsid w:val="1B2C3FE9"/>
    <w:rsid w:val="1B306337"/>
    <w:rsid w:val="1B3671F1"/>
    <w:rsid w:val="1B706127"/>
    <w:rsid w:val="1B9146FD"/>
    <w:rsid w:val="1BAE0536"/>
    <w:rsid w:val="1BB22549"/>
    <w:rsid w:val="1BBA5BDE"/>
    <w:rsid w:val="1BC439CB"/>
    <w:rsid w:val="1BDB0990"/>
    <w:rsid w:val="1C0D709A"/>
    <w:rsid w:val="1CFD6413"/>
    <w:rsid w:val="1D102557"/>
    <w:rsid w:val="1D280082"/>
    <w:rsid w:val="1D750A42"/>
    <w:rsid w:val="1D7F6BC9"/>
    <w:rsid w:val="1D8B01E1"/>
    <w:rsid w:val="1E021684"/>
    <w:rsid w:val="1E1A62BF"/>
    <w:rsid w:val="1E521EF1"/>
    <w:rsid w:val="1E6325D0"/>
    <w:rsid w:val="1E8A52C4"/>
    <w:rsid w:val="1ED44735"/>
    <w:rsid w:val="1EE9541C"/>
    <w:rsid w:val="1EEE6FC4"/>
    <w:rsid w:val="1EF4216B"/>
    <w:rsid w:val="1EFA220F"/>
    <w:rsid w:val="1F6B4E48"/>
    <w:rsid w:val="1F8E1484"/>
    <w:rsid w:val="1FCA390D"/>
    <w:rsid w:val="1FCA5F75"/>
    <w:rsid w:val="1FE40502"/>
    <w:rsid w:val="1FEB23AF"/>
    <w:rsid w:val="204737DD"/>
    <w:rsid w:val="20673BCD"/>
    <w:rsid w:val="206C4A30"/>
    <w:rsid w:val="20885CDF"/>
    <w:rsid w:val="20DF4D35"/>
    <w:rsid w:val="213D19F8"/>
    <w:rsid w:val="218859D7"/>
    <w:rsid w:val="218E1806"/>
    <w:rsid w:val="225D11E0"/>
    <w:rsid w:val="231236FB"/>
    <w:rsid w:val="232E44B2"/>
    <w:rsid w:val="23424A80"/>
    <w:rsid w:val="235D0FF8"/>
    <w:rsid w:val="239F3BDD"/>
    <w:rsid w:val="24026DDD"/>
    <w:rsid w:val="24826BC3"/>
    <w:rsid w:val="2495409E"/>
    <w:rsid w:val="24A27103"/>
    <w:rsid w:val="24BC35A2"/>
    <w:rsid w:val="261A265D"/>
    <w:rsid w:val="262B70AE"/>
    <w:rsid w:val="26400D51"/>
    <w:rsid w:val="272A19CC"/>
    <w:rsid w:val="272F62F2"/>
    <w:rsid w:val="279041C8"/>
    <w:rsid w:val="27B20C7F"/>
    <w:rsid w:val="27C025B6"/>
    <w:rsid w:val="282260F9"/>
    <w:rsid w:val="28396CF6"/>
    <w:rsid w:val="288A7C6B"/>
    <w:rsid w:val="28DA0E68"/>
    <w:rsid w:val="28FC2D98"/>
    <w:rsid w:val="29183599"/>
    <w:rsid w:val="29256B3F"/>
    <w:rsid w:val="29504940"/>
    <w:rsid w:val="2970266F"/>
    <w:rsid w:val="298F7542"/>
    <w:rsid w:val="299E1D5D"/>
    <w:rsid w:val="29C94DC3"/>
    <w:rsid w:val="29D13499"/>
    <w:rsid w:val="2A00668E"/>
    <w:rsid w:val="2A1622BF"/>
    <w:rsid w:val="2A355ADC"/>
    <w:rsid w:val="2A3C5B61"/>
    <w:rsid w:val="2A6A153D"/>
    <w:rsid w:val="2A722761"/>
    <w:rsid w:val="2AB37E1D"/>
    <w:rsid w:val="2B101633"/>
    <w:rsid w:val="2B8566E5"/>
    <w:rsid w:val="2B875BE6"/>
    <w:rsid w:val="2B876157"/>
    <w:rsid w:val="2B8C06DE"/>
    <w:rsid w:val="2B8F5C13"/>
    <w:rsid w:val="2BA16A9B"/>
    <w:rsid w:val="2BAC1A5D"/>
    <w:rsid w:val="2BC51215"/>
    <w:rsid w:val="2BF9353B"/>
    <w:rsid w:val="2C700460"/>
    <w:rsid w:val="2C705407"/>
    <w:rsid w:val="2CC809E6"/>
    <w:rsid w:val="2CE90AD6"/>
    <w:rsid w:val="2D472FD9"/>
    <w:rsid w:val="2D560D4B"/>
    <w:rsid w:val="2D820380"/>
    <w:rsid w:val="2DA20C02"/>
    <w:rsid w:val="2DBE3185"/>
    <w:rsid w:val="2DBF3A34"/>
    <w:rsid w:val="2DC025E7"/>
    <w:rsid w:val="2E39202A"/>
    <w:rsid w:val="2E412B1C"/>
    <w:rsid w:val="2E966B74"/>
    <w:rsid w:val="2EFC449F"/>
    <w:rsid w:val="2F384FB3"/>
    <w:rsid w:val="2F587127"/>
    <w:rsid w:val="2FA56CDC"/>
    <w:rsid w:val="2FE15DA0"/>
    <w:rsid w:val="30E73FDC"/>
    <w:rsid w:val="31115F9A"/>
    <w:rsid w:val="31425768"/>
    <w:rsid w:val="316E3754"/>
    <w:rsid w:val="317D5553"/>
    <w:rsid w:val="318372AC"/>
    <w:rsid w:val="323C369A"/>
    <w:rsid w:val="32917C8B"/>
    <w:rsid w:val="332A7CCE"/>
    <w:rsid w:val="33393AAE"/>
    <w:rsid w:val="33401F2D"/>
    <w:rsid w:val="335B2800"/>
    <w:rsid w:val="33B82F8E"/>
    <w:rsid w:val="33FC6A3E"/>
    <w:rsid w:val="342D0287"/>
    <w:rsid w:val="34771725"/>
    <w:rsid w:val="34AC4CFA"/>
    <w:rsid w:val="34C17245"/>
    <w:rsid w:val="353265C3"/>
    <w:rsid w:val="356C3534"/>
    <w:rsid w:val="35922F2C"/>
    <w:rsid w:val="35942E12"/>
    <w:rsid w:val="35BB6DB5"/>
    <w:rsid w:val="36BC2F66"/>
    <w:rsid w:val="37553A46"/>
    <w:rsid w:val="377B2346"/>
    <w:rsid w:val="37A64EBC"/>
    <w:rsid w:val="37FD329B"/>
    <w:rsid w:val="380E0F15"/>
    <w:rsid w:val="382A5C86"/>
    <w:rsid w:val="388E0DDB"/>
    <w:rsid w:val="38C4585D"/>
    <w:rsid w:val="38D46FAD"/>
    <w:rsid w:val="390822EA"/>
    <w:rsid w:val="393E63AA"/>
    <w:rsid w:val="397018B8"/>
    <w:rsid w:val="398001A2"/>
    <w:rsid w:val="39FF21C3"/>
    <w:rsid w:val="3A1E3928"/>
    <w:rsid w:val="3A433D8F"/>
    <w:rsid w:val="3A614BA3"/>
    <w:rsid w:val="3AC33EB4"/>
    <w:rsid w:val="3AD67805"/>
    <w:rsid w:val="3AEE3CA8"/>
    <w:rsid w:val="3AF72094"/>
    <w:rsid w:val="3B024A9D"/>
    <w:rsid w:val="3B3823DE"/>
    <w:rsid w:val="3B483C98"/>
    <w:rsid w:val="3BBE614A"/>
    <w:rsid w:val="3BC64A55"/>
    <w:rsid w:val="3C354513"/>
    <w:rsid w:val="3C383099"/>
    <w:rsid w:val="3C97367A"/>
    <w:rsid w:val="3CAA6973"/>
    <w:rsid w:val="3D27135D"/>
    <w:rsid w:val="3D3E5270"/>
    <w:rsid w:val="3D8777C1"/>
    <w:rsid w:val="3DF02903"/>
    <w:rsid w:val="3DFD0216"/>
    <w:rsid w:val="3E8B3F37"/>
    <w:rsid w:val="3E9C3B39"/>
    <w:rsid w:val="3F1570BF"/>
    <w:rsid w:val="3FBA29BF"/>
    <w:rsid w:val="40DA4B3F"/>
    <w:rsid w:val="41C71228"/>
    <w:rsid w:val="420B10A2"/>
    <w:rsid w:val="42151F2F"/>
    <w:rsid w:val="42236DFA"/>
    <w:rsid w:val="42D1109D"/>
    <w:rsid w:val="436720E7"/>
    <w:rsid w:val="43BF3DC1"/>
    <w:rsid w:val="43DD068F"/>
    <w:rsid w:val="441349D5"/>
    <w:rsid w:val="44151D57"/>
    <w:rsid w:val="44167B48"/>
    <w:rsid w:val="44234937"/>
    <w:rsid w:val="443760E3"/>
    <w:rsid w:val="44AF110D"/>
    <w:rsid w:val="4598468F"/>
    <w:rsid w:val="4636134D"/>
    <w:rsid w:val="4657372A"/>
    <w:rsid w:val="46633A58"/>
    <w:rsid w:val="46BC681F"/>
    <w:rsid w:val="47500D22"/>
    <w:rsid w:val="47581F16"/>
    <w:rsid w:val="47B573C9"/>
    <w:rsid w:val="48075EE2"/>
    <w:rsid w:val="486F010E"/>
    <w:rsid w:val="48846816"/>
    <w:rsid w:val="48966B92"/>
    <w:rsid w:val="48C20721"/>
    <w:rsid w:val="48D2668E"/>
    <w:rsid w:val="492B0623"/>
    <w:rsid w:val="49461657"/>
    <w:rsid w:val="495424D3"/>
    <w:rsid w:val="49A116E8"/>
    <w:rsid w:val="4A1128A7"/>
    <w:rsid w:val="4A18343C"/>
    <w:rsid w:val="4A677CFA"/>
    <w:rsid w:val="4A9628AE"/>
    <w:rsid w:val="4B6C1B56"/>
    <w:rsid w:val="4B9C6C73"/>
    <w:rsid w:val="4C17434A"/>
    <w:rsid w:val="4CA627A2"/>
    <w:rsid w:val="4CA8550A"/>
    <w:rsid w:val="4CDC1F60"/>
    <w:rsid w:val="4CEA4D54"/>
    <w:rsid w:val="4D9830EF"/>
    <w:rsid w:val="4DAF2D3B"/>
    <w:rsid w:val="4DE77CBA"/>
    <w:rsid w:val="4E14073A"/>
    <w:rsid w:val="4EA13C25"/>
    <w:rsid w:val="4EE514F8"/>
    <w:rsid w:val="4EF06520"/>
    <w:rsid w:val="4F210AFB"/>
    <w:rsid w:val="4F3E7D04"/>
    <w:rsid w:val="4F71391D"/>
    <w:rsid w:val="4FAD33EF"/>
    <w:rsid w:val="5003396D"/>
    <w:rsid w:val="502A7D75"/>
    <w:rsid w:val="502D0D8E"/>
    <w:rsid w:val="503E23D2"/>
    <w:rsid w:val="50C64B7B"/>
    <w:rsid w:val="5183588A"/>
    <w:rsid w:val="526C2BC2"/>
    <w:rsid w:val="529F5502"/>
    <w:rsid w:val="532D4D7D"/>
    <w:rsid w:val="53BE7A6C"/>
    <w:rsid w:val="53CD600C"/>
    <w:rsid w:val="54C90540"/>
    <w:rsid w:val="554B1F4C"/>
    <w:rsid w:val="55514FDD"/>
    <w:rsid w:val="557C6AC1"/>
    <w:rsid w:val="5612183E"/>
    <w:rsid w:val="56245FBE"/>
    <w:rsid w:val="5676095C"/>
    <w:rsid w:val="56AB5F72"/>
    <w:rsid w:val="56EF5CD7"/>
    <w:rsid w:val="57824954"/>
    <w:rsid w:val="57842046"/>
    <w:rsid w:val="57A54BEC"/>
    <w:rsid w:val="57FC1710"/>
    <w:rsid w:val="58063540"/>
    <w:rsid w:val="586F0F85"/>
    <w:rsid w:val="58CC62FC"/>
    <w:rsid w:val="58E63DEC"/>
    <w:rsid w:val="58E91FA0"/>
    <w:rsid w:val="59946EA5"/>
    <w:rsid w:val="59C927CA"/>
    <w:rsid w:val="5A0F57D7"/>
    <w:rsid w:val="5A357C5C"/>
    <w:rsid w:val="5A53049B"/>
    <w:rsid w:val="5A5F5DAA"/>
    <w:rsid w:val="5A9F6E6F"/>
    <w:rsid w:val="5ABD35B0"/>
    <w:rsid w:val="5AD02DBB"/>
    <w:rsid w:val="5B867564"/>
    <w:rsid w:val="5BFB5957"/>
    <w:rsid w:val="5C001363"/>
    <w:rsid w:val="5C1300B2"/>
    <w:rsid w:val="5C725832"/>
    <w:rsid w:val="5CAC71E4"/>
    <w:rsid w:val="5CF01A0C"/>
    <w:rsid w:val="5D16098A"/>
    <w:rsid w:val="5D4B474F"/>
    <w:rsid w:val="5DE125E7"/>
    <w:rsid w:val="5E793C61"/>
    <w:rsid w:val="5E8D281B"/>
    <w:rsid w:val="5EB87A08"/>
    <w:rsid w:val="5EC149B7"/>
    <w:rsid w:val="5EC2102D"/>
    <w:rsid w:val="5F0D29A4"/>
    <w:rsid w:val="5F3505A5"/>
    <w:rsid w:val="5F375C0D"/>
    <w:rsid w:val="5FA449BB"/>
    <w:rsid w:val="604572B8"/>
    <w:rsid w:val="60521BE0"/>
    <w:rsid w:val="608D5A18"/>
    <w:rsid w:val="60937D30"/>
    <w:rsid w:val="60947EDC"/>
    <w:rsid w:val="60D95D35"/>
    <w:rsid w:val="61CC0774"/>
    <w:rsid w:val="61FC1BEE"/>
    <w:rsid w:val="62454B33"/>
    <w:rsid w:val="62507390"/>
    <w:rsid w:val="62A818E1"/>
    <w:rsid w:val="63793D07"/>
    <w:rsid w:val="63E44CF1"/>
    <w:rsid w:val="63F96AC2"/>
    <w:rsid w:val="645C7BC4"/>
    <w:rsid w:val="6498352C"/>
    <w:rsid w:val="65772B54"/>
    <w:rsid w:val="661C5CBC"/>
    <w:rsid w:val="66216973"/>
    <w:rsid w:val="67182F05"/>
    <w:rsid w:val="672706ED"/>
    <w:rsid w:val="674A3052"/>
    <w:rsid w:val="67560F3D"/>
    <w:rsid w:val="677A7546"/>
    <w:rsid w:val="67824BB3"/>
    <w:rsid w:val="6783102E"/>
    <w:rsid w:val="678567B7"/>
    <w:rsid w:val="67B728AC"/>
    <w:rsid w:val="67CC7D3D"/>
    <w:rsid w:val="685E69C0"/>
    <w:rsid w:val="690F1A9C"/>
    <w:rsid w:val="69547946"/>
    <w:rsid w:val="69BD5A3B"/>
    <w:rsid w:val="69CD032A"/>
    <w:rsid w:val="69ED42EC"/>
    <w:rsid w:val="6A3F391E"/>
    <w:rsid w:val="6A5237E3"/>
    <w:rsid w:val="6A6F6FD6"/>
    <w:rsid w:val="6A837735"/>
    <w:rsid w:val="6AF47353"/>
    <w:rsid w:val="6B061CFD"/>
    <w:rsid w:val="6B127153"/>
    <w:rsid w:val="6B430B8F"/>
    <w:rsid w:val="6B617780"/>
    <w:rsid w:val="6B860077"/>
    <w:rsid w:val="6BDD6468"/>
    <w:rsid w:val="6C9E435D"/>
    <w:rsid w:val="6CB15F05"/>
    <w:rsid w:val="6CC8378C"/>
    <w:rsid w:val="6CCC7999"/>
    <w:rsid w:val="6CDB5FBA"/>
    <w:rsid w:val="6CE37F4E"/>
    <w:rsid w:val="6D293C53"/>
    <w:rsid w:val="6E0C1D81"/>
    <w:rsid w:val="6E880AF7"/>
    <w:rsid w:val="6EEB2EB9"/>
    <w:rsid w:val="6EF344FD"/>
    <w:rsid w:val="6F085447"/>
    <w:rsid w:val="6F4642E9"/>
    <w:rsid w:val="6FBD32F4"/>
    <w:rsid w:val="6FEA5C4E"/>
    <w:rsid w:val="6FF27D93"/>
    <w:rsid w:val="70193770"/>
    <w:rsid w:val="702556D4"/>
    <w:rsid w:val="705B763E"/>
    <w:rsid w:val="70C002FD"/>
    <w:rsid w:val="70FB0D06"/>
    <w:rsid w:val="711B05AE"/>
    <w:rsid w:val="71966B2B"/>
    <w:rsid w:val="71F66FB2"/>
    <w:rsid w:val="72C25D2F"/>
    <w:rsid w:val="72FE7760"/>
    <w:rsid w:val="73A94C9D"/>
    <w:rsid w:val="740630E3"/>
    <w:rsid w:val="74090414"/>
    <w:rsid w:val="74727EE2"/>
    <w:rsid w:val="74B16165"/>
    <w:rsid w:val="74F32D5B"/>
    <w:rsid w:val="7518377D"/>
    <w:rsid w:val="75237D0F"/>
    <w:rsid w:val="75280E60"/>
    <w:rsid w:val="759409CA"/>
    <w:rsid w:val="76795E65"/>
    <w:rsid w:val="768E59BB"/>
    <w:rsid w:val="76AC1E37"/>
    <w:rsid w:val="76E868A4"/>
    <w:rsid w:val="76F4157C"/>
    <w:rsid w:val="772D14CC"/>
    <w:rsid w:val="7730239B"/>
    <w:rsid w:val="78627A6E"/>
    <w:rsid w:val="786344E5"/>
    <w:rsid w:val="788105DE"/>
    <w:rsid w:val="796A4054"/>
    <w:rsid w:val="796E4197"/>
    <w:rsid w:val="79952F09"/>
    <w:rsid w:val="79ED70D9"/>
    <w:rsid w:val="7A1E7BFB"/>
    <w:rsid w:val="7AE57606"/>
    <w:rsid w:val="7B552AE8"/>
    <w:rsid w:val="7CA319BE"/>
    <w:rsid w:val="7CCB4BC3"/>
    <w:rsid w:val="7CCC2670"/>
    <w:rsid w:val="7D1079F2"/>
    <w:rsid w:val="7D160086"/>
    <w:rsid w:val="7DD01AC2"/>
    <w:rsid w:val="7EA44F0C"/>
    <w:rsid w:val="7ECB2272"/>
    <w:rsid w:val="7EDC5A18"/>
    <w:rsid w:val="7EE7740F"/>
    <w:rsid w:val="7F0B3038"/>
    <w:rsid w:val="7F8B298C"/>
    <w:rsid w:val="7FA71B79"/>
    <w:rsid w:val="7FA76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0">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semiHidden/>
    <w:qFormat/>
    <w:uiPriority w:val="0"/>
    <w:rPr>
      <w:rFonts w:asciiTheme="minorHAnsi" w:hAnsiTheme="minorHAnsi" w:eastAsiaTheme="minorEastAsia" w:cstheme="minorBidi"/>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Char"/>
    <w:basedOn w:val="10"/>
    <w:link w:val="5"/>
    <w:qFormat/>
    <w:uiPriority w:val="0"/>
    <w:rPr>
      <w:sz w:val="18"/>
      <w:szCs w:val="18"/>
    </w:rPr>
  </w:style>
  <w:style w:type="character" w:customStyle="1" w:styleId="14">
    <w:name w:val="页脚 Char"/>
    <w:basedOn w:val="10"/>
    <w:link w:val="4"/>
    <w:qFormat/>
    <w:uiPriority w:val="99"/>
    <w:rPr>
      <w:sz w:val="18"/>
      <w:szCs w:val="18"/>
    </w:rPr>
  </w:style>
  <w:style w:type="character" w:customStyle="1" w:styleId="15">
    <w:name w:val="批注框文本 Char"/>
    <w:link w:val="3"/>
    <w:semiHidden/>
    <w:qFormat/>
    <w:uiPriority w:val="0"/>
    <w:rPr>
      <w:sz w:val="18"/>
      <w:szCs w:val="18"/>
    </w:rPr>
  </w:style>
  <w:style w:type="character" w:customStyle="1" w:styleId="16">
    <w:name w:val="正文文本缩进 3 Char"/>
    <w:link w:val="6"/>
    <w:qFormat/>
    <w:uiPriority w:val="0"/>
    <w:rPr>
      <w:rFonts w:eastAsia="仿宋_GB2312"/>
      <w:sz w:val="32"/>
      <w:szCs w:val="24"/>
    </w:rPr>
  </w:style>
  <w:style w:type="paragraph" w:customStyle="1" w:styleId="17">
    <w:name w:val="普通(网站)2"/>
    <w:basedOn w:val="1"/>
    <w:qFormat/>
    <w:uiPriority w:val="0"/>
    <w:rPr>
      <w:rFonts w:ascii="Calibri" w:hAnsi="Calibri" w:cs="黑体"/>
      <w:sz w:val="24"/>
    </w:rPr>
  </w:style>
  <w:style w:type="character" w:customStyle="1" w:styleId="18">
    <w:name w:val="正文文本缩进 3 字符1"/>
    <w:basedOn w:val="10"/>
    <w:semiHidden/>
    <w:qFormat/>
    <w:uiPriority w:val="99"/>
    <w:rPr>
      <w:rFonts w:ascii="Times New Roman" w:hAnsi="Times New Roman" w:eastAsia="宋体" w:cs="Times New Roman"/>
      <w:sz w:val="16"/>
      <w:szCs w:val="16"/>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3"/>
    <w:basedOn w:val="1"/>
    <w:qFormat/>
    <w:uiPriority w:val="0"/>
    <w:rPr>
      <w:rFonts w:ascii="Calibri" w:hAnsi="Calibri" w:cs="黑体"/>
      <w:sz w:val="24"/>
    </w:rPr>
  </w:style>
  <w:style w:type="character" w:customStyle="1" w:styleId="21">
    <w:name w:val="批注框文本 字符1"/>
    <w:basedOn w:val="10"/>
    <w:semiHidden/>
    <w:qFormat/>
    <w:uiPriority w:val="99"/>
    <w:rPr>
      <w:rFonts w:ascii="Times New Roman" w:hAnsi="Times New Roman" w:eastAsia="宋体" w:cs="Times New Roman"/>
      <w:sz w:val="18"/>
      <w:szCs w:val="18"/>
    </w:rPr>
  </w:style>
  <w:style w:type="paragraph" w:customStyle="1" w:styleId="2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3">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FA429C-CE09-4ED5-895E-912BA0B5EFF2}">
  <ds:schemaRefs/>
</ds:datastoreItem>
</file>

<file path=docProps/app.xml><?xml version="1.0" encoding="utf-8"?>
<Properties xmlns="http://schemas.openxmlformats.org/officeDocument/2006/extended-properties" xmlns:vt="http://schemas.openxmlformats.org/officeDocument/2006/docPropsVTypes">
  <Template>Normal</Template>
  <Pages>24</Pages>
  <Words>7077</Words>
  <Characters>8191</Characters>
  <Lines>88</Lines>
  <Paragraphs>24</Paragraphs>
  <TotalTime>39</TotalTime>
  <ScaleCrop>false</ScaleCrop>
  <LinksUpToDate>false</LinksUpToDate>
  <CharactersWithSpaces>9095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2021-01-31T05:55:00Z</dcterms:created>
  <dc:creator>薛理升</dc:creator>
  <cp:lastModifiedBy>admin</cp:lastModifiedBy>
  <cp:lastPrinted>2021-03-03T17:30:04Z</cp:lastPrinted>
  <dcterms:modified xsi:type="dcterms:W3CDTF">2021-03-03T17:30:18Z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