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0"/>
          <w:szCs w:val="40"/>
        </w:rPr>
      </w:pPr>
      <w:r>
        <w:rPr>
          <w:rFonts w:hint="eastAsia" w:ascii="方正小标宋_GBK" w:hAnsi="宋体" w:eastAsia="方正小标宋_GBK"/>
          <w:kern w:val="0"/>
          <w:sz w:val="40"/>
          <w:szCs w:val="40"/>
        </w:rPr>
        <w:t>克孜勒苏柯尔克孜自治州</w:t>
      </w:r>
      <w:r>
        <w:rPr>
          <w:rFonts w:hint="eastAsia" w:ascii="方正小标宋_GBK" w:hAnsi="宋体" w:eastAsia="方正小标宋_GBK"/>
          <w:kern w:val="0"/>
          <w:sz w:val="40"/>
          <w:szCs w:val="40"/>
          <w:lang w:eastAsia="zh-CN"/>
        </w:rPr>
        <w:t>农业综合行政执法支队</w:t>
      </w:r>
      <w:r>
        <w:rPr>
          <w:rFonts w:hint="eastAsia" w:ascii="方正小标宋_GBK" w:hAnsi="宋体" w:eastAsia="方正小标宋_GBK"/>
          <w:kern w:val="0"/>
          <w:sz w:val="40"/>
          <w:szCs w:val="40"/>
        </w:rPr>
        <w:t xml:space="preserve">   </w:t>
      </w:r>
      <w:r>
        <w:rPr>
          <w:rFonts w:hint="eastAsia" w:ascii="方正小标宋_GBK" w:hAnsi="宋体" w:eastAsia="方正小标宋_GBK"/>
          <w:kern w:val="0"/>
          <w:sz w:val="40"/>
          <w:szCs w:val="40"/>
          <w:lang w:eastAsia="zh-CN"/>
        </w:rPr>
        <w:t>2021</w:t>
      </w:r>
      <w:r>
        <w:rPr>
          <w:rFonts w:hint="eastAsia" w:ascii="方正小标宋_GBK" w:hAnsi="宋体" w:eastAsia="方正小标宋_GBK"/>
          <w:kern w:val="0"/>
          <w:sz w:val="40"/>
          <w:szCs w:val="40"/>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克孜勒苏柯尔克孜自治州农业综合行政执法支队</w:t>
      </w:r>
      <w:r>
        <w:rPr>
          <w:rFonts w:hint="eastAsia" w:ascii="仿宋_GB2312" w:hAnsi="宋体" w:eastAsia="仿宋_GB2312"/>
          <w:b/>
          <w:kern w:val="0"/>
          <w:sz w:val="32"/>
          <w:szCs w:val="32"/>
        </w:rPr>
        <w:t>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2021</w:t>
      </w:r>
      <w:r>
        <w:rPr>
          <w:rFonts w:hint="eastAsia" w:ascii="仿宋_GB2312" w:hAnsi="宋体" w:eastAsia="仿宋_GB2312"/>
          <w:b/>
          <w:kern w:val="0"/>
          <w:sz w:val="32"/>
          <w:szCs w:val="32"/>
        </w:rPr>
        <w:t>年部门预算情况说明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bCs/>
          <w:kern w:val="0"/>
          <w:sz w:val="32"/>
          <w:szCs w:val="32"/>
          <w:lang w:eastAsia="zh-CN"/>
        </w:rPr>
        <w:t>克孜勒苏柯尔克孜自治州农业综合行政执法支队2021</w:t>
      </w:r>
      <w:r>
        <w:rPr>
          <w:rFonts w:hint="eastAsia" w:ascii="仿宋_GB2312" w:hAnsi="宋体" w:eastAsia="仿宋_GB2312"/>
          <w:bCs/>
          <w:kern w:val="0"/>
          <w:sz w:val="32"/>
          <w:szCs w:val="32"/>
        </w:rPr>
        <w:t>年财政拨款收支预算情况的总体说明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克孜勒苏柯尔克孜自治州农业综合行政执法支队2021</w:t>
      </w:r>
      <w:r>
        <w:rPr>
          <w:rFonts w:hint="eastAsia" w:ascii="仿宋_GB2312" w:hAnsi="宋体" w:eastAsia="仿宋_GB2312"/>
          <w:kern w:val="0"/>
          <w:sz w:val="32"/>
          <w:szCs w:val="32"/>
        </w:rPr>
        <w:t>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both"/>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w:t>
      </w:r>
      <w:r>
        <w:rPr>
          <w:rFonts w:hint="eastAsia" w:ascii="黑体" w:hAnsi="黑体" w:eastAsia="黑体"/>
          <w:kern w:val="0"/>
          <w:sz w:val="32"/>
          <w:szCs w:val="32"/>
          <w:lang w:eastAsia="zh-CN"/>
        </w:rPr>
        <w:t>克孜勒苏柯尔克孜自治州农业综合行政执法支队</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numPr>
          <w:ilvl w:val="0"/>
          <w:numId w:val="0"/>
        </w:numPr>
        <w:spacing w:line="560" w:lineRule="exact"/>
        <w:ind w:firstLine="640" w:firstLineChars="200"/>
        <w:jc w:val="left"/>
        <w:rPr>
          <w:rFonts w:hint="eastAsia" w:ascii="黑体" w:hAnsi="黑体" w:eastAsia="黑体" w:cs="宋体"/>
          <w:bCs/>
          <w:kern w:val="0"/>
          <w:sz w:val="32"/>
          <w:szCs w:val="32"/>
        </w:rPr>
      </w:pPr>
      <w:r>
        <w:rPr>
          <w:rFonts w:hint="eastAsia" w:ascii="黑体" w:hAnsi="黑体" w:eastAsia="黑体" w:cs="宋体"/>
          <w:bCs/>
          <w:kern w:val="0"/>
          <w:sz w:val="32"/>
          <w:szCs w:val="32"/>
          <w:lang w:eastAsia="zh-CN"/>
        </w:rPr>
        <w:t>一、</w:t>
      </w:r>
      <w:r>
        <w:rPr>
          <w:rFonts w:hint="eastAsia" w:ascii="黑体" w:hAnsi="黑体" w:eastAsia="黑体" w:cs="宋体"/>
          <w:bCs/>
          <w:kern w:val="0"/>
          <w:sz w:val="32"/>
          <w:szCs w:val="32"/>
        </w:rPr>
        <w:t>主要职能</w:t>
      </w:r>
    </w:p>
    <w:p>
      <w:pPr>
        <w:widowControl/>
        <w:numPr>
          <w:ilvl w:val="0"/>
          <w:numId w:val="0"/>
        </w:numPr>
        <w:tabs>
          <w:tab w:val="left" w:pos="0"/>
        </w:tabs>
        <w:spacing w:line="560" w:lineRule="exact"/>
        <w:ind w:left="17" w:leftChars="8" w:firstLine="617" w:firstLineChars="193"/>
        <w:jc w:val="left"/>
        <w:rPr>
          <w:rFonts w:hint="eastAsia" w:ascii="仿宋" w:hAnsi="仿宋" w:eastAsia="仿宋"/>
          <w:sz w:val="32"/>
          <w:szCs w:val="32"/>
        </w:rPr>
      </w:pPr>
      <w:r>
        <w:rPr>
          <w:rFonts w:hint="default" w:ascii="仿宋" w:hAnsi="仿宋" w:eastAsia="仿宋"/>
          <w:sz w:val="32"/>
          <w:szCs w:val="32"/>
        </w:rPr>
        <w:t>1.宣传和贯彻中央、自治区、州、市有关农资市场行政执法的法律、法规和规章;2.对全州农作物种子、农药、化肥、农业转基因生物安全（种子）、植物新品种保护、农产品质量安全等执法检查，并对违法案件进行行政处罚；负责对全州跨区域和重大农业防疫检疫违法违规行为的依法立案查处。2.负责全州兽药、饲料和饲料添加剂、畜产品质量安全等执法检查，并对违法案件进行行政处罚；负责对全州跨区域和重大动物疫病防控、动物检疫违法违规行为的依法立案查处。3.负责农业机械事故处理；负责农业机械田检路查违章处罚工作，负责农业机械安全宣传教育工作；负责监督检查全州农机安全执法工作；负责对全州跨区域和重大农业机械的违法违规行为的依法立案查处。4.负责水产品质量安全有关法律、法规的组织实施；负责全州水产品质量安全监管工作，对渔业投入品的使用、水产品准入和准出以及加工产品的生产与经营实行质量检测和监督；负责全州水生动物的防疫和检疫。负责组织、协调全州渔政执法活动；负责全州渔业案件的立案、审查、行政处罚和行政复议工作，以及全州渔业纠纷的调解与仲裁；负责对全州跨区域和重大水产品质量的违法违规行为的依法立案查处。</w:t>
      </w:r>
    </w:p>
    <w:p>
      <w:pPr>
        <w:pStyle w:val="7"/>
        <w:numPr>
          <w:ilvl w:val="0"/>
          <w:numId w:val="1"/>
        </w:numPr>
        <w:shd w:val="clear" w:color="auto" w:fill="FFFFFF"/>
        <w:spacing w:before="0" w:beforeAutospacing="0" w:after="0" w:afterAutospacing="0" w:line="500" w:lineRule="exact"/>
        <w:ind w:firstLine="643" w:firstLineChars="200"/>
        <w:rPr>
          <w:rFonts w:ascii="仿宋" w:hAnsi="仿宋" w:eastAsia="仿宋"/>
          <w:bCs/>
          <w:sz w:val="32"/>
          <w:szCs w:val="32"/>
        </w:rPr>
      </w:pPr>
      <w:r>
        <w:rPr>
          <w:rFonts w:hint="eastAsia" w:ascii="仿宋" w:hAnsi="仿宋" w:eastAsia="仿宋"/>
          <w:b/>
          <w:bCs/>
          <w:sz w:val="32"/>
          <w:szCs w:val="32"/>
        </w:rPr>
        <w:t>机构设置及人员情况</w:t>
      </w:r>
    </w:p>
    <w:p>
      <w:pPr>
        <w:pStyle w:val="7"/>
        <w:numPr>
          <w:ilvl w:val="0"/>
          <w:numId w:val="0"/>
        </w:numPr>
        <w:shd w:val="clear" w:color="auto" w:fill="FFFFFF"/>
        <w:spacing w:before="0" w:beforeAutospacing="0" w:after="0" w:afterAutospacing="0" w:line="500" w:lineRule="exact"/>
        <w:ind w:firstLine="642"/>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情况一：有下属预算单位按以下内容说明：</w:t>
      </w:r>
    </w:p>
    <w:p>
      <w:pPr>
        <w:pStyle w:val="7"/>
        <w:numPr>
          <w:ilvl w:val="0"/>
          <w:numId w:val="0"/>
        </w:numPr>
        <w:shd w:val="clear" w:color="auto" w:fill="FFFFFF"/>
        <w:spacing w:before="0" w:beforeAutospacing="0" w:after="0" w:afterAutospacing="0" w:line="500" w:lineRule="exact"/>
        <w:ind w:firstLine="642"/>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从预算单位的构成看，*部门（单位）的预算包括：*本级预算及下属  家预算单位在内的汇总预算。</w:t>
      </w:r>
    </w:p>
    <w:p>
      <w:pPr>
        <w:pStyle w:val="7"/>
        <w:numPr>
          <w:ilvl w:val="0"/>
          <w:numId w:val="0"/>
        </w:numPr>
        <w:shd w:val="clear" w:color="auto" w:fill="FFFFFF"/>
        <w:spacing w:before="0" w:beforeAutospacing="0" w:after="0" w:afterAutospacing="0" w:line="500" w:lineRule="exact"/>
        <w:ind w:firstLine="642"/>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*部门（单位）本级下设 0个处室，分别是：无。</w:t>
      </w:r>
    </w:p>
    <w:p>
      <w:pPr>
        <w:pStyle w:val="7"/>
        <w:numPr>
          <w:ilvl w:val="0"/>
          <w:numId w:val="0"/>
        </w:numPr>
        <w:shd w:val="clear" w:color="auto" w:fill="FFFFFF"/>
        <w:spacing w:before="0" w:beforeAutospacing="0" w:after="0" w:afterAutospacing="0" w:line="500" w:lineRule="exact"/>
        <w:ind w:firstLine="642"/>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本部门（单位）中，行政单位 0 家，事业单位 0 家，纳入*部门（单位）*年部预算编制范围的二级预算单位包括：</w:t>
      </w:r>
    </w:p>
    <w:p>
      <w:pPr>
        <w:pStyle w:val="7"/>
        <w:numPr>
          <w:ilvl w:val="0"/>
          <w:numId w:val="2"/>
        </w:numPr>
        <w:shd w:val="clear" w:color="auto" w:fill="FFFFFF"/>
        <w:spacing w:before="0" w:beforeAutospacing="0" w:after="0" w:afterAutospacing="0" w:line="500" w:lineRule="exact"/>
        <w:ind w:firstLine="642"/>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（列下属单位名称）</w:t>
      </w:r>
    </w:p>
    <w:p>
      <w:pPr>
        <w:pStyle w:val="7"/>
        <w:numPr>
          <w:ilvl w:val="0"/>
          <w:numId w:val="2"/>
        </w:numPr>
        <w:shd w:val="clear" w:color="auto" w:fill="FFFFFF"/>
        <w:spacing w:before="0" w:beforeAutospacing="0" w:after="0" w:afterAutospacing="0" w:line="500" w:lineRule="exact"/>
        <w:ind w:firstLine="642"/>
        <w:rPr>
          <w:rFonts w:hint="default" w:ascii="仿宋" w:hAnsi="仿宋" w:eastAsia="仿宋"/>
          <w:b w:val="0"/>
          <w:bCs w:val="0"/>
          <w:sz w:val="32"/>
          <w:szCs w:val="32"/>
          <w:lang w:val="en-US" w:eastAsia="zh-CN"/>
        </w:rPr>
      </w:pPr>
      <w:r>
        <w:rPr>
          <w:rFonts w:hint="eastAsia" w:ascii="仿宋" w:hAnsi="仿宋" w:eastAsia="仿宋"/>
          <w:b w:val="0"/>
          <w:bCs w:val="0"/>
          <w:sz w:val="32"/>
          <w:szCs w:val="32"/>
          <w:lang w:val="en-US" w:eastAsia="zh-CN"/>
        </w:rPr>
        <w:t>... ...</w:t>
      </w:r>
    </w:p>
    <w:p>
      <w:pPr>
        <w:pStyle w:val="7"/>
        <w:numPr>
          <w:ilvl w:val="0"/>
          <w:numId w:val="0"/>
        </w:numPr>
        <w:shd w:val="clear" w:color="auto" w:fill="FFFFFF"/>
        <w:spacing w:before="0" w:beforeAutospacing="0" w:after="0" w:afterAutospacing="0" w:line="500" w:lineRule="exact"/>
        <w:rPr>
          <w:rFonts w:hint="default" w:ascii="仿宋" w:hAnsi="仿宋" w:eastAsia="仿宋"/>
          <w:b w:val="0"/>
          <w:bCs w:val="0"/>
          <w:sz w:val="32"/>
          <w:szCs w:val="32"/>
          <w:lang w:val="en-US" w:eastAsia="zh-CN"/>
        </w:rPr>
      </w:pPr>
      <w:r>
        <w:rPr>
          <w:rFonts w:hint="eastAsia" w:ascii="仿宋" w:hAnsi="仿宋" w:eastAsia="仿宋"/>
          <w:b w:val="0"/>
          <w:bCs w:val="0"/>
          <w:sz w:val="32"/>
          <w:szCs w:val="32"/>
          <w:lang w:val="en-US" w:eastAsia="zh-CN"/>
        </w:rPr>
        <w:t xml:space="preserve">    *部门（单位）编制数0，实有人数0人，其中：在职0人，增加0人；退休0人，增加0人；离休0人，增加0人。</w:t>
      </w:r>
    </w:p>
    <w:p>
      <w:pPr>
        <w:pStyle w:val="7"/>
        <w:numPr>
          <w:ilvl w:val="0"/>
          <w:numId w:val="0"/>
        </w:numPr>
        <w:shd w:val="clear" w:color="auto" w:fill="FFFFFF"/>
        <w:spacing w:before="0" w:beforeAutospacing="0" w:after="0" w:afterAutospacing="0" w:line="500" w:lineRule="exact"/>
        <w:ind w:firstLine="642"/>
        <w:rPr>
          <w:rFonts w:hint="eastAsia" w:ascii="仿宋" w:hAnsi="仿宋" w:eastAsia="仿宋"/>
          <w:bCs/>
          <w:sz w:val="32"/>
          <w:szCs w:val="32"/>
          <w:lang w:eastAsia="zh-CN"/>
        </w:rPr>
      </w:pPr>
      <w:r>
        <w:rPr>
          <w:rFonts w:hint="eastAsia" w:ascii="仿宋" w:hAnsi="仿宋" w:eastAsia="仿宋"/>
          <w:b/>
          <w:bCs/>
          <w:sz w:val="32"/>
          <w:szCs w:val="32"/>
          <w:lang w:val="en-US" w:eastAsia="zh-CN"/>
        </w:rPr>
        <w:t>情况二：无下属预算单位按以下内容说明：</w:t>
      </w:r>
    </w:p>
    <w:p>
      <w:pPr>
        <w:ind w:firstLine="640"/>
        <w:rPr>
          <w:rFonts w:hint="eastAsia" w:ascii="仿宋_GB2312" w:eastAsia="仿宋_GB2312"/>
          <w:sz w:val="32"/>
          <w:szCs w:val="32"/>
          <w:lang w:val="en-US" w:eastAsia="zh-CN"/>
        </w:rPr>
      </w:pPr>
      <w:r>
        <w:rPr>
          <w:rFonts w:hint="eastAsia" w:ascii="黑体" w:hAnsi="黑体" w:eastAsia="黑体"/>
          <w:bCs/>
          <w:sz w:val="32"/>
          <w:szCs w:val="32"/>
        </w:rPr>
        <w:t xml:space="preserve"> </w:t>
      </w:r>
      <w:r>
        <w:rPr>
          <w:rFonts w:hint="eastAsia" w:ascii="仿宋" w:hAnsi="仿宋" w:eastAsia="仿宋" w:cs="宋体"/>
          <w:bCs/>
          <w:kern w:val="0"/>
          <w:sz w:val="32"/>
          <w:szCs w:val="32"/>
          <w:lang w:eastAsia="zh-CN"/>
        </w:rPr>
        <w:t>克州农业综合行政执法支队</w:t>
      </w:r>
      <w:r>
        <w:rPr>
          <w:rFonts w:hint="eastAsia" w:ascii="仿宋_GB2312" w:hAnsi="黑体" w:eastAsia="仿宋_GB2312" w:cs="宋体"/>
          <w:bCs/>
          <w:kern w:val="0"/>
          <w:sz w:val="32"/>
          <w:szCs w:val="32"/>
        </w:rPr>
        <w:t>无下属预算单位，</w:t>
      </w:r>
      <w:r>
        <w:rPr>
          <w:rFonts w:hint="eastAsia" w:ascii="黑体" w:hAnsi="黑体" w:eastAsia="黑体"/>
          <w:bCs/>
          <w:sz w:val="32"/>
          <w:szCs w:val="32"/>
        </w:rPr>
        <w:t xml:space="preserve"> </w:t>
      </w:r>
      <w:r>
        <w:rPr>
          <w:rFonts w:hint="eastAsia" w:ascii="仿宋" w:hAnsi="仿宋" w:eastAsia="仿宋" w:cs="宋体"/>
          <w:bCs/>
          <w:kern w:val="0"/>
          <w:sz w:val="32"/>
          <w:szCs w:val="32"/>
          <w:lang w:eastAsia="zh-CN"/>
        </w:rPr>
        <w:t>克州农业综合行政执法支队</w:t>
      </w:r>
      <w:r>
        <w:rPr>
          <w:rFonts w:hint="eastAsia" w:ascii="仿宋_GB2312" w:hAnsi="黑体" w:eastAsia="仿宋_GB2312" w:cs="宋体"/>
          <w:bCs/>
          <w:kern w:val="0"/>
          <w:sz w:val="32"/>
          <w:szCs w:val="32"/>
        </w:rPr>
        <w:t>下设</w:t>
      </w:r>
      <w:r>
        <w:rPr>
          <w:rFonts w:hint="eastAsia" w:ascii="仿宋_GB2312" w:hAnsi="黑体" w:eastAsia="仿宋_GB2312" w:cs="宋体"/>
          <w:bCs/>
          <w:kern w:val="0"/>
          <w:sz w:val="32"/>
          <w:szCs w:val="32"/>
          <w:lang w:val="en-US" w:eastAsia="zh-CN"/>
        </w:rPr>
        <w:t>6个科室，分别是</w:t>
      </w:r>
      <w:r>
        <w:rPr>
          <w:rFonts w:hint="eastAsia" w:ascii="仿宋_GB2312" w:eastAsia="仿宋_GB2312"/>
          <w:sz w:val="32"/>
          <w:szCs w:val="32"/>
          <w:lang w:val="en-US" w:eastAsia="zh-CN"/>
        </w:rPr>
        <w:t>办公室，综合业务科，农业执法科，畜牧兽医执法科，农机监管执法科和水产监管执法科。</w:t>
      </w:r>
    </w:p>
    <w:p>
      <w:pPr>
        <w:widowControl/>
        <w:spacing w:line="500" w:lineRule="exact"/>
        <w:ind w:firstLine="640" w:firstLineChars="200"/>
        <w:jc w:val="left"/>
        <w:rPr>
          <w:rFonts w:ascii="仿宋" w:hAnsi="仿宋" w:eastAsia="仿宋" w:cs="仿宋"/>
          <w:kern w:val="0"/>
          <w:sz w:val="32"/>
          <w:szCs w:val="32"/>
        </w:rPr>
      </w:pPr>
      <w:r>
        <w:rPr>
          <w:rFonts w:hint="eastAsia" w:ascii="仿宋" w:hAnsi="仿宋" w:eastAsia="仿宋" w:cs="宋体"/>
          <w:bCs/>
          <w:kern w:val="0"/>
          <w:sz w:val="32"/>
          <w:szCs w:val="32"/>
          <w:lang w:eastAsia="zh-CN"/>
        </w:rPr>
        <w:t>克州农业综合行政执法支队</w:t>
      </w:r>
      <w:r>
        <w:rPr>
          <w:rFonts w:hint="eastAsia" w:ascii="仿宋" w:hAnsi="仿宋" w:eastAsia="仿宋" w:cs="仿宋"/>
          <w:color w:val="000000"/>
          <w:sz w:val="32"/>
          <w:szCs w:val="32"/>
          <w:shd w:val="clear" w:color="auto" w:fill="FFFFFF"/>
        </w:rPr>
        <w:t>编制数</w:t>
      </w:r>
      <w:r>
        <w:rPr>
          <w:rFonts w:hint="eastAsia" w:ascii="仿宋" w:hAnsi="仿宋" w:eastAsia="仿宋" w:cs="仿宋"/>
          <w:color w:val="000000"/>
          <w:sz w:val="32"/>
          <w:szCs w:val="32"/>
          <w:shd w:val="clear" w:color="auto" w:fill="FFFFFF"/>
          <w:lang w:val="en-US" w:eastAsia="zh-CN"/>
        </w:rPr>
        <w:t>35</w:t>
      </w:r>
      <w:r>
        <w:rPr>
          <w:rFonts w:hint="eastAsia" w:ascii="仿宋" w:hAnsi="仿宋" w:eastAsia="仿宋" w:cs="仿宋"/>
          <w:color w:val="000000"/>
          <w:sz w:val="32"/>
          <w:szCs w:val="32"/>
          <w:shd w:val="clear" w:color="auto" w:fill="FFFFFF"/>
        </w:rPr>
        <w:t>名，实有人数</w:t>
      </w:r>
      <w:r>
        <w:rPr>
          <w:rFonts w:hint="eastAsia" w:ascii="仿宋_GB2312" w:hAnsi="仿宋_GB2312" w:eastAsia="仿宋" w:cs="仿宋"/>
          <w:color w:val="000000"/>
          <w:sz w:val="32"/>
          <w:szCs w:val="32"/>
          <w:shd w:val="clear" w:color="auto" w:fill="FFFFFF"/>
          <w:lang w:val="en-US" w:eastAsia="zh-CN"/>
        </w:rPr>
        <w:t>30</w:t>
      </w:r>
      <w:r>
        <w:rPr>
          <w:rFonts w:hint="eastAsia" w:ascii="仿宋" w:hAnsi="仿宋" w:eastAsia="仿宋" w:cs="仿宋"/>
          <w:color w:val="000000"/>
          <w:sz w:val="32"/>
          <w:szCs w:val="32"/>
          <w:shd w:val="clear" w:color="auto" w:fill="FFFFFF"/>
        </w:rPr>
        <w:t xml:space="preserve">人，其中：在职 </w:t>
      </w:r>
      <w:r>
        <w:rPr>
          <w:rFonts w:hint="eastAsia" w:ascii="仿宋" w:hAnsi="仿宋" w:eastAsia="仿宋" w:cs="仿宋"/>
          <w:color w:val="000000"/>
          <w:sz w:val="32"/>
          <w:szCs w:val="32"/>
          <w:shd w:val="clear" w:color="auto" w:fill="FFFFFF"/>
          <w:lang w:val="en-US" w:eastAsia="zh-CN"/>
        </w:rPr>
        <w:t>30</w:t>
      </w:r>
      <w:r>
        <w:rPr>
          <w:rFonts w:hint="eastAsia" w:ascii="仿宋" w:hAnsi="仿宋" w:eastAsia="仿宋" w:cs="仿宋"/>
          <w:color w:val="000000"/>
          <w:sz w:val="32"/>
          <w:szCs w:val="32"/>
          <w:shd w:val="clear" w:color="auto" w:fill="FFFFFF"/>
        </w:rPr>
        <w:t>人，</w:t>
      </w:r>
      <w:r>
        <w:rPr>
          <w:rFonts w:hint="eastAsia" w:ascii="仿宋" w:hAnsi="仿宋" w:eastAsia="仿宋" w:cs="仿宋"/>
          <w:color w:val="000000"/>
          <w:sz w:val="32"/>
          <w:szCs w:val="32"/>
          <w:shd w:val="clear" w:color="auto" w:fill="FFFFFF"/>
          <w:lang w:eastAsia="zh-CN"/>
        </w:rPr>
        <w:t>增加</w:t>
      </w:r>
      <w:r>
        <w:rPr>
          <w:rFonts w:hint="eastAsia" w:ascii="仿宋" w:hAnsi="仿宋" w:eastAsia="仿宋" w:cs="仿宋"/>
          <w:color w:val="000000"/>
          <w:sz w:val="32"/>
          <w:szCs w:val="32"/>
          <w:shd w:val="clear" w:color="auto" w:fill="FFFFFF"/>
          <w:lang w:val="en-US" w:eastAsia="zh-CN"/>
        </w:rPr>
        <w:t>10</w:t>
      </w:r>
      <w:r>
        <w:rPr>
          <w:rFonts w:hint="eastAsia" w:ascii="仿宋" w:hAnsi="仿宋" w:eastAsia="仿宋" w:cs="仿宋"/>
          <w:color w:val="000000"/>
          <w:sz w:val="32"/>
          <w:szCs w:val="32"/>
          <w:shd w:val="clear" w:color="auto" w:fill="FFFFFF"/>
        </w:rPr>
        <w:t>人；退休</w:t>
      </w:r>
      <w:r>
        <w:rPr>
          <w:rFonts w:hint="eastAsia" w:ascii="仿宋" w:hAnsi="仿宋" w:eastAsia="仿宋" w:cs="仿宋"/>
          <w:color w:val="000000"/>
          <w:sz w:val="32"/>
          <w:szCs w:val="32"/>
          <w:shd w:val="clear" w:color="auto" w:fill="FFFFFF"/>
          <w:lang w:val="en-US" w:eastAsia="zh-CN"/>
        </w:rPr>
        <w:t>0</w:t>
      </w:r>
      <w:r>
        <w:rPr>
          <w:rFonts w:hint="eastAsia" w:ascii="仿宋" w:hAnsi="仿宋" w:eastAsia="仿宋" w:cs="仿宋"/>
          <w:color w:val="000000"/>
          <w:sz w:val="32"/>
          <w:szCs w:val="32"/>
          <w:shd w:val="clear" w:color="auto" w:fill="FFFFFF"/>
        </w:rPr>
        <w:t>人，</w:t>
      </w:r>
      <w:r>
        <w:rPr>
          <w:rFonts w:hint="eastAsia" w:ascii="仿宋" w:hAnsi="仿宋" w:eastAsia="仿宋" w:cs="仿宋"/>
          <w:color w:val="000000"/>
          <w:sz w:val="32"/>
          <w:szCs w:val="32"/>
          <w:shd w:val="clear" w:color="auto" w:fill="FFFFFF"/>
          <w:lang w:eastAsia="zh-CN"/>
        </w:rPr>
        <w:t>减少</w:t>
      </w:r>
      <w:r>
        <w:rPr>
          <w:rFonts w:hint="eastAsia" w:ascii="仿宋" w:hAnsi="仿宋" w:eastAsia="仿宋" w:cs="仿宋"/>
          <w:color w:val="000000"/>
          <w:sz w:val="32"/>
          <w:szCs w:val="32"/>
          <w:shd w:val="clear" w:color="auto" w:fill="FFFFFF"/>
          <w:lang w:val="en-US" w:eastAsia="zh-CN"/>
        </w:rPr>
        <w:t>5</w:t>
      </w:r>
      <w:r>
        <w:rPr>
          <w:rFonts w:hint="eastAsia" w:ascii="仿宋" w:hAnsi="仿宋" w:eastAsia="仿宋" w:cs="仿宋"/>
          <w:color w:val="000000"/>
          <w:sz w:val="32"/>
          <w:szCs w:val="32"/>
          <w:shd w:val="clear" w:color="auto" w:fill="FFFFFF"/>
        </w:rPr>
        <w:t>人；离休0</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人，增加0</w:t>
      </w:r>
      <w:r>
        <w:rPr>
          <w:rFonts w:hint="eastAsia" w:ascii="仿宋_GB2312" w:hAnsi="仿宋_GB2312" w:eastAsia="仿宋" w:cs="仿宋"/>
          <w:color w:val="000000"/>
          <w:sz w:val="32"/>
          <w:szCs w:val="32"/>
          <w:shd w:val="clear" w:color="auto" w:fill="FFFFFF"/>
        </w:rPr>
        <w:t> </w:t>
      </w:r>
      <w:r>
        <w:rPr>
          <w:rFonts w:hint="eastAsia" w:ascii="仿宋" w:hAnsi="仿宋" w:eastAsia="仿宋" w:cs="仿宋"/>
          <w:color w:val="000000"/>
          <w:sz w:val="32"/>
          <w:szCs w:val="32"/>
          <w:shd w:val="clear" w:color="auto" w:fill="FFFFFF"/>
        </w:rPr>
        <w:t>人。</w:t>
      </w:r>
    </w:p>
    <w:p>
      <w:pPr>
        <w:widowControl/>
        <w:spacing w:beforeLines="50"/>
        <w:jc w:val="both"/>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widowControl/>
        <w:spacing w:beforeLines="50"/>
        <w:jc w:val="both"/>
        <w:outlineLvl w:val="1"/>
        <w:rPr>
          <w:rFonts w:ascii="仿宋_GB2312" w:hAnsi="黑体" w:eastAsia="仿宋_GB2312" w:cs="宋体"/>
          <w:b/>
          <w:bCs/>
          <w:kern w:val="0"/>
          <w:sz w:val="32"/>
          <w:szCs w:val="32"/>
        </w:rPr>
      </w:pPr>
    </w:p>
    <w:p>
      <w:pPr>
        <w:widowControl/>
        <w:spacing w:beforeLines="50"/>
        <w:jc w:val="center"/>
        <w:outlineLvl w:val="1"/>
        <w:rPr>
          <w:rFonts w:ascii="仿宋_GB2312" w:hAnsi="黑体" w:eastAsia="仿宋_GB2312" w:cs="宋体"/>
          <w:b/>
          <w:bCs/>
          <w:kern w:val="0"/>
          <w:sz w:val="32"/>
          <w:szCs w:val="32"/>
        </w:rPr>
      </w:pPr>
    </w:p>
    <w:p>
      <w:pPr>
        <w:pStyle w:val="2"/>
        <w:rPr>
          <w:rFonts w:ascii="仿宋_GB2312" w:hAnsi="黑体" w:eastAsia="仿宋_GB2312" w:cs="宋体"/>
          <w:b/>
          <w:bCs/>
          <w:kern w:val="0"/>
          <w:sz w:val="32"/>
          <w:szCs w:val="32"/>
        </w:rPr>
      </w:pPr>
    </w:p>
    <w:p>
      <w:pPr>
        <w:rPr>
          <w:rFonts w:ascii="仿宋_GB2312" w:hAnsi="黑体" w:eastAsia="仿宋_GB2312" w:cs="宋体"/>
          <w:b/>
          <w:bCs/>
          <w:kern w:val="0"/>
          <w:sz w:val="32"/>
          <w:szCs w:val="32"/>
        </w:rPr>
      </w:pPr>
    </w:p>
    <w:p>
      <w:pPr>
        <w:pStyle w:val="2"/>
        <w:rPr>
          <w:rFonts w:ascii="仿宋_GB2312" w:hAnsi="黑体" w:eastAsia="仿宋_GB2312" w:cs="宋体"/>
          <w:b/>
          <w:bCs/>
          <w:kern w:val="0"/>
          <w:sz w:val="32"/>
          <w:szCs w:val="32"/>
        </w:rPr>
      </w:pPr>
    </w:p>
    <w:p>
      <w:pPr>
        <w:rPr>
          <w:rFonts w:ascii="仿宋_GB2312" w:hAnsi="黑体" w:eastAsia="仿宋_GB2312" w:cs="宋体"/>
          <w:b/>
          <w:bCs/>
          <w:kern w:val="0"/>
          <w:sz w:val="32"/>
          <w:szCs w:val="32"/>
        </w:rPr>
      </w:pPr>
    </w:p>
    <w:p>
      <w:pPr>
        <w:pStyle w:val="2"/>
      </w:pPr>
    </w:p>
    <w:p>
      <w:pPr>
        <w:widowControl/>
        <w:spacing w:beforeLines="50"/>
        <w:jc w:val="both"/>
        <w:outlineLvl w:val="1"/>
        <w:rPr>
          <w:rFonts w:ascii="仿宋_GB2312" w:hAnsi="黑体" w:eastAsia="仿宋_GB2312" w:cs="宋体"/>
          <w:b/>
          <w:bCs/>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2021</w:t>
      </w:r>
      <w:r>
        <w:rPr>
          <w:rFonts w:hint="eastAsia" w:ascii="黑体" w:hAnsi="黑体" w:eastAsia="黑体"/>
          <w:kern w:val="0"/>
          <w:sz w:val="32"/>
          <w:szCs w:val="32"/>
        </w:rPr>
        <w:t>年部门预算公开表</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表一：部门收支总体情况表</w:t>
      </w:r>
    </w:p>
    <w:p>
      <w:pPr>
        <w:widowControl/>
        <w:ind w:firstLine="210" w:firstLineChars="100"/>
        <w:outlineLvl w:val="1"/>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克孜勒苏柯尔克孜自治州农业综合行政执法支队              </w:t>
      </w:r>
      <w:r>
        <w:rPr>
          <w:rFonts w:hint="eastAsia" w:ascii="仿宋_GB2312" w:hAnsi="宋体" w:eastAsia="仿宋_GB2312"/>
          <w:kern w:val="0"/>
          <w:sz w:val="21"/>
          <w:szCs w:val="21"/>
        </w:rPr>
        <w:t xml:space="preserve">      单位：万元</w:t>
      </w:r>
    </w:p>
    <w:tbl>
      <w:tblPr>
        <w:tblStyle w:val="8"/>
        <w:tblpPr w:leftFromText="180" w:rightFromText="180" w:vertAnchor="text" w:horzAnchor="page" w:tblpX="1767" w:tblpY="200"/>
        <w:tblOverlap w:val="never"/>
        <w:tblW w:w="8485" w:type="dxa"/>
        <w:tblInd w:w="0" w:type="dxa"/>
        <w:shd w:val="clear" w:color="auto" w:fill="auto"/>
        <w:tblLayout w:type="fixed"/>
        <w:tblCellMar>
          <w:top w:w="0" w:type="dxa"/>
          <w:left w:w="0" w:type="dxa"/>
          <w:bottom w:w="0" w:type="dxa"/>
          <w:right w:w="0" w:type="dxa"/>
        </w:tblCellMar>
      </w:tblPr>
      <w:tblGrid>
        <w:gridCol w:w="2363"/>
        <w:gridCol w:w="1082"/>
        <w:gridCol w:w="2653"/>
        <w:gridCol w:w="2387"/>
      </w:tblGrid>
      <w:tr>
        <w:tblPrEx>
          <w:shd w:val="clear" w:color="auto" w:fill="auto"/>
          <w:tblCellMar>
            <w:top w:w="0" w:type="dxa"/>
            <w:left w:w="0" w:type="dxa"/>
            <w:bottom w:w="0" w:type="dxa"/>
            <w:right w:w="0" w:type="dxa"/>
          </w:tblCellMar>
        </w:tblPrEx>
        <w:trPr>
          <w:trHeight w:val="360" w:hRule="atLeast"/>
        </w:trPr>
        <w:tc>
          <w:tcPr>
            <w:tcW w:w="344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收入</w:t>
            </w:r>
          </w:p>
        </w:tc>
        <w:tc>
          <w:tcPr>
            <w:tcW w:w="504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w:t>
            </w: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项目</w:t>
            </w:r>
          </w:p>
        </w:tc>
        <w:tc>
          <w:tcPr>
            <w:tcW w:w="1082" w:type="dxa"/>
            <w:tcBorders>
              <w:top w:val="single" w:color="000000" w:sz="4" w:space="0"/>
              <w:left w:val="single" w:color="000000" w:sz="4" w:space="0"/>
              <w:bottom w:val="nil"/>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预算数</w:t>
            </w: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420.89</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一般公共预算</w:t>
            </w: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420.89</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政府性基金预算</w:t>
            </w:r>
          </w:p>
        </w:tc>
        <w:tc>
          <w:tcPr>
            <w:tcW w:w="1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国有资本经营预算</w:t>
            </w:r>
          </w:p>
        </w:tc>
        <w:tc>
          <w:tcPr>
            <w:tcW w:w="1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教育收费（财政专户）</w:t>
            </w:r>
          </w:p>
        </w:tc>
        <w:tc>
          <w:tcPr>
            <w:tcW w:w="1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事业收入</w:t>
            </w:r>
          </w:p>
        </w:tc>
        <w:tc>
          <w:tcPr>
            <w:tcW w:w="1082"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上级补助收入</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 文化体育与传媒支出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事业单位经营收入</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单位其他资金收入</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上级专项收入</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用事业基金弥补收支差额</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9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410.49</w:t>
            </w:r>
          </w:p>
        </w:tc>
      </w:tr>
      <w:tr>
        <w:tblPrEx>
          <w:tblCellMar>
            <w:top w:w="0" w:type="dxa"/>
            <w:left w:w="0" w:type="dxa"/>
            <w:bottom w:w="0" w:type="dxa"/>
            <w:right w:w="0" w:type="dxa"/>
          </w:tblCellMar>
        </w:tblPrEx>
        <w:trPr>
          <w:trHeight w:val="23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8"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eastAsia="宋体" w:cs="宋体"/>
                <w:i w:val="0"/>
                <w:color w:val="000000"/>
                <w:kern w:val="0"/>
                <w:sz w:val="18"/>
                <w:szCs w:val="18"/>
                <w:u w:val="none"/>
                <w:lang w:val="en-US" w:eastAsia="zh-CN" w:bidi="ar"/>
              </w:rPr>
              <w:t>15 资源勘探工业信息等支出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20"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6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8"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 自然资源海洋气象等支出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5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9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224 灾害防治及应急管理支出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5" w:hRule="atLeast"/>
        </w:trPr>
        <w:tc>
          <w:tcPr>
            <w:tcW w:w="2363" w:type="dxa"/>
            <w:tcBorders>
              <w:top w:val="single" w:color="000000" w:sz="4" w:space="0"/>
              <w:left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230 转移性支出</w:t>
            </w:r>
          </w:p>
        </w:tc>
        <w:tc>
          <w:tcPr>
            <w:tcW w:w="2387" w:type="dxa"/>
            <w:tcBorders>
              <w:top w:val="single" w:color="000000" w:sz="4" w:space="0"/>
              <w:left w:val="single" w:color="auto"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8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auto"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231 债务还本支出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2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 债务付息支出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15"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 债务发行费支出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16"/>
                <w:szCs w:val="16"/>
                <w:u w:val="none"/>
              </w:rPr>
            </w:pPr>
          </w:p>
        </w:tc>
        <w:tc>
          <w:tcPr>
            <w:tcW w:w="1082"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6"/>
                <w:szCs w:val="16"/>
                <w:u w:val="none"/>
              </w:rPr>
            </w:pP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234 抗疫特别国债安排的支出</w:t>
            </w:r>
          </w:p>
        </w:tc>
        <w:tc>
          <w:tcPr>
            <w:tcW w:w="23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6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收      入      总      计</w:t>
            </w:r>
          </w:p>
        </w:tc>
        <w:tc>
          <w:tcPr>
            <w:tcW w:w="108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5"/>
                <w:szCs w:val="15"/>
                <w:u w:val="none"/>
              </w:rPr>
            </w:pPr>
            <w:r>
              <w:rPr>
                <w:rFonts w:hint="eastAsia" w:ascii="宋体" w:hAnsi="宋体" w:eastAsia="宋体" w:cs="宋体"/>
                <w:i w:val="0"/>
                <w:color w:val="000000"/>
                <w:kern w:val="0"/>
                <w:sz w:val="15"/>
                <w:szCs w:val="15"/>
                <w:u w:val="none"/>
                <w:lang w:val="en-US" w:eastAsia="zh-CN" w:bidi="ar"/>
              </w:rPr>
              <w:t>420.89</w:t>
            </w:r>
          </w:p>
        </w:tc>
        <w:tc>
          <w:tcPr>
            <w:tcW w:w="265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支   出  总   计</w:t>
            </w:r>
          </w:p>
        </w:tc>
        <w:tc>
          <w:tcPr>
            <w:tcW w:w="238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420.89</w:t>
            </w: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1"/>
          <w:szCs w:val="21"/>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克孜勒苏柯尔克孜自治州农业综合行政执法支队</w:t>
      </w:r>
      <w:r>
        <w:rPr>
          <w:rFonts w:hint="eastAsia" w:ascii="仿宋_GB2312" w:hAnsi="宋体" w:eastAsia="仿宋_GB2312"/>
          <w:kern w:val="0"/>
          <w:sz w:val="21"/>
          <w:szCs w:val="21"/>
        </w:rPr>
        <w:t xml:space="preserve">                     单位：万元</w:t>
      </w:r>
    </w:p>
    <w:tbl>
      <w:tblPr>
        <w:tblStyle w:val="8"/>
        <w:tblpPr w:leftFromText="180" w:rightFromText="180" w:vertAnchor="text" w:horzAnchor="page" w:tblpX="990" w:tblpY="116"/>
        <w:tblOverlap w:val="never"/>
        <w:tblW w:w="9757" w:type="dxa"/>
        <w:tblInd w:w="0" w:type="dxa"/>
        <w:tblLayout w:type="fixed"/>
        <w:tblCellMar>
          <w:top w:w="0" w:type="dxa"/>
          <w:left w:w="108" w:type="dxa"/>
          <w:bottom w:w="0" w:type="dxa"/>
          <w:right w:w="108" w:type="dxa"/>
        </w:tblCellMar>
      </w:tblPr>
      <w:tblGrid>
        <w:gridCol w:w="547"/>
        <w:gridCol w:w="465"/>
        <w:gridCol w:w="449"/>
        <w:gridCol w:w="1126"/>
        <w:gridCol w:w="839"/>
        <w:gridCol w:w="1"/>
        <w:gridCol w:w="974"/>
        <w:gridCol w:w="1"/>
        <w:gridCol w:w="465"/>
        <w:gridCol w:w="510"/>
        <w:gridCol w:w="433"/>
        <w:gridCol w:w="2"/>
        <w:gridCol w:w="403"/>
        <w:gridCol w:w="2"/>
        <w:gridCol w:w="418"/>
        <w:gridCol w:w="2"/>
        <w:gridCol w:w="463"/>
        <w:gridCol w:w="2"/>
        <w:gridCol w:w="493"/>
        <w:gridCol w:w="2"/>
        <w:gridCol w:w="793"/>
        <w:gridCol w:w="2"/>
        <w:gridCol w:w="733"/>
        <w:gridCol w:w="2"/>
        <w:gridCol w:w="628"/>
        <w:gridCol w:w="2"/>
      </w:tblGrid>
      <w:tr>
        <w:tblPrEx>
          <w:tblCellMar>
            <w:top w:w="0" w:type="dxa"/>
            <w:left w:w="108" w:type="dxa"/>
            <w:bottom w:w="0" w:type="dxa"/>
            <w:right w:w="108" w:type="dxa"/>
          </w:tblCellMar>
        </w:tblPrEx>
        <w:trPr>
          <w:gridAfter w:val="1"/>
          <w:wAfter w:w="2" w:type="dxa"/>
          <w:trHeight w:val="2843" w:hRule="atLeast"/>
        </w:trPr>
        <w:tc>
          <w:tcPr>
            <w:tcW w:w="14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2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6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10" w:type="dxa"/>
            <w:tcBorders>
              <w:top w:val="single" w:color="auto" w:sz="4" w:space="0"/>
              <w:left w:val="single" w:color="auto" w:sz="4" w:space="0"/>
              <w:right w:val="single" w:color="auto" w:sz="4" w:space="0"/>
            </w:tcBorders>
            <w:shd w:val="clear" w:color="auto" w:fill="auto"/>
            <w:vAlign w:val="center"/>
          </w:tcPr>
          <w:p>
            <w:pPr>
              <w:jc w:val="center"/>
              <w:rPr>
                <w:rFonts w:hint="default" w:ascii="仿宋_GB2312" w:hAnsi="宋体" w:eastAsia="仿宋_GB2312" w:cs="宋体"/>
                <w:b/>
                <w:color w:val="000000"/>
                <w:sz w:val="20"/>
                <w:szCs w:val="20"/>
                <w:lang w:val="en-US" w:eastAsia="zh-CN"/>
              </w:rPr>
            </w:pPr>
            <w:r>
              <w:rPr>
                <w:rFonts w:hint="eastAsia" w:ascii="仿宋_GB2312" w:eastAsia="仿宋_GB2312"/>
                <w:b/>
                <w:color w:val="000000"/>
                <w:sz w:val="20"/>
                <w:szCs w:val="20"/>
                <w:lang w:val="en-US" w:eastAsia="zh-CN"/>
              </w:rPr>
              <w:t>财政专户（教育收费）</w:t>
            </w:r>
          </w:p>
        </w:tc>
        <w:tc>
          <w:tcPr>
            <w:tcW w:w="43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40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0" w:type="dxa"/>
            <w:gridSpan w:val="2"/>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46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9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lang w:val="en-US" w:eastAsia="zh-CN"/>
              </w:rPr>
              <w:t>单位</w:t>
            </w:r>
            <w:r>
              <w:rPr>
                <w:rFonts w:hint="eastAsia" w:ascii="仿宋_GB2312" w:eastAsia="仿宋_GB2312"/>
                <w:b/>
                <w:color w:val="000000"/>
                <w:sz w:val="20"/>
                <w:szCs w:val="20"/>
              </w:rPr>
              <w:t>其他</w:t>
            </w:r>
            <w:r>
              <w:rPr>
                <w:rFonts w:hint="eastAsia" w:ascii="仿宋_GB2312" w:eastAsia="仿宋_GB2312"/>
                <w:b/>
                <w:color w:val="000000"/>
                <w:sz w:val="20"/>
                <w:szCs w:val="20"/>
                <w:lang w:val="en-US" w:eastAsia="zh-CN"/>
              </w:rPr>
              <w:t>资金</w:t>
            </w:r>
            <w:r>
              <w:rPr>
                <w:rFonts w:hint="eastAsia" w:ascii="仿宋_GB2312" w:eastAsia="仿宋_GB2312"/>
                <w:b/>
                <w:color w:val="000000"/>
                <w:sz w:val="20"/>
                <w:szCs w:val="20"/>
              </w:rPr>
              <w:t>收入</w:t>
            </w:r>
          </w:p>
        </w:tc>
        <w:tc>
          <w:tcPr>
            <w:tcW w:w="795" w:type="dxa"/>
            <w:gridSpan w:val="2"/>
            <w:tcBorders>
              <w:top w:val="single" w:color="auto" w:sz="4" w:space="0"/>
              <w:left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上级</w:t>
            </w:r>
          </w:p>
          <w:p>
            <w:pPr>
              <w:jc w:val="center"/>
              <w:rPr>
                <w:rFonts w:ascii="仿宋_GB2312" w:eastAsia="仿宋_GB2312"/>
                <w:b/>
                <w:color w:val="000000"/>
                <w:sz w:val="20"/>
                <w:szCs w:val="20"/>
              </w:rPr>
            </w:pPr>
            <w:r>
              <w:rPr>
                <w:rFonts w:ascii="仿宋_GB2312" w:eastAsia="仿宋_GB2312"/>
                <w:b/>
                <w:color w:val="000000"/>
                <w:sz w:val="20"/>
                <w:szCs w:val="20"/>
              </w:rPr>
              <w:t>专项</w:t>
            </w:r>
          </w:p>
          <w:p>
            <w:pPr>
              <w:jc w:val="center"/>
              <w:rPr>
                <w:rFonts w:ascii="仿宋_GB2312" w:eastAsia="仿宋_GB2312"/>
                <w:b/>
                <w:color w:val="000000"/>
                <w:sz w:val="20"/>
                <w:szCs w:val="20"/>
              </w:rPr>
            </w:pPr>
            <w:r>
              <w:rPr>
                <w:rFonts w:ascii="仿宋_GB2312" w:eastAsia="仿宋_GB2312"/>
                <w:b/>
                <w:color w:val="000000"/>
                <w:sz w:val="20"/>
                <w:szCs w:val="20"/>
              </w:rPr>
              <w:t>收入</w:t>
            </w:r>
          </w:p>
        </w:tc>
        <w:tc>
          <w:tcPr>
            <w:tcW w:w="73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3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ind w:right="-174" w:rightChars="-83"/>
              <w:jc w:val="left"/>
              <w:rPr>
                <w:rFonts w:hint="default" w:ascii="仿宋_GB2312" w:hAnsi="宋体" w:eastAsia="仿宋_GB2312" w:cs="宋体"/>
                <w:color w:val="000000"/>
                <w:sz w:val="20"/>
                <w:szCs w:val="20"/>
                <w:lang w:val="en-US"/>
              </w:rPr>
            </w:pPr>
            <w:r>
              <w:rPr>
                <w:rFonts w:hint="eastAsia" w:ascii="仿宋_GB2312" w:eastAsia="仿宋_GB2312"/>
                <w:color w:val="000000"/>
                <w:sz w:val="20"/>
                <w:szCs w:val="20"/>
                <w:lang w:val="en-US" w:eastAsia="zh-CN"/>
              </w:rPr>
              <w:t>205</w:t>
            </w:r>
          </w:p>
        </w:tc>
        <w:tc>
          <w:tcPr>
            <w:tcW w:w="4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教育支出</w:t>
            </w:r>
          </w:p>
        </w:tc>
        <w:tc>
          <w:tcPr>
            <w:tcW w:w="839"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10.4</w:t>
            </w:r>
          </w:p>
        </w:tc>
        <w:tc>
          <w:tcPr>
            <w:tcW w:w="975" w:type="dxa"/>
            <w:gridSpan w:val="2"/>
            <w:tcBorders>
              <w:top w:val="nil"/>
              <w:left w:val="nil"/>
              <w:bottom w:val="single" w:color="auto" w:sz="4" w:space="0"/>
              <w:right w:val="single" w:color="auto" w:sz="4" w:space="0"/>
            </w:tcBorders>
            <w:shd w:val="clear" w:color="000000" w:fill="FFFFFF"/>
            <w:vAlign w:val="center"/>
          </w:tcPr>
          <w:p>
            <w:pPr>
              <w:jc w:val="center"/>
              <w:rPr>
                <w:rFonts w:hint="default" w:ascii="仿宋_GB2312" w:eastAsia="仿宋_GB2312"/>
                <w:color w:val="000000"/>
                <w:sz w:val="20"/>
                <w:szCs w:val="20"/>
                <w:lang w:val="en-US" w:eastAsia="zh-CN"/>
              </w:rPr>
            </w:pPr>
            <w:r>
              <w:rPr>
                <w:rFonts w:hint="eastAsia" w:ascii="仿宋_GB2312" w:hAnsi="宋体" w:eastAsia="仿宋_GB2312" w:cs="宋体"/>
                <w:color w:val="000000"/>
                <w:sz w:val="20"/>
                <w:szCs w:val="20"/>
                <w:lang w:val="en-US" w:eastAsia="zh-CN"/>
              </w:rPr>
              <w:t>10.4</w:t>
            </w:r>
          </w:p>
        </w:tc>
        <w:tc>
          <w:tcPr>
            <w:tcW w:w="466" w:type="dxa"/>
            <w:gridSpan w:val="2"/>
            <w:tcBorders>
              <w:top w:val="nil"/>
              <w:left w:val="nil"/>
              <w:bottom w:val="single" w:color="auto" w:sz="4" w:space="0"/>
              <w:right w:val="single" w:color="auto" w:sz="4" w:space="0"/>
            </w:tcBorders>
            <w:shd w:val="clear" w:color="000000" w:fill="FFFFFF"/>
            <w:vAlign w:val="center"/>
          </w:tcPr>
          <w:p>
            <w:pPr>
              <w:jc w:val="center"/>
              <w:rPr>
                <w:rFonts w:hint="eastAsia" w:ascii="仿宋_GB2312" w:eastAsia="仿宋_GB2312"/>
                <w:color w:val="000000"/>
                <w:sz w:val="20"/>
                <w:szCs w:val="20"/>
              </w:rPr>
            </w:pPr>
          </w:p>
        </w:tc>
        <w:tc>
          <w:tcPr>
            <w:tcW w:w="510"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hint="default" w:ascii="仿宋_GB2312" w:eastAsia="仿宋_GB2312"/>
                <w:color w:val="000000"/>
                <w:sz w:val="20"/>
                <w:szCs w:val="20"/>
                <w:lang w:val="en-US" w:eastAsia="zh-CN"/>
              </w:rPr>
            </w:pPr>
          </w:p>
        </w:tc>
        <w:tc>
          <w:tcPr>
            <w:tcW w:w="735" w:type="dxa"/>
            <w:gridSpan w:val="2"/>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30" w:type="dxa"/>
            <w:gridSpan w:val="2"/>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hint="default" w:ascii="仿宋_GB2312" w:hAnsi="宋体" w:eastAsia="仿宋_GB2312" w:cs="宋体"/>
                <w:color w:val="000000"/>
                <w:sz w:val="20"/>
                <w:szCs w:val="20"/>
                <w:lang w:val="en-US"/>
              </w:rPr>
            </w:pPr>
            <w:r>
              <w:rPr>
                <w:rFonts w:hint="eastAsia" w:ascii="仿宋_GB2312" w:eastAsia="仿宋_GB2312"/>
                <w:color w:val="000000"/>
                <w:sz w:val="20"/>
                <w:szCs w:val="20"/>
                <w:lang w:val="en-US" w:eastAsia="zh-CN"/>
              </w:rPr>
              <w:t>205</w:t>
            </w:r>
          </w:p>
        </w:tc>
        <w:tc>
          <w:tcPr>
            <w:tcW w:w="465" w:type="dxa"/>
            <w:tcBorders>
              <w:top w:val="nil"/>
              <w:left w:val="nil"/>
              <w:bottom w:val="single" w:color="auto" w:sz="4" w:space="0"/>
              <w:right w:val="single" w:color="auto" w:sz="4" w:space="0"/>
            </w:tcBorders>
            <w:shd w:val="clear" w:color="auto" w:fill="auto"/>
            <w:vAlign w:val="center"/>
          </w:tcPr>
          <w:p>
            <w:pPr>
              <w:jc w:val="left"/>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20"/>
                <w:szCs w:val="20"/>
                <w:lang w:val="en-US" w:eastAsia="zh-CN"/>
              </w:rPr>
              <w:t>02</w:t>
            </w: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普通教育</w:t>
            </w:r>
          </w:p>
        </w:tc>
        <w:tc>
          <w:tcPr>
            <w:tcW w:w="839"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10.4</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10.4</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hint="default" w:ascii="仿宋_GB2312" w:hAnsi="宋体" w:eastAsia="仿宋_GB2312" w:cs="宋体"/>
                <w:color w:val="000000"/>
                <w:sz w:val="20"/>
                <w:szCs w:val="20"/>
                <w:lang w:val="en-US"/>
              </w:rPr>
            </w:pPr>
            <w:r>
              <w:rPr>
                <w:rFonts w:hint="eastAsia" w:ascii="仿宋_GB2312" w:eastAsia="仿宋_GB2312"/>
                <w:color w:val="000000"/>
                <w:sz w:val="20"/>
                <w:szCs w:val="20"/>
                <w:lang w:val="en-US" w:eastAsia="zh-CN"/>
              </w:rPr>
              <w:t>205</w:t>
            </w:r>
          </w:p>
        </w:tc>
        <w:tc>
          <w:tcPr>
            <w:tcW w:w="465" w:type="dxa"/>
            <w:tcBorders>
              <w:top w:val="nil"/>
              <w:left w:val="nil"/>
              <w:bottom w:val="single" w:color="auto" w:sz="4" w:space="0"/>
              <w:right w:val="single" w:color="auto" w:sz="4" w:space="0"/>
            </w:tcBorders>
            <w:shd w:val="clear" w:color="auto" w:fill="auto"/>
            <w:vAlign w:val="center"/>
          </w:tcPr>
          <w:p>
            <w:pPr>
              <w:jc w:val="left"/>
              <w:rPr>
                <w:rFonts w:hint="default" w:ascii="仿宋_GB2312" w:hAnsi="宋体" w:eastAsia="仿宋_GB2312" w:cs="宋体"/>
                <w:color w:val="000000"/>
                <w:sz w:val="20"/>
                <w:szCs w:val="20"/>
                <w:lang w:val="en-US"/>
              </w:rPr>
            </w:pPr>
            <w:r>
              <w:rPr>
                <w:rFonts w:hint="eastAsia" w:ascii="仿宋_GB2312" w:hAnsi="宋体" w:eastAsia="仿宋_GB2312" w:cs="宋体"/>
                <w:color w:val="000000"/>
                <w:sz w:val="20"/>
                <w:szCs w:val="20"/>
                <w:lang w:val="en-US" w:eastAsia="zh-CN"/>
              </w:rPr>
              <w:t>02</w:t>
            </w: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11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学前教育</w:t>
            </w:r>
          </w:p>
        </w:tc>
        <w:tc>
          <w:tcPr>
            <w:tcW w:w="839"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10.4</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10.4</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农林水支出</w:t>
            </w:r>
          </w:p>
        </w:tc>
        <w:tc>
          <w:tcPr>
            <w:tcW w:w="839"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410.49</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410.49</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rPr>
              <w:t>　</w:t>
            </w:r>
            <w:r>
              <w:rPr>
                <w:rFonts w:hint="eastAsia" w:ascii="仿宋_GB2312" w:eastAsia="仿宋_GB2312"/>
                <w:color w:val="000000"/>
                <w:sz w:val="18"/>
                <w:szCs w:val="18"/>
                <w:lang w:eastAsia="zh-CN"/>
              </w:rPr>
              <w:t>农业农村</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410.49</w:t>
            </w: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410.49</w:t>
            </w: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10</w:t>
            </w: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rPr>
              <w:t>　</w:t>
            </w:r>
            <w:r>
              <w:rPr>
                <w:rFonts w:hint="eastAsia" w:ascii="仿宋_GB2312" w:eastAsia="仿宋_GB2312"/>
                <w:color w:val="000000"/>
                <w:sz w:val="18"/>
                <w:szCs w:val="18"/>
                <w:lang w:eastAsia="zh-CN"/>
              </w:rPr>
              <w:t>执法监管</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378.49</w:t>
            </w: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378.49</w:t>
            </w: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left"/>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213</w:t>
            </w: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01</w:t>
            </w: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left"/>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rPr>
              <w:t>　</w:t>
            </w:r>
            <w:r>
              <w:rPr>
                <w:rFonts w:hint="eastAsia" w:ascii="仿宋_GB2312" w:eastAsia="仿宋_GB2312"/>
                <w:color w:val="000000"/>
                <w:sz w:val="18"/>
                <w:szCs w:val="18"/>
                <w:lang w:eastAsia="zh-CN"/>
              </w:rPr>
              <w:t>其他农业农村支出</w:t>
            </w:r>
          </w:p>
        </w:tc>
        <w:tc>
          <w:tcPr>
            <w:tcW w:w="8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32</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3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r>
              <w:rPr>
                <w:rFonts w:hint="eastAsia" w:ascii="仿宋_GB2312" w:eastAsia="仿宋_GB2312"/>
                <w:color w:val="000000"/>
                <w:sz w:val="20"/>
                <w:szCs w:val="20"/>
              </w:rPr>
              <w:t>合计</w:t>
            </w:r>
          </w:p>
        </w:tc>
        <w:tc>
          <w:tcPr>
            <w:tcW w:w="83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420.89</w:t>
            </w:r>
          </w:p>
        </w:tc>
        <w:tc>
          <w:tcPr>
            <w:tcW w:w="9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r>
              <w:rPr>
                <w:rFonts w:hint="eastAsia" w:ascii="仿宋_GB2312" w:eastAsia="仿宋_GB2312"/>
                <w:color w:val="000000"/>
                <w:sz w:val="20"/>
                <w:szCs w:val="20"/>
                <w:lang w:val="en-US" w:eastAsia="zh-CN"/>
              </w:rPr>
              <w:t>420.89</w:t>
            </w:r>
          </w:p>
        </w:tc>
        <w:tc>
          <w:tcPr>
            <w:tcW w:w="46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p>
        </w:tc>
        <w:tc>
          <w:tcPr>
            <w:tcW w:w="73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outlineLvl w:val="1"/>
        <w:rPr>
          <w:rFonts w:ascii="仿宋_GB2312" w:hAnsi="宋体" w:eastAsia="仿宋_GB2312"/>
          <w:kern w:val="0"/>
          <w:sz w:val="24"/>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克孜勒苏柯尔克孜自治州农业综合行政执法支队              </w:t>
      </w:r>
      <w:r>
        <w:rPr>
          <w:rFonts w:hint="eastAsia" w:ascii="仿宋_GB2312" w:hAnsi="宋体" w:eastAsia="仿宋_GB2312"/>
          <w:kern w:val="0"/>
          <w:sz w:val="21"/>
          <w:szCs w:val="21"/>
        </w:rPr>
        <w:t xml:space="preserve">       单位：万元</w:t>
      </w:r>
    </w:p>
    <w:tbl>
      <w:tblPr>
        <w:tblStyle w:val="8"/>
        <w:tblW w:w="8510" w:type="dxa"/>
        <w:tblInd w:w="0" w:type="dxa"/>
        <w:shd w:val="clear" w:color="auto" w:fill="auto"/>
        <w:tblLayout w:type="fixed"/>
        <w:tblCellMar>
          <w:top w:w="0" w:type="dxa"/>
          <w:left w:w="0" w:type="dxa"/>
          <w:bottom w:w="0" w:type="dxa"/>
          <w:right w:w="0" w:type="dxa"/>
        </w:tblCellMar>
      </w:tblPr>
      <w:tblGrid>
        <w:gridCol w:w="563"/>
        <w:gridCol w:w="420"/>
        <w:gridCol w:w="420"/>
        <w:gridCol w:w="2115"/>
        <w:gridCol w:w="1665"/>
        <w:gridCol w:w="1785"/>
        <w:gridCol w:w="1542"/>
      </w:tblGrid>
      <w:tr>
        <w:tblPrEx>
          <w:shd w:val="clear" w:color="auto" w:fill="auto"/>
          <w:tblCellMar>
            <w:top w:w="0" w:type="dxa"/>
            <w:left w:w="0" w:type="dxa"/>
            <w:bottom w:w="0" w:type="dxa"/>
            <w:right w:w="0" w:type="dxa"/>
          </w:tblCellMar>
        </w:tblPrEx>
        <w:trPr>
          <w:trHeight w:val="635" w:hRule="atLeast"/>
        </w:trPr>
        <w:tc>
          <w:tcPr>
            <w:tcW w:w="1403"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项目</w:t>
            </w:r>
          </w:p>
        </w:tc>
        <w:tc>
          <w:tcPr>
            <w:tcW w:w="7107"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支出预算</w:t>
            </w:r>
          </w:p>
        </w:tc>
      </w:tr>
      <w:tr>
        <w:tblPrEx>
          <w:tblCellMar>
            <w:top w:w="0" w:type="dxa"/>
            <w:left w:w="0" w:type="dxa"/>
            <w:bottom w:w="0" w:type="dxa"/>
            <w:right w:w="0" w:type="dxa"/>
          </w:tblCellMar>
        </w:tblPrEx>
        <w:trPr>
          <w:trHeight w:val="659" w:hRule="atLeast"/>
        </w:trPr>
        <w:tc>
          <w:tcPr>
            <w:tcW w:w="1403" w:type="dxa"/>
            <w:gridSpan w:val="3"/>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功能分类科目编码</w:t>
            </w:r>
          </w:p>
        </w:tc>
        <w:tc>
          <w:tcPr>
            <w:tcW w:w="211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66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合      计</w:t>
            </w:r>
          </w:p>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p>
        </w:tc>
        <w:tc>
          <w:tcPr>
            <w:tcW w:w="178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基本支出</w:t>
            </w:r>
          </w:p>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p>
        </w:tc>
        <w:tc>
          <w:tcPr>
            <w:tcW w:w="1542"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项目支出</w:t>
            </w:r>
          </w:p>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w:t>
            </w:r>
          </w:p>
        </w:tc>
      </w:tr>
      <w:tr>
        <w:tblPrEx>
          <w:tblCellMar>
            <w:top w:w="0" w:type="dxa"/>
            <w:left w:w="0" w:type="dxa"/>
            <w:bottom w:w="0" w:type="dxa"/>
            <w:right w:w="0" w:type="dxa"/>
          </w:tblCellMar>
        </w:tblPrEx>
        <w:trPr>
          <w:trHeight w:val="2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类</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款</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项</w:t>
            </w:r>
          </w:p>
        </w:tc>
        <w:tc>
          <w:tcPr>
            <w:tcW w:w="211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66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78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542"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教育支出</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普通教育</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学前教育</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农林水支出</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410.49</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r>
      <w:tr>
        <w:tblPrEx>
          <w:tblCellMar>
            <w:top w:w="0" w:type="dxa"/>
            <w:left w:w="0" w:type="dxa"/>
            <w:bottom w:w="0" w:type="dxa"/>
            <w:right w:w="0" w:type="dxa"/>
          </w:tblCellMar>
        </w:tblPrEx>
        <w:trPr>
          <w:trHeight w:val="2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农业农村</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410.49</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4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1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合计</w:t>
            </w:r>
          </w:p>
        </w:tc>
        <w:tc>
          <w:tcPr>
            <w:tcW w:w="16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420.89</w:t>
            </w:r>
          </w:p>
        </w:tc>
        <w:tc>
          <w:tcPr>
            <w:tcW w:w="17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388.89</w:t>
            </w:r>
          </w:p>
        </w:tc>
        <w:tc>
          <w:tcPr>
            <w:tcW w:w="154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32</w:t>
            </w:r>
          </w:p>
        </w:tc>
      </w:tr>
    </w:tbl>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outlineLvl w:val="1"/>
        <w:rPr>
          <w:rFonts w:ascii="仿宋_GB2312" w:hAnsi="宋体" w:eastAsia="仿宋_GB2312"/>
          <w:kern w:val="0"/>
          <w:sz w:val="28"/>
          <w:szCs w:val="28"/>
        </w:rPr>
      </w:pPr>
      <w:r>
        <w:rPr>
          <w:rFonts w:hint="eastAsia" w:ascii="仿宋_GB2312" w:hAnsi="宋体" w:eastAsia="仿宋_GB2312"/>
          <w:kern w:val="0"/>
          <w:sz w:val="21"/>
          <w:szCs w:val="21"/>
        </w:rPr>
        <w:t>编制部门：</w:t>
      </w:r>
      <w:r>
        <w:rPr>
          <w:rFonts w:hint="eastAsia" w:ascii="仿宋_GB2312" w:hAnsi="宋体" w:eastAsia="仿宋_GB2312"/>
          <w:kern w:val="0"/>
          <w:sz w:val="21"/>
          <w:szCs w:val="21"/>
          <w:lang w:val="en-US" w:eastAsia="zh-CN"/>
        </w:rPr>
        <w:t xml:space="preserve">克孜勒苏柯尔克孜自治州农业综合行政执法支队             </w:t>
      </w:r>
      <w:r>
        <w:rPr>
          <w:rFonts w:hint="eastAsia" w:ascii="仿宋_GB2312" w:hAnsi="宋体" w:eastAsia="仿宋_GB2312"/>
          <w:kern w:val="0"/>
          <w:sz w:val="21"/>
          <w:szCs w:val="21"/>
        </w:rPr>
        <w:t xml:space="preserve">        单位：万元</w:t>
      </w:r>
    </w:p>
    <w:tbl>
      <w:tblPr>
        <w:tblStyle w:val="8"/>
        <w:tblW w:w="8963" w:type="dxa"/>
        <w:tblInd w:w="0" w:type="dxa"/>
        <w:shd w:val="clear" w:color="auto" w:fill="auto"/>
        <w:tblLayout w:type="fixed"/>
        <w:tblCellMar>
          <w:top w:w="0" w:type="dxa"/>
          <w:left w:w="0" w:type="dxa"/>
          <w:bottom w:w="0" w:type="dxa"/>
          <w:right w:w="0" w:type="dxa"/>
        </w:tblCellMar>
      </w:tblPr>
      <w:tblGrid>
        <w:gridCol w:w="2333"/>
        <w:gridCol w:w="990"/>
        <w:gridCol w:w="2430"/>
        <w:gridCol w:w="825"/>
        <w:gridCol w:w="765"/>
        <w:gridCol w:w="735"/>
        <w:gridCol w:w="885"/>
      </w:tblGrid>
      <w:tr>
        <w:tblPrEx>
          <w:shd w:val="clear" w:color="auto" w:fill="auto"/>
          <w:tblCellMar>
            <w:top w:w="0" w:type="dxa"/>
            <w:left w:w="0" w:type="dxa"/>
            <w:bottom w:w="0" w:type="dxa"/>
            <w:right w:w="0" w:type="dxa"/>
          </w:tblCellMar>
        </w:tblPrEx>
        <w:trPr>
          <w:trHeight w:val="350" w:hRule="atLeast"/>
        </w:trPr>
        <w:tc>
          <w:tcPr>
            <w:tcW w:w="332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财政拨款收入</w:t>
            </w:r>
          </w:p>
        </w:tc>
        <w:tc>
          <w:tcPr>
            <w:tcW w:w="564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财政拨款支出</w:t>
            </w:r>
          </w:p>
        </w:tc>
      </w:tr>
      <w:tr>
        <w:tblPrEx>
          <w:tblCellMar>
            <w:top w:w="0" w:type="dxa"/>
            <w:left w:w="0" w:type="dxa"/>
            <w:bottom w:w="0" w:type="dxa"/>
            <w:right w:w="0" w:type="dxa"/>
          </w:tblCellMar>
        </w:tblPrEx>
        <w:trPr>
          <w:trHeight w:val="615" w:hRule="atLeast"/>
        </w:trPr>
        <w:tc>
          <w:tcPr>
            <w:tcW w:w="2333"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lang w:eastAsia="zh-CN"/>
              </w:rPr>
            </w:pPr>
            <w:r>
              <w:rPr>
                <w:rFonts w:hint="eastAsia" w:ascii="宋体" w:hAnsi="宋体" w:cs="宋体"/>
                <w:i w:val="0"/>
                <w:color w:val="000000"/>
                <w:sz w:val="20"/>
                <w:szCs w:val="20"/>
                <w:u w:val="none"/>
                <w:lang w:eastAsia="zh-CN"/>
              </w:rPr>
              <w:t>项目</w:t>
            </w: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合计</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6"/>
                <w:szCs w:val="16"/>
                <w:u w:val="none"/>
                <w:lang w:val="en-US" w:eastAsia="zh-CN" w:bidi="ar"/>
              </w:rPr>
              <w:t>政府性基金预算</w:t>
            </w:r>
          </w:p>
        </w:tc>
        <w:tc>
          <w:tcPr>
            <w:tcW w:w="8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国有资本经营预算</w:t>
            </w:r>
          </w:p>
        </w:tc>
      </w:tr>
      <w:tr>
        <w:tblPrEx>
          <w:tblCellMar>
            <w:top w:w="0" w:type="dxa"/>
            <w:left w:w="0" w:type="dxa"/>
            <w:bottom w:w="0" w:type="dxa"/>
            <w:right w:w="0" w:type="dxa"/>
          </w:tblCellMar>
        </w:tblPrEx>
        <w:trPr>
          <w:trHeight w:val="30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一、财政拨款（补助）</w:t>
            </w: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420.89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 一般公共服务支出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3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一般公共预算</w:t>
            </w: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420.89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 外交支出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8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政府性基金预算</w:t>
            </w:r>
          </w:p>
        </w:tc>
        <w:tc>
          <w:tcPr>
            <w:tcW w:w="990"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 国防支出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0"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国有资本经营预算</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 公共安全支出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0"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 教育支出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10.40 </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10.40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90"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 科学技术支出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60"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207 文化旅游体育与传媒支出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 社会保障和就业支出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209 社会保险基金支出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 卫生健康支出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00"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rPr>
                <w:rFonts w:hint="eastAsia" w:ascii="宋体" w:hAnsi="宋体" w:eastAsia="宋体" w:cs="宋体"/>
                <w:i w:val="0"/>
                <w:color w:val="000000"/>
                <w:sz w:val="18"/>
                <w:szCs w:val="18"/>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211 节能环保支出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 城乡社区支出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5" w:hRule="atLeast"/>
        </w:trPr>
        <w:tc>
          <w:tcPr>
            <w:tcW w:w="233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 农林水支出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410.49 </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410.49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9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 交通运输支出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215 资源勘探工业信息等支出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 商业服务业等支出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3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217 金融支出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1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219 援助其他地区支出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8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220 自然资源海洋气象等支出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4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 住房保障支出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5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222 粮油物资管理支出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2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223 国有资本经营预算支出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2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224 灾害防治及应急管理支出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18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227 预备费</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2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229 其他支出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230 转移性支出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r>
      <w:tr>
        <w:tblPrEx>
          <w:tblCellMar>
            <w:top w:w="0" w:type="dxa"/>
            <w:left w:w="0" w:type="dxa"/>
            <w:bottom w:w="0" w:type="dxa"/>
            <w:right w:w="0" w:type="dxa"/>
          </w:tblCellMar>
        </w:tblPrEx>
        <w:trPr>
          <w:trHeight w:val="24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keepNext w:val="0"/>
              <w:keepLines w:val="0"/>
              <w:widowControl/>
              <w:suppressLineNumbers w:val="0"/>
              <w:jc w:val="lef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231 债务还本支出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85"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232 债务付息支出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27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233 债务发行费支出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990"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234 抗疫特别国债安排的支出</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360" w:hRule="atLeast"/>
        </w:trPr>
        <w:tc>
          <w:tcPr>
            <w:tcW w:w="2333" w:type="dxa"/>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6"/>
                <w:szCs w:val="16"/>
                <w:u w:val="none"/>
                <w:lang w:val="en-US" w:eastAsia="zh-CN" w:bidi="ar"/>
              </w:rPr>
              <w:t>收      入      总      计</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420.89 </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   出  总   计</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420.89 </w:t>
            </w:r>
          </w:p>
        </w:tc>
        <w:tc>
          <w:tcPr>
            <w:tcW w:w="76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420.89 </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5" w:type="dxa"/>
        <w:tblInd w:w="-34" w:type="dxa"/>
        <w:tblLayout w:type="fixed"/>
        <w:tblCellMar>
          <w:top w:w="0" w:type="dxa"/>
          <w:left w:w="108" w:type="dxa"/>
          <w:bottom w:w="0" w:type="dxa"/>
          <w:right w:w="108" w:type="dxa"/>
        </w:tblCellMar>
      </w:tblPr>
      <w:tblGrid>
        <w:gridCol w:w="127"/>
        <w:gridCol w:w="540"/>
        <w:gridCol w:w="540"/>
        <w:gridCol w:w="540"/>
        <w:gridCol w:w="2355"/>
        <w:gridCol w:w="1786"/>
        <w:gridCol w:w="14"/>
        <w:gridCol w:w="1650"/>
        <w:gridCol w:w="1650"/>
        <w:gridCol w:w="13"/>
      </w:tblGrid>
      <w:tr>
        <w:tblPrEx>
          <w:tblCellMar>
            <w:top w:w="0" w:type="dxa"/>
            <w:left w:w="108" w:type="dxa"/>
            <w:bottom w:w="0" w:type="dxa"/>
            <w:right w:w="108" w:type="dxa"/>
          </w:tblCellMar>
        </w:tblPrEx>
        <w:trPr>
          <w:trHeight w:val="450" w:hRule="atLeast"/>
        </w:trPr>
        <w:tc>
          <w:tcPr>
            <w:tcW w:w="9215" w:type="dxa"/>
            <w:gridSpan w:val="10"/>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8" w:type="dxa"/>
            <w:gridSpan w:val="6"/>
            <w:tcBorders>
              <w:top w:val="nil"/>
              <w:left w:val="nil"/>
              <w:bottom w:val="nil"/>
              <w:right w:val="nil"/>
            </w:tcBorders>
            <w:shd w:val="clear" w:color="auto" w:fill="auto"/>
            <w:vAlign w:val="center"/>
          </w:tcPr>
          <w:p>
            <w:pPr>
              <w:widowControl/>
              <w:jc w:val="left"/>
              <w:rPr>
                <w:rFonts w:hint="eastAsia"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rPr>
              <w:t>编制部门：</w:t>
            </w:r>
            <w:r>
              <w:rPr>
                <w:rFonts w:hint="eastAsia" w:ascii="仿宋_GB2312" w:hAnsi="宋体" w:eastAsia="仿宋_GB2312" w:cs="宋体"/>
                <w:color w:val="000000"/>
                <w:kern w:val="0"/>
                <w:sz w:val="22"/>
                <w:szCs w:val="22"/>
                <w:lang w:val="en-US" w:eastAsia="zh-CN"/>
              </w:rPr>
              <w:t>克孜勒苏柯尔克孜自治州农业综合行政执法支队</w:t>
            </w:r>
          </w:p>
        </w:tc>
        <w:tc>
          <w:tcPr>
            <w:tcW w:w="3327" w:type="dxa"/>
            <w:gridSpan w:val="4"/>
            <w:tcBorders>
              <w:top w:val="nil"/>
              <w:left w:val="nil"/>
              <w:bottom w:val="nil"/>
              <w:right w:val="nil"/>
            </w:tcBorders>
            <w:shd w:val="clear" w:color="auto" w:fill="auto"/>
            <w:vAlign w:val="center"/>
          </w:tcPr>
          <w:p>
            <w:pPr>
              <w:widowControl/>
              <w:jc w:val="center"/>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lang w:val="en-US" w:eastAsia="zh-CN"/>
              </w:rPr>
              <w:t xml:space="preserve">               </w:t>
            </w:r>
            <w:r>
              <w:rPr>
                <w:rFonts w:hint="eastAsia" w:ascii="仿宋_GB2312" w:hAnsi="宋体" w:eastAsia="仿宋_GB2312" w:cs="宋体"/>
                <w:color w:val="000000"/>
                <w:kern w:val="0"/>
                <w:sz w:val="22"/>
                <w:szCs w:val="22"/>
              </w:rPr>
              <w:t>单位：万元</w:t>
            </w:r>
          </w:p>
        </w:tc>
      </w:tr>
      <w:tr>
        <w:tblPrEx>
          <w:shd w:val="clear" w:color="auto" w:fill="auto"/>
          <w:tblCellMar>
            <w:top w:w="0" w:type="dxa"/>
            <w:left w:w="0" w:type="dxa"/>
            <w:bottom w:w="0" w:type="dxa"/>
            <w:right w:w="0" w:type="dxa"/>
          </w:tblCellMar>
        </w:tblPrEx>
        <w:trPr>
          <w:gridBefore w:val="1"/>
          <w:gridAfter w:val="1"/>
          <w:wBefore w:w="127" w:type="dxa"/>
          <w:wAfter w:w="13" w:type="dxa"/>
          <w:trHeight w:val="360" w:hRule="atLeast"/>
        </w:trPr>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项目</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0"/>
                <w:szCs w:val="20"/>
                <w:u w:val="none"/>
              </w:rPr>
            </w:pP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r>
      <w:tr>
        <w:tblPrEx>
          <w:shd w:val="clear" w:color="auto" w:fill="auto"/>
          <w:tblCellMar>
            <w:top w:w="0" w:type="dxa"/>
            <w:left w:w="0" w:type="dxa"/>
            <w:bottom w:w="0" w:type="dxa"/>
            <w:right w:w="0" w:type="dxa"/>
          </w:tblCellMar>
        </w:tblPrEx>
        <w:trPr>
          <w:gridBefore w:val="1"/>
          <w:gridAfter w:val="1"/>
          <w:wBefore w:w="127" w:type="dxa"/>
          <w:wAfter w:w="13" w:type="dxa"/>
          <w:trHeight w:val="659" w:hRule="atLeast"/>
        </w:trPr>
        <w:tc>
          <w:tcPr>
            <w:tcW w:w="162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18"/>
                <w:szCs w:val="18"/>
                <w:u w:val="none"/>
                <w:lang w:val="en-US" w:eastAsia="zh-CN" w:bidi="ar"/>
              </w:rPr>
              <w:t>功能分类科目编码</w:t>
            </w:r>
          </w:p>
        </w:tc>
        <w:tc>
          <w:tcPr>
            <w:tcW w:w="2355"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功能分类科目名称</w:t>
            </w:r>
          </w:p>
        </w:tc>
        <w:tc>
          <w:tcPr>
            <w:tcW w:w="1800" w:type="dxa"/>
            <w:gridSpan w:val="2"/>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65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基本支出</w:t>
            </w:r>
          </w:p>
        </w:tc>
        <w:tc>
          <w:tcPr>
            <w:tcW w:w="165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w:t>
            </w:r>
          </w:p>
        </w:tc>
      </w:tr>
      <w:tr>
        <w:tblPrEx>
          <w:shd w:val="clear" w:color="auto" w:fill="auto"/>
          <w:tblCellMar>
            <w:top w:w="0" w:type="dxa"/>
            <w:left w:w="0" w:type="dxa"/>
            <w:bottom w:w="0" w:type="dxa"/>
            <w:right w:w="0" w:type="dxa"/>
          </w:tblCellMar>
        </w:tblPrEx>
        <w:trPr>
          <w:gridBefore w:val="1"/>
          <w:gridAfter w:val="1"/>
          <w:wBefore w:w="127" w:type="dxa"/>
          <w:wAfter w:w="13" w:type="dxa"/>
          <w:trHeight w:val="289"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类</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款</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项</w:t>
            </w:r>
          </w:p>
        </w:tc>
        <w:tc>
          <w:tcPr>
            <w:tcW w:w="235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800" w:type="dxa"/>
            <w:gridSpan w:val="2"/>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65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65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39"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对个人和家庭的补助</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54"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其他对个人和家庭的补助</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2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学前教育</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4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商品和服务支出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410.49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r>
      <w:tr>
        <w:tblPrEx>
          <w:shd w:val="clear" w:color="auto" w:fill="auto"/>
          <w:tblCellMar>
            <w:top w:w="0" w:type="dxa"/>
            <w:left w:w="0" w:type="dxa"/>
            <w:bottom w:w="0" w:type="dxa"/>
            <w:right w:w="0" w:type="dxa"/>
          </w:tblCellMar>
        </w:tblPrEx>
        <w:trPr>
          <w:gridBefore w:val="1"/>
          <w:gridAfter w:val="1"/>
          <w:wBefore w:w="127" w:type="dxa"/>
          <w:wAfter w:w="13" w:type="dxa"/>
          <w:trHeight w:val="24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410.49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378.49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7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0.75</w:t>
            </w: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3.50</w:t>
            </w:r>
          </w:p>
        </w:tc>
      </w:tr>
      <w:tr>
        <w:tblPrEx>
          <w:shd w:val="clear" w:color="auto" w:fill="auto"/>
          <w:tblCellMar>
            <w:top w:w="0" w:type="dxa"/>
            <w:left w:w="0" w:type="dxa"/>
            <w:bottom w:w="0" w:type="dxa"/>
            <w:right w:w="0" w:type="dxa"/>
          </w:tblCellMar>
        </w:tblPrEx>
        <w:trPr>
          <w:gridBefore w:val="1"/>
          <w:gridAfter w:val="1"/>
          <w:wBefore w:w="127" w:type="dxa"/>
          <w:wAfter w:w="13" w:type="dxa"/>
          <w:trHeight w:val="30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9.54</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9.54</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146.35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146.35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0.95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38.77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38.77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16.15</w:t>
            </w:r>
          </w:p>
        </w:tc>
      </w:tr>
      <w:tr>
        <w:tblPrEx>
          <w:shd w:val="clear" w:color="auto" w:fill="auto"/>
          <w:tblCellMar>
            <w:top w:w="0" w:type="dxa"/>
            <w:left w:w="0" w:type="dxa"/>
            <w:bottom w:w="0" w:type="dxa"/>
            <w:right w:w="0" w:type="dxa"/>
          </w:tblCellMar>
        </w:tblPrEx>
        <w:trPr>
          <w:gridBefore w:val="1"/>
          <w:gridAfter w:val="1"/>
          <w:wBefore w:w="127" w:type="dxa"/>
          <w:wAfter w:w="13" w:type="dxa"/>
          <w:trHeight w:val="3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0.30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6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2.34</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2.34</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5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1.65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3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w:t>
            </w: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114.53</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114.53</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30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18.85</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7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7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4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7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0.60</w:t>
            </w: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3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27.72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27.72</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4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执法监管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2.97</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gridAfter w:val="1"/>
          <w:wBefore w:w="127" w:type="dxa"/>
          <w:wAfter w:w="13" w:type="dxa"/>
          <w:trHeight w:val="2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其他农业农村支出</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r>
      <w:tr>
        <w:tblPrEx>
          <w:shd w:val="clear" w:color="auto" w:fill="auto"/>
          <w:tblCellMar>
            <w:top w:w="0" w:type="dxa"/>
            <w:left w:w="0" w:type="dxa"/>
            <w:bottom w:w="0" w:type="dxa"/>
            <w:right w:w="0" w:type="dxa"/>
          </w:tblCellMar>
        </w:tblPrEx>
        <w:trPr>
          <w:gridBefore w:val="1"/>
          <w:gridAfter w:val="1"/>
          <w:wBefore w:w="127" w:type="dxa"/>
          <w:wAfter w:w="13" w:type="dxa"/>
          <w:trHeight w:val="33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合计</w:t>
            </w: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420.89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388.89</w:t>
            </w:r>
          </w:p>
        </w:tc>
        <w:tc>
          <w:tcPr>
            <w:tcW w:w="16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496" w:type="dxa"/>
        <w:tblInd w:w="-148" w:type="dxa"/>
        <w:tblLayout w:type="fixed"/>
        <w:tblCellMar>
          <w:top w:w="0" w:type="dxa"/>
          <w:left w:w="108" w:type="dxa"/>
          <w:bottom w:w="0" w:type="dxa"/>
          <w:right w:w="108" w:type="dxa"/>
        </w:tblCellMar>
      </w:tblPr>
      <w:tblGrid>
        <w:gridCol w:w="241"/>
        <w:gridCol w:w="900"/>
        <w:gridCol w:w="900"/>
        <w:gridCol w:w="2355"/>
        <w:gridCol w:w="1800"/>
        <w:gridCol w:w="807"/>
        <w:gridCol w:w="843"/>
        <w:gridCol w:w="1584"/>
        <w:gridCol w:w="66"/>
      </w:tblGrid>
      <w:tr>
        <w:tblPrEx>
          <w:tblCellMar>
            <w:top w:w="0" w:type="dxa"/>
            <w:left w:w="108" w:type="dxa"/>
            <w:bottom w:w="0" w:type="dxa"/>
            <w:right w:w="108" w:type="dxa"/>
          </w:tblCellMar>
        </w:tblPrEx>
        <w:trPr>
          <w:gridAfter w:val="1"/>
          <w:wAfter w:w="66" w:type="dxa"/>
          <w:trHeight w:val="375" w:hRule="atLeast"/>
        </w:trPr>
        <w:tc>
          <w:tcPr>
            <w:tcW w:w="9430"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gridAfter w:val="1"/>
          <w:wAfter w:w="66" w:type="dxa"/>
          <w:trHeight w:val="405" w:hRule="atLeast"/>
        </w:trPr>
        <w:tc>
          <w:tcPr>
            <w:tcW w:w="7003"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s="宋体"/>
                <w:color w:val="000000"/>
                <w:kern w:val="0"/>
                <w:sz w:val="24"/>
                <w:lang w:val="en-US" w:eastAsia="zh-CN"/>
              </w:rPr>
              <w:t>克孜勒苏柯尔克孜自治州农业综合行政执法支队</w:t>
            </w:r>
            <w:r>
              <w:rPr>
                <w:rFonts w:hint="eastAsia" w:ascii="仿宋_GB2312" w:hAnsi="宋体" w:eastAsia="仿宋_GB2312" w:cs="宋体"/>
                <w:color w:val="000000"/>
                <w:kern w:val="0"/>
                <w:sz w:val="24"/>
              </w:rPr>
              <w:t xml:space="preserve">         </w:t>
            </w:r>
          </w:p>
        </w:tc>
        <w:tc>
          <w:tcPr>
            <w:tcW w:w="2427"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shd w:val="clear" w:color="auto" w:fill="auto"/>
          <w:tblCellMar>
            <w:top w:w="0" w:type="dxa"/>
            <w:left w:w="0" w:type="dxa"/>
            <w:bottom w:w="0" w:type="dxa"/>
            <w:right w:w="0" w:type="dxa"/>
          </w:tblCellMar>
        </w:tblPrEx>
        <w:trPr>
          <w:gridBefore w:val="1"/>
          <w:wBefore w:w="241" w:type="dxa"/>
          <w:trHeight w:val="360" w:hRule="atLeast"/>
        </w:trPr>
        <w:tc>
          <w:tcPr>
            <w:tcW w:w="4155" w:type="dxa"/>
            <w:gridSpan w:val="3"/>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仿宋_GB2312" w:hAnsi="宋体" w:eastAsia="仿宋_GB2312" w:cs="宋体"/>
                <w:b/>
                <w:bCs/>
                <w:color w:val="000000"/>
                <w:kern w:val="0"/>
                <w:szCs w:val="21"/>
              </w:rPr>
              <w:t>项目</w:t>
            </w:r>
          </w:p>
        </w:tc>
        <w:tc>
          <w:tcPr>
            <w:tcW w:w="5100" w:type="dxa"/>
            <w:gridSpan w:val="5"/>
            <w:tcBorders>
              <w:top w:val="single" w:color="000000"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ind w:firstLine="1200" w:firstLineChars="600"/>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一般公共预算支出</w:t>
            </w:r>
          </w:p>
        </w:tc>
      </w:tr>
      <w:tr>
        <w:tblPrEx>
          <w:shd w:val="clear" w:color="auto" w:fill="auto"/>
          <w:tblCellMar>
            <w:top w:w="0" w:type="dxa"/>
            <w:left w:w="0" w:type="dxa"/>
            <w:bottom w:w="0" w:type="dxa"/>
            <w:right w:w="0" w:type="dxa"/>
          </w:tblCellMar>
        </w:tblPrEx>
        <w:trPr>
          <w:gridBefore w:val="1"/>
          <w:wBefore w:w="241" w:type="dxa"/>
          <w:trHeight w:val="655" w:hRule="atLeast"/>
        </w:trPr>
        <w:tc>
          <w:tcPr>
            <w:tcW w:w="1800" w:type="dxa"/>
            <w:gridSpan w:val="2"/>
            <w:tcBorders>
              <w:top w:val="single" w:color="auto" w:sz="4" w:space="0"/>
              <w:left w:val="single" w:color="000000" w:sz="4" w:space="0"/>
              <w:bottom w:val="single" w:color="auto" w:sz="4" w:space="0"/>
              <w:right w:val="single" w:color="000000" w:sz="4" w:space="0"/>
            </w:tcBorders>
            <w:shd w:val="clear" w:color="auto" w:fill="auto"/>
            <w:noWrap/>
            <w:tcMar>
              <w:top w:w="15" w:type="dxa"/>
              <w:left w:w="15" w:type="dxa"/>
              <w:right w:w="15" w:type="dxa"/>
            </w:tcMar>
            <w:vAlign w:val="center"/>
          </w:tcPr>
          <w:p>
            <w:pPr>
              <w:jc w:val="both"/>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经济分类科目编码</w:t>
            </w:r>
          </w:p>
        </w:tc>
        <w:tc>
          <w:tcPr>
            <w:tcW w:w="2355" w:type="dxa"/>
            <w:vMerge w:val="restart"/>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经济分类科目名称</w:t>
            </w:r>
          </w:p>
        </w:tc>
        <w:tc>
          <w:tcPr>
            <w:tcW w:w="1800" w:type="dxa"/>
            <w:vMerge w:val="restart"/>
            <w:tcBorders>
              <w:top w:val="single" w:color="auto" w:sz="4" w:space="0"/>
              <w:left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小计</w:t>
            </w:r>
          </w:p>
        </w:tc>
        <w:tc>
          <w:tcPr>
            <w:tcW w:w="1650" w:type="dxa"/>
            <w:gridSpan w:val="2"/>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人员经费</w:t>
            </w:r>
          </w:p>
        </w:tc>
        <w:tc>
          <w:tcPr>
            <w:tcW w:w="1650" w:type="dxa"/>
            <w:gridSpan w:val="2"/>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公用经费</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auto"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类</w:t>
            </w:r>
          </w:p>
        </w:tc>
        <w:tc>
          <w:tcPr>
            <w:tcW w:w="900" w:type="dxa"/>
            <w:tcBorders>
              <w:top w:val="single" w:color="auto"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20"/>
                <w:szCs w:val="20"/>
                <w:u w:val="none"/>
                <w:lang w:val="en-US" w:eastAsia="zh-CN" w:bidi="ar"/>
              </w:rPr>
              <w:t>款</w:t>
            </w:r>
          </w:p>
        </w:tc>
        <w:tc>
          <w:tcPr>
            <w:tcW w:w="2355" w:type="dxa"/>
            <w:vMerge w:val="continue"/>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800" w:type="dxa"/>
            <w:vMerge w:val="continue"/>
            <w:tcBorders>
              <w:top w:val="single" w:color="auto"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650" w:type="dxa"/>
            <w:gridSpan w:val="2"/>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c>
          <w:tcPr>
            <w:tcW w:w="1650" w:type="dxa"/>
            <w:gridSpan w:val="2"/>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基本工资</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114.53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114.53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津贴补贴</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146.35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146.35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9.54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9.54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45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38.77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38.77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其他社会保障缴费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18.85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18.85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301</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住房公积金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27.72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27.72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2.00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2.00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0.40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0.40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0.30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0.30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电费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07</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邮电费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1.50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1.50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取暖费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2.34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2.34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差旅费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维修(护)费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2.00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2.00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维修(护)费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0.50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0.50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劳务费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3.60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3.60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工会经费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1.65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1.65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福利费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2.97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2.97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3.50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3.50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公务用车运行维护费</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办公用品及设备采购</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0.95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0.95 </w:t>
            </w: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办公用品及设备采购</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302</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其他商品和服务支出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奖励金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0.02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0.02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303</w:t>
            </w: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99</w:t>
            </w: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其他对个人和家庭的补助</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10.40 </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10.40 </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r>
      <w:tr>
        <w:tblPrEx>
          <w:shd w:val="clear" w:color="auto" w:fill="auto"/>
          <w:tblCellMar>
            <w:top w:w="0" w:type="dxa"/>
            <w:left w:w="0" w:type="dxa"/>
            <w:bottom w:w="0" w:type="dxa"/>
            <w:right w:w="0" w:type="dxa"/>
          </w:tblCellMar>
        </w:tblPrEx>
        <w:trPr>
          <w:gridBefore w:val="1"/>
          <w:wBefore w:w="241" w:type="dxa"/>
          <w:trHeight w:val="240" w:hRule="atLeast"/>
        </w:trPr>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900" w:type="dxa"/>
            <w:tcBorders>
              <w:top w:val="single" w:color="000000" w:sz="4" w:space="0"/>
              <w:left w:val="single" w:color="000000" w:sz="4" w:space="0"/>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23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cs="宋体"/>
                <w:i w:val="0"/>
                <w:color w:val="000000"/>
                <w:kern w:val="0"/>
                <w:sz w:val="18"/>
                <w:szCs w:val="18"/>
                <w:u w:val="none"/>
                <w:lang w:val="en-US" w:eastAsia="zh-CN" w:bidi="ar"/>
              </w:rPr>
              <w:t>合计</w:t>
            </w:r>
          </w:p>
        </w:tc>
        <w:tc>
          <w:tcPr>
            <w:tcW w:w="18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tabs>
                <w:tab w:val="left" w:pos="533"/>
              </w:tabs>
              <w:jc w:val="lef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ab/>
            </w:r>
            <w:r>
              <w:rPr>
                <w:rFonts w:hint="eastAsia" w:ascii="宋体" w:hAnsi="宋体" w:cs="宋体"/>
                <w:i w:val="0"/>
                <w:color w:val="000000"/>
                <w:kern w:val="0"/>
                <w:sz w:val="20"/>
                <w:szCs w:val="20"/>
                <w:u w:val="none"/>
                <w:lang w:val="en-US" w:eastAsia="zh-CN" w:bidi="ar"/>
              </w:rPr>
              <w:t>388.89</w:t>
            </w:r>
          </w:p>
        </w:tc>
        <w:tc>
          <w:tcPr>
            <w:tcW w:w="1650" w:type="dxa"/>
            <w:gridSpan w:val="2"/>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366.18</w:t>
            </w: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default" w:ascii="宋体" w:hAnsi="宋体" w:eastAsia="宋体" w:cs="宋体"/>
                <w:i w:val="0"/>
                <w:color w:val="000000"/>
                <w:sz w:val="20"/>
                <w:szCs w:val="20"/>
                <w:u w:val="none"/>
                <w:lang w:val="en-US" w:eastAsia="zh-CN"/>
              </w:rPr>
            </w:pPr>
            <w:r>
              <w:rPr>
                <w:rFonts w:hint="eastAsia" w:ascii="宋体" w:hAnsi="宋体" w:cs="宋体"/>
                <w:i w:val="0"/>
                <w:color w:val="000000"/>
                <w:sz w:val="20"/>
                <w:szCs w:val="20"/>
                <w:u w:val="none"/>
                <w:lang w:val="en-US" w:eastAsia="zh-CN"/>
              </w:rPr>
              <w:t>22.7</w:t>
            </w:r>
          </w:p>
        </w:tc>
      </w:tr>
    </w:tbl>
    <w:p>
      <w:pPr>
        <w:widowControl/>
        <w:outlineLvl w:val="1"/>
        <w:rPr>
          <w:rFonts w:ascii="仿宋_GB2312" w:hAnsi="宋体" w:eastAsia="仿宋_GB2312"/>
          <w:b/>
          <w:kern w:val="0"/>
          <w:sz w:val="28"/>
          <w:szCs w:val="32"/>
        </w:rPr>
      </w:pPr>
    </w:p>
    <w:p>
      <w:pPr>
        <w:pStyle w:val="2"/>
        <w:rPr>
          <w:rFonts w:ascii="仿宋_GB2312" w:hAnsi="宋体" w:eastAsia="仿宋_GB2312"/>
          <w:b/>
          <w:kern w:val="0"/>
          <w:sz w:val="28"/>
          <w:szCs w:val="32"/>
        </w:rPr>
      </w:pPr>
    </w:p>
    <w:p>
      <w:pPr>
        <w:rPr>
          <w:rFonts w:ascii="仿宋_GB2312" w:hAnsi="宋体" w:eastAsia="仿宋_GB2312"/>
          <w:b/>
          <w:kern w:val="0"/>
          <w:sz w:val="28"/>
          <w:szCs w:val="32"/>
        </w:rPr>
      </w:pPr>
    </w:p>
    <w:p>
      <w:pPr>
        <w:pStyle w:val="2"/>
        <w:rPr>
          <w:rFonts w:ascii="仿宋_GB2312" w:hAnsi="宋体" w:eastAsia="仿宋_GB2312"/>
          <w:b/>
          <w:kern w:val="0"/>
          <w:sz w:val="28"/>
          <w:szCs w:val="32"/>
        </w:rPr>
      </w:pPr>
    </w:p>
    <w:p>
      <w:pPr>
        <w:rPr>
          <w:rFonts w:ascii="仿宋_GB2312" w:hAnsi="宋体" w:eastAsia="仿宋_GB2312"/>
          <w:b/>
          <w:kern w:val="0"/>
          <w:sz w:val="28"/>
          <w:szCs w:val="32"/>
        </w:rPr>
      </w:pPr>
    </w:p>
    <w:p>
      <w:pPr>
        <w:pStyle w:val="2"/>
        <w:rPr>
          <w:rFonts w:ascii="仿宋_GB2312" w:hAnsi="宋体" w:eastAsia="仿宋_GB2312"/>
          <w:b/>
          <w:kern w:val="0"/>
          <w:sz w:val="28"/>
          <w:szCs w:val="32"/>
        </w:rPr>
      </w:pPr>
    </w:p>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10840" w:type="dxa"/>
        <w:tblInd w:w="-352" w:type="dxa"/>
        <w:tblLayout w:type="fixed"/>
        <w:tblCellMar>
          <w:top w:w="0" w:type="dxa"/>
          <w:left w:w="108" w:type="dxa"/>
          <w:bottom w:w="0" w:type="dxa"/>
          <w:right w:w="108" w:type="dxa"/>
        </w:tblCellMar>
      </w:tblPr>
      <w:tblGrid>
        <w:gridCol w:w="7114"/>
        <w:gridCol w:w="2426"/>
      </w:tblGrid>
      <w:tr>
        <w:tblPrEx>
          <w:tblCellMar>
            <w:top w:w="0" w:type="dxa"/>
            <w:left w:w="108" w:type="dxa"/>
            <w:bottom w:w="0" w:type="dxa"/>
            <w:right w:w="108" w:type="dxa"/>
          </w:tblCellMar>
        </w:tblPrEx>
        <w:trPr>
          <w:trHeight w:val="375" w:hRule="atLeast"/>
        </w:trPr>
        <w:tc>
          <w:tcPr>
            <w:tcW w:w="9540" w:type="dxa"/>
            <w:gridSpan w:val="2"/>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trHeight w:val="405" w:hRule="atLeast"/>
        </w:trPr>
        <w:tc>
          <w:tcPr>
            <w:tcW w:w="7114"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编制部门： </w:t>
            </w:r>
            <w:r>
              <w:rPr>
                <w:rFonts w:hint="eastAsia" w:ascii="仿宋_GB2312" w:hAnsi="宋体" w:eastAsia="仿宋_GB2312" w:cs="宋体"/>
                <w:color w:val="000000"/>
                <w:kern w:val="0"/>
                <w:sz w:val="24"/>
                <w:lang w:val="en-US" w:eastAsia="zh-CN"/>
              </w:rPr>
              <w:t>克孜勒苏柯尔克孜自治州农业综合行政执法支队</w:t>
            </w:r>
            <w:r>
              <w:rPr>
                <w:rFonts w:hint="eastAsia" w:ascii="仿宋_GB2312" w:hAnsi="宋体" w:eastAsia="仿宋_GB2312" w:cs="宋体"/>
                <w:color w:val="000000"/>
                <w:kern w:val="0"/>
                <w:sz w:val="24"/>
              </w:rPr>
              <w:t xml:space="preserve">     </w:t>
            </w:r>
          </w:p>
        </w:tc>
        <w:tc>
          <w:tcPr>
            <w:tcW w:w="2426" w:type="dxa"/>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bl>
    <w:tbl>
      <w:tblPr>
        <w:tblStyle w:val="8"/>
        <w:tblpPr w:leftFromText="180" w:rightFromText="180" w:vertAnchor="text" w:horzAnchor="page" w:tblpX="972" w:tblpY="438"/>
        <w:tblOverlap w:val="never"/>
        <w:tblW w:w="9550" w:type="dxa"/>
        <w:tblInd w:w="0" w:type="dxa"/>
        <w:shd w:val="clear" w:color="auto" w:fill="auto"/>
        <w:tblLayout w:type="fixed"/>
        <w:tblCellMar>
          <w:top w:w="0" w:type="dxa"/>
          <w:left w:w="0" w:type="dxa"/>
          <w:bottom w:w="0" w:type="dxa"/>
          <w:right w:w="0" w:type="dxa"/>
        </w:tblCellMar>
      </w:tblPr>
      <w:tblGrid>
        <w:gridCol w:w="420"/>
        <w:gridCol w:w="420"/>
        <w:gridCol w:w="420"/>
        <w:gridCol w:w="1110"/>
        <w:gridCol w:w="960"/>
        <w:gridCol w:w="750"/>
        <w:gridCol w:w="428"/>
        <w:gridCol w:w="615"/>
        <w:gridCol w:w="570"/>
        <w:gridCol w:w="645"/>
        <w:gridCol w:w="450"/>
        <w:gridCol w:w="525"/>
        <w:gridCol w:w="525"/>
        <w:gridCol w:w="585"/>
        <w:gridCol w:w="540"/>
        <w:gridCol w:w="587"/>
      </w:tblGrid>
      <w:tr>
        <w:tblPrEx>
          <w:shd w:val="clear" w:color="auto" w:fill="auto"/>
          <w:tblCellMar>
            <w:top w:w="0" w:type="dxa"/>
            <w:left w:w="0" w:type="dxa"/>
            <w:bottom w:w="0" w:type="dxa"/>
            <w:right w:w="0" w:type="dxa"/>
          </w:tblCellMar>
        </w:tblPrEx>
        <w:trPr>
          <w:trHeight w:val="960" w:hRule="atLeast"/>
        </w:trPr>
        <w:tc>
          <w:tcPr>
            <w:tcW w:w="126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科目编码</w:t>
            </w:r>
          </w:p>
        </w:tc>
        <w:tc>
          <w:tcPr>
            <w:tcW w:w="111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科目</w:t>
            </w:r>
          </w:p>
        </w:tc>
        <w:tc>
          <w:tcPr>
            <w:tcW w:w="96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项目支出合计</w:t>
            </w:r>
          </w:p>
        </w:tc>
        <w:tc>
          <w:tcPr>
            <w:tcW w:w="42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工资福利支出</w:t>
            </w:r>
          </w:p>
        </w:tc>
        <w:tc>
          <w:tcPr>
            <w:tcW w:w="61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商品和服务支出</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对个人和家庭的补助</w:t>
            </w:r>
          </w:p>
        </w:tc>
        <w:tc>
          <w:tcPr>
            <w:tcW w:w="64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债务利息及费用支出</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资本性支出(基本建设)</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资本性支出</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对企业补助(基本建设)</w:t>
            </w:r>
          </w:p>
        </w:tc>
        <w:tc>
          <w:tcPr>
            <w:tcW w:w="58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对企业补助</w:t>
            </w:r>
          </w:p>
        </w:tc>
        <w:tc>
          <w:tcPr>
            <w:tcW w:w="5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对社会保障基金补助</w:t>
            </w:r>
          </w:p>
        </w:tc>
        <w:tc>
          <w:tcPr>
            <w:tcW w:w="5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其他支出</w:t>
            </w:r>
          </w:p>
        </w:tc>
      </w:tr>
      <w:tr>
        <w:tblPrEx>
          <w:tblCellMar>
            <w:top w:w="0" w:type="dxa"/>
            <w:left w:w="0" w:type="dxa"/>
            <w:bottom w:w="0" w:type="dxa"/>
            <w:right w:w="0" w:type="dxa"/>
          </w:tblCellMar>
        </w:tblPrEx>
        <w:trPr>
          <w:trHeight w:val="360" w:hRule="atLeast"/>
        </w:trPr>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类</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款</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6"/>
                <w:szCs w:val="16"/>
                <w:u w:val="none"/>
              </w:rPr>
            </w:pPr>
            <w:r>
              <w:rPr>
                <w:rFonts w:hint="eastAsia" w:ascii="宋体" w:hAnsi="宋体" w:eastAsia="宋体" w:cs="宋体"/>
                <w:i w:val="0"/>
                <w:color w:val="000000"/>
                <w:kern w:val="0"/>
                <w:sz w:val="16"/>
                <w:szCs w:val="16"/>
                <w:u w:val="none"/>
                <w:lang w:val="en-US" w:eastAsia="zh-CN" w:bidi="ar"/>
              </w:rPr>
              <w:t>项</w:t>
            </w: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707" w:hRule="atLeast"/>
        </w:trPr>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96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6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农林水支出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农业农村</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其他农业农村支出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农业综合执法运行经费</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22.00</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9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其他农业农村支出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执法装备建设项目</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59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w:t>
            </w: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w:t>
            </w: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其他农业农村支出</w:t>
            </w: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罚没有毒有害物品处置经费</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3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default" w:ascii="宋体" w:hAnsi="宋体" w:eastAsia="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5"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410" w:hRule="atLeast"/>
        </w:trPr>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kern w:val="0"/>
                <w:sz w:val="20"/>
                <w:szCs w:val="20"/>
                <w:u w:val="none"/>
                <w:lang w:val="en-US" w:eastAsia="zh-CN" w:bidi="ar"/>
              </w:rPr>
            </w:pPr>
          </w:p>
        </w:tc>
        <w:tc>
          <w:tcPr>
            <w:tcW w:w="11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p>
        </w:tc>
        <w:tc>
          <w:tcPr>
            <w:tcW w:w="9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合计</w:t>
            </w:r>
          </w:p>
        </w:tc>
        <w:tc>
          <w:tcPr>
            <w:tcW w:w="7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32</w:t>
            </w:r>
          </w:p>
        </w:tc>
        <w:tc>
          <w:tcPr>
            <w:tcW w:w="4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20"/>
                <w:szCs w:val="20"/>
                <w:u w:val="none"/>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4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58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lang w:val="en-US" w:eastAsia="zh-CN"/>
        </w:rPr>
        <w:t xml:space="preserve">克孜勒苏柯尔克孜自治州农业综合行政执法支队     </w:t>
      </w:r>
      <w:r>
        <w:rPr>
          <w:rFonts w:hint="eastAsia" w:ascii="仿宋_GB2312" w:hAnsi="宋体" w:eastAsia="仿宋_GB2312"/>
          <w:kern w:val="0"/>
          <w:sz w:val="24"/>
        </w:rPr>
        <w:t xml:space="preserve">  单位：万元</w:t>
      </w:r>
    </w:p>
    <w:tbl>
      <w:tblPr>
        <w:tblStyle w:val="8"/>
        <w:tblW w:w="8273" w:type="dxa"/>
        <w:tblInd w:w="0" w:type="dxa"/>
        <w:shd w:val="clear" w:color="auto" w:fill="auto"/>
        <w:tblLayout w:type="autofit"/>
        <w:tblCellMar>
          <w:top w:w="0" w:type="dxa"/>
          <w:left w:w="0" w:type="dxa"/>
          <w:bottom w:w="0" w:type="dxa"/>
          <w:right w:w="0" w:type="dxa"/>
        </w:tblCellMar>
      </w:tblPr>
      <w:tblGrid>
        <w:gridCol w:w="1290"/>
        <w:gridCol w:w="1290"/>
        <w:gridCol w:w="1290"/>
        <w:gridCol w:w="2228"/>
        <w:gridCol w:w="1170"/>
        <w:gridCol w:w="1005"/>
      </w:tblGrid>
      <w:tr>
        <w:tblPrEx>
          <w:shd w:val="clear" w:color="auto" w:fill="auto"/>
          <w:tblCellMar>
            <w:top w:w="0" w:type="dxa"/>
            <w:left w:w="0" w:type="dxa"/>
            <w:bottom w:w="0" w:type="dxa"/>
            <w:right w:w="0" w:type="dxa"/>
          </w:tblCellMar>
        </w:tblPrEx>
        <w:trPr>
          <w:trHeight w:val="690" w:hRule="atLeast"/>
        </w:trPr>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合计</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因公出国(境)费用</w:t>
            </w:r>
          </w:p>
        </w:tc>
        <w:tc>
          <w:tcPr>
            <w:tcW w:w="129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小计</w:t>
            </w:r>
          </w:p>
        </w:tc>
        <w:tc>
          <w:tcPr>
            <w:tcW w:w="2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公务用车购置及运行费</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both"/>
              <w:rPr>
                <w:rFonts w:hint="eastAsia" w:ascii="宋体" w:hAnsi="宋体" w:eastAsia="宋体" w:cs="宋体"/>
                <w:i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公务接待费</w:t>
            </w:r>
          </w:p>
        </w:tc>
      </w:tr>
      <w:tr>
        <w:tblPrEx>
          <w:tblCellMar>
            <w:top w:w="0" w:type="dxa"/>
            <w:left w:w="0" w:type="dxa"/>
            <w:bottom w:w="0" w:type="dxa"/>
            <w:right w:w="0" w:type="dxa"/>
          </w:tblCellMar>
        </w:tblPrEx>
        <w:trPr>
          <w:trHeight w:val="716" w:hRule="atLeast"/>
        </w:trPr>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公务用车购置费</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公务用车运行费</w:t>
            </w: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23"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7.50</w:t>
            </w: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c>
          <w:tcPr>
            <w:tcW w:w="2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7.00</w:t>
            </w: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0.50</w:t>
            </w:r>
          </w:p>
        </w:tc>
      </w:tr>
      <w:tr>
        <w:tblPrEx>
          <w:tblCellMar>
            <w:top w:w="0" w:type="dxa"/>
            <w:left w:w="0" w:type="dxa"/>
            <w:bottom w:w="0" w:type="dxa"/>
            <w:right w:w="0" w:type="dxa"/>
          </w:tblCellMar>
        </w:tblPrEx>
        <w:trPr>
          <w:trHeight w:val="738"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r>
      <w:tr>
        <w:tblPrEx>
          <w:tblCellMar>
            <w:top w:w="0" w:type="dxa"/>
            <w:left w:w="0" w:type="dxa"/>
            <w:bottom w:w="0" w:type="dxa"/>
            <w:right w:w="0" w:type="dxa"/>
          </w:tblCellMar>
        </w:tblPrEx>
        <w:trPr>
          <w:trHeight w:val="728" w:hRule="atLeast"/>
        </w:trPr>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2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22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cs="宋体"/>
          <w:color w:val="000000"/>
          <w:kern w:val="0"/>
          <w:sz w:val="24"/>
          <w:lang w:val="en-US" w:eastAsia="zh-CN"/>
        </w:rPr>
        <w:t>克孜勒苏柯尔克孜自治州农业综合行政执法支队</w:t>
      </w:r>
      <w:r>
        <w:rPr>
          <w:rFonts w:hint="eastAsia" w:ascii="仿宋_GB2312" w:hAnsi="宋体" w:eastAsia="仿宋_GB2312"/>
          <w:kern w:val="0"/>
          <w:sz w:val="24"/>
        </w:rPr>
        <w:t xml:space="preserve">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63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52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bCs w:val="0"/>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bCs w:val="0"/>
          <w:kern w:val="0"/>
          <w:sz w:val="28"/>
          <w:szCs w:val="32"/>
        </w:rPr>
        <w:t>：</w:t>
      </w:r>
      <w:r>
        <w:rPr>
          <w:rFonts w:hint="eastAsia" w:ascii="仿宋_GB2312" w:hAnsi="宋体" w:eastAsia="仿宋_GB2312" w:cs="宋体"/>
          <w:b/>
          <w:bCs w:val="0"/>
          <w:kern w:val="0"/>
          <w:sz w:val="28"/>
          <w:szCs w:val="28"/>
          <w:lang w:eastAsia="zh-CN"/>
        </w:rPr>
        <w:t>克孜勒苏柯尔克孜自治州农业综合行政执法支队2021</w:t>
      </w:r>
      <w:r>
        <w:rPr>
          <w:rFonts w:hint="eastAsia" w:ascii="仿宋_GB2312" w:hAnsi="宋体" w:eastAsia="仿宋_GB2312" w:cs="宋体"/>
          <w:b/>
          <w:bCs w:val="0"/>
          <w:kern w:val="0"/>
          <w:sz w:val="28"/>
          <w:szCs w:val="28"/>
        </w:rPr>
        <w:t>年没有使用政府性基金预算拨款安排的支出，</w:t>
      </w:r>
      <w:r>
        <w:rPr>
          <w:rFonts w:hint="eastAsia" w:ascii="仿宋_GB2312" w:hAnsi="宋体" w:eastAsia="仿宋_GB2312" w:cs="宋体"/>
          <w:b/>
          <w:bCs w:val="0"/>
          <w:kern w:val="0"/>
          <w:sz w:val="28"/>
          <w:szCs w:val="28"/>
          <w:lang w:eastAsia="zh-CN"/>
        </w:rPr>
        <w:t>故此</w:t>
      </w:r>
      <w:r>
        <w:rPr>
          <w:rFonts w:hint="eastAsia" w:ascii="仿宋_GB2312" w:hAnsi="宋体" w:eastAsia="仿宋_GB2312" w:cs="宋体"/>
          <w:b/>
          <w:bCs w:val="0"/>
          <w:kern w:val="0"/>
          <w:sz w:val="28"/>
          <w:szCs w:val="28"/>
        </w:rPr>
        <w:t>表为空表。</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1814" w:right="1418" w:bottom="1701"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2021</w:t>
      </w:r>
      <w:r>
        <w:rPr>
          <w:rFonts w:hint="eastAsia" w:ascii="黑体" w:hAnsi="黑体" w:eastAsia="黑体"/>
          <w:kern w:val="0"/>
          <w:sz w:val="32"/>
          <w:szCs w:val="32"/>
        </w:rPr>
        <w:t>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克孜勒苏柯尔克孜自治州农业综合行政执法支队2021</w:t>
      </w:r>
      <w:r>
        <w:rPr>
          <w:rFonts w:hint="eastAsia" w:ascii="仿宋_GB2312" w:hAnsi="宋体" w:eastAsia="仿宋_GB2312" w:cs="宋体"/>
          <w:kern w:val="0"/>
          <w:sz w:val="32"/>
          <w:szCs w:val="32"/>
        </w:rPr>
        <w:t>年所有收入和支出均纳入部门预算管理。收支总预算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val="en-US" w:eastAsia="zh-CN"/>
        </w:rPr>
        <w:t>410.49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val="en-US" w:eastAsia="zh-CN"/>
        </w:rPr>
        <w:t>,教育支出10.4万元。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万元，其中：</w:t>
      </w:r>
    </w:p>
    <w:p>
      <w:pPr>
        <w:ind w:firstLine="800" w:firstLineChars="25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color w:val="auto"/>
          <w:kern w:val="0"/>
          <w:sz w:val="32"/>
          <w:szCs w:val="32"/>
        </w:rPr>
        <w:t>增</w:t>
      </w:r>
      <w:r>
        <w:rPr>
          <w:rFonts w:hint="eastAsia" w:ascii="仿宋_GB2312" w:hAnsi="宋体" w:eastAsia="仿宋_GB2312" w:cs="宋体"/>
          <w:kern w:val="0"/>
          <w:sz w:val="32"/>
          <w:szCs w:val="32"/>
        </w:rPr>
        <w:t>加</w:t>
      </w:r>
      <w:r>
        <w:rPr>
          <w:rFonts w:hint="eastAsia" w:ascii="仿宋_GB2312" w:hAnsi="宋体" w:eastAsia="仿宋_GB2312" w:cs="宋体"/>
          <w:kern w:val="0"/>
          <w:sz w:val="32"/>
          <w:szCs w:val="32"/>
          <w:lang w:val="en-US" w:eastAsia="zh-CN"/>
        </w:rPr>
        <w:t>151.69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highlight w:val="none"/>
          <w:u w:val="none"/>
        </w:rPr>
        <w:t>主要原因是</w:t>
      </w:r>
      <w:r>
        <w:rPr>
          <w:rFonts w:hint="eastAsia" w:ascii="仿宋_GB2312" w:hAnsi="宋体" w:eastAsia="仿宋_GB2312" w:cs="宋体"/>
          <w:kern w:val="0"/>
          <w:sz w:val="32"/>
          <w:szCs w:val="32"/>
          <w:highlight w:val="none"/>
          <w:u w:val="none"/>
          <w:lang w:eastAsia="zh-CN"/>
        </w:rPr>
        <w:t>：</w:t>
      </w:r>
      <w:r>
        <w:rPr>
          <w:rFonts w:hint="eastAsia" w:ascii="仿宋" w:hAnsi="仿宋" w:eastAsia="仿宋" w:cs="仿宋_GB2312"/>
          <w:sz w:val="32"/>
          <w:szCs w:val="32"/>
        </w:rPr>
        <w:t>1、</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机构改革的原因增加单位人数和公用经费，同步增加人员经费</w:t>
      </w:r>
      <w:r>
        <w:rPr>
          <w:rFonts w:hint="eastAsia" w:ascii="仿宋" w:hAnsi="仿宋" w:eastAsia="仿宋" w:cs="宋体"/>
          <w:sz w:val="32"/>
          <w:szCs w:val="32"/>
          <w:lang w:val="en-US" w:eastAsia="zh-CN"/>
        </w:rPr>
        <w:t>和</w:t>
      </w:r>
      <w:r>
        <w:rPr>
          <w:rFonts w:hint="eastAsia" w:ascii="仿宋" w:hAnsi="仿宋" w:eastAsia="仿宋" w:cs="宋体"/>
          <w:sz w:val="32"/>
          <w:szCs w:val="32"/>
          <w:lang w:eastAsia="zh-CN"/>
        </w:rPr>
        <w:t>日常公用经费；</w:t>
      </w:r>
      <w:r>
        <w:rPr>
          <w:rFonts w:hint="eastAsia" w:ascii="仿宋" w:hAnsi="仿宋" w:eastAsia="仿宋" w:cs="宋体"/>
          <w:sz w:val="32"/>
          <w:szCs w:val="32"/>
        </w:rPr>
        <w:t>2、</w:t>
      </w:r>
      <w:r>
        <w:rPr>
          <w:rFonts w:hint="eastAsia" w:ascii="仿宋" w:hAnsi="仿宋" w:eastAsia="仿宋" w:cs="宋体"/>
          <w:sz w:val="32"/>
          <w:szCs w:val="32"/>
          <w:lang w:eastAsia="zh-CN"/>
        </w:rPr>
        <w:t>增加项目资金；</w:t>
      </w:r>
      <w:r>
        <w:rPr>
          <w:rFonts w:hint="eastAsia" w:ascii="仿宋" w:hAnsi="仿宋" w:eastAsia="仿宋" w:cs="宋体"/>
          <w:sz w:val="32"/>
          <w:szCs w:val="32"/>
          <w:lang w:val="en-US" w:eastAsia="zh-CN"/>
        </w:rPr>
        <w:t>3、今年正常晋升人员工资</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国有资本经营预算未安排</w:t>
      </w:r>
      <w:r>
        <w:rPr>
          <w:rFonts w:hint="eastAsia" w:ascii="仿宋_GB2312" w:hAnsi="宋体" w:eastAsia="仿宋_GB2312" w:cs="宋体"/>
          <w:kern w:val="0"/>
          <w:sz w:val="32"/>
          <w:szCs w:val="32"/>
          <w:lang w:eastAsia="zh-CN"/>
        </w:rPr>
        <w:t>。</w:t>
      </w:r>
    </w:p>
    <w:p>
      <w:pPr>
        <w:spacing w:line="560" w:lineRule="exact"/>
        <w:ind w:firstLine="640" w:firstLineChars="200"/>
        <w:rPr>
          <w:rFonts w:ascii="仿宋_GB2312" w:hAnsi="宋体" w:eastAsia="仿宋_GB2312" w:cs="宋体"/>
          <w:color w:val="0000FF"/>
          <w:kern w:val="0"/>
          <w:sz w:val="32"/>
          <w:szCs w:val="32"/>
        </w:rPr>
      </w:pPr>
      <w:r>
        <w:rPr>
          <w:rFonts w:hint="eastAsia" w:ascii="仿宋_GB2312" w:hAnsi="宋体" w:eastAsia="仿宋_GB2312" w:cs="宋体"/>
          <w:color w:val="auto"/>
          <w:kern w:val="0"/>
          <w:sz w:val="32"/>
          <w:szCs w:val="32"/>
        </w:rPr>
        <w:t>上级专项收入</w:t>
      </w:r>
      <w:r>
        <w:rPr>
          <w:rFonts w:hint="eastAsia" w:ascii="仿宋_GB2312" w:hAnsi="宋体" w:eastAsia="仿宋_GB2312" w:cs="宋体"/>
          <w:color w:val="auto"/>
          <w:kern w:val="0"/>
          <w:sz w:val="32"/>
          <w:szCs w:val="32"/>
          <w:lang w:val="en-US" w:eastAsia="zh-CN"/>
        </w:rPr>
        <w:t>预算未安排。</w:t>
      </w:r>
    </w:p>
    <w:p>
      <w:pPr>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克孜勒苏柯尔克孜自治州农业综合行政执法支队</w:t>
      </w:r>
      <w:r>
        <w:rPr>
          <w:rFonts w:hint="eastAsia" w:ascii="黑体" w:hAnsi="宋体" w:eastAsia="黑体" w:cs="宋体"/>
          <w:kern w:val="0"/>
          <w:sz w:val="32"/>
          <w:szCs w:val="32"/>
        </w:rPr>
        <w:t>单位</w:t>
      </w:r>
      <w:r>
        <w:rPr>
          <w:rFonts w:hint="eastAsia" w:ascii="黑体" w:hAnsi="宋体" w:eastAsia="黑体" w:cs="宋体"/>
          <w:kern w:val="0"/>
          <w:sz w:val="32"/>
          <w:szCs w:val="32"/>
          <w:lang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rPr>
        <w:t>单位</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万元，其中：</w:t>
      </w:r>
    </w:p>
    <w:p>
      <w:pPr>
        <w:ind w:firstLine="800" w:firstLineChars="25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388.89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92.4</w:t>
      </w:r>
      <w:r>
        <w:rPr>
          <w:rFonts w:hint="eastAsia" w:ascii="仿宋_GB2312" w:hAnsi="宋体" w:eastAsia="仿宋_GB2312" w:cs="宋体"/>
          <w:kern w:val="0"/>
          <w:sz w:val="32"/>
          <w:szCs w:val="32"/>
        </w:rPr>
        <w:t>%，比上年</w:t>
      </w:r>
      <w:r>
        <w:rPr>
          <w:rFonts w:hint="eastAsia" w:ascii="仿宋_GB2312" w:hAnsi="宋体" w:eastAsia="仿宋_GB2312" w:cs="宋体"/>
          <w:color w:val="auto"/>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131.69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机构改革的原因增加单位人数和公用经费，同步增加人员经费</w:t>
      </w:r>
      <w:r>
        <w:rPr>
          <w:rFonts w:hint="eastAsia" w:ascii="仿宋" w:hAnsi="仿宋" w:eastAsia="仿宋" w:cs="宋体"/>
          <w:sz w:val="32"/>
          <w:szCs w:val="32"/>
          <w:lang w:val="en-US" w:eastAsia="zh-CN"/>
        </w:rPr>
        <w:t>和</w:t>
      </w:r>
      <w:r>
        <w:rPr>
          <w:rFonts w:hint="eastAsia" w:ascii="仿宋" w:hAnsi="仿宋" w:eastAsia="仿宋" w:cs="宋体"/>
          <w:sz w:val="32"/>
          <w:szCs w:val="32"/>
          <w:lang w:eastAsia="zh-CN"/>
        </w:rPr>
        <w:t>日常公用经费；</w:t>
      </w:r>
    </w:p>
    <w:p>
      <w:pPr>
        <w:ind w:firstLine="800" w:firstLineChars="25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7.6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万元，主要原因是</w:t>
      </w:r>
      <w:r>
        <w:rPr>
          <w:rFonts w:hint="eastAsia" w:ascii="仿宋" w:hAnsi="仿宋" w:eastAsia="仿宋" w:cs="仿宋_GB2312"/>
          <w:sz w:val="32"/>
          <w:szCs w:val="32"/>
          <w:lang w:eastAsia="zh-CN"/>
        </w:rPr>
        <w:t>：</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机构改革的原因增加单位业务职能，同步增加项目资金；</w:t>
      </w:r>
      <w:r>
        <w:rPr>
          <w:rFonts w:hint="eastAsia" w:ascii="仿宋_GB2312" w:hAnsi="宋体" w:eastAsia="仿宋_GB2312" w:cs="宋体"/>
          <w:kern w:val="0"/>
          <w:sz w:val="32"/>
          <w:szCs w:val="32"/>
        </w:rPr>
        <w:t xml:space="preserve">  </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克孜勒苏柯尔克孜自治州农业综合行政执法支队2021</w:t>
      </w:r>
      <w:r>
        <w:rPr>
          <w:rFonts w:hint="eastAsia" w:ascii="黑体" w:hAnsi="黑体" w:eastAsia="黑体" w:cs="宋体"/>
          <w:bCs/>
          <w:kern w:val="0"/>
          <w:sz w:val="32"/>
          <w:szCs w:val="32"/>
        </w:rPr>
        <w:t>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val="en-US" w:eastAsia="zh-CN"/>
        </w:rPr>
        <w:t>420.89</w:t>
      </w:r>
      <w:r>
        <w:rPr>
          <w:rFonts w:hint="eastAsia" w:ascii="仿宋_GB2312" w:hAnsi="宋体" w:eastAsia="仿宋_GB2312" w:cs="宋体"/>
          <w:kern w:val="0"/>
          <w:sz w:val="32"/>
          <w:szCs w:val="32"/>
        </w:rPr>
        <w:t>万元。</w:t>
      </w:r>
    </w:p>
    <w:p>
      <w:pPr>
        <w:spacing w:line="560" w:lineRule="exact"/>
        <w:ind w:firstLine="616" w:firstLineChars="200"/>
        <w:rPr>
          <w:rFonts w:hint="eastAsia" w:ascii="仿宋_GB2312" w:hAnsi="宋体" w:eastAsia="仿宋_GB2312" w:cs="宋体"/>
          <w:spacing w:val="-6"/>
          <w:kern w:val="0"/>
          <w:sz w:val="32"/>
          <w:szCs w:val="32"/>
        </w:rPr>
      </w:pPr>
      <w:r>
        <w:rPr>
          <w:rFonts w:hint="eastAsia" w:ascii="仿宋_GB2312" w:hAnsi="宋体" w:eastAsia="仿宋_GB2312" w:cs="宋体"/>
          <w:color w:val="auto"/>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仿宋_GB2312" w:eastAsia="仿宋_GB2312" w:cs="宋体"/>
          <w:color w:val="000000"/>
          <w:kern w:val="0"/>
          <w:sz w:val="32"/>
          <w:szCs w:val="32"/>
        </w:rPr>
      </w:pPr>
      <w:r>
        <w:rPr>
          <w:rFonts w:hint="eastAsia" w:ascii="仿宋_GB2312" w:hAnsi="宋体" w:eastAsia="仿宋_GB2312" w:cs="宋体"/>
          <w:kern w:val="0"/>
          <w:sz w:val="32"/>
          <w:szCs w:val="32"/>
        </w:rPr>
        <w:t>支出预算包括：</w:t>
      </w:r>
      <w:r>
        <w:rPr>
          <w:rFonts w:hint="eastAsia" w:ascii="仿宋_GB2312" w:hAnsi="仿宋_GB2312" w:eastAsia="仿宋_GB2312" w:cs="宋体"/>
          <w:color w:val="000000"/>
          <w:kern w:val="0"/>
          <w:sz w:val="32"/>
          <w:szCs w:val="32"/>
        </w:rPr>
        <w:t>一般公共预算（农林水）支出</w:t>
      </w:r>
      <w:r>
        <w:rPr>
          <w:rFonts w:hint="eastAsia" w:ascii="仿宋_GB2312" w:hAnsi="仿宋_GB2312" w:eastAsia="仿宋_GB2312" w:cs="宋体"/>
          <w:color w:val="000000"/>
          <w:kern w:val="0"/>
          <w:sz w:val="32"/>
          <w:szCs w:val="32"/>
          <w:lang w:val="en-US" w:eastAsia="zh-CN"/>
        </w:rPr>
        <w:t>410.49</w:t>
      </w:r>
      <w:r>
        <w:rPr>
          <w:rFonts w:hint="eastAsia" w:ascii="仿宋_GB2312" w:hAnsi="仿宋_GB2312" w:eastAsia="仿宋_GB2312" w:cs="宋体"/>
          <w:color w:val="000000"/>
          <w:kern w:val="0"/>
          <w:sz w:val="32"/>
          <w:szCs w:val="32"/>
        </w:rPr>
        <w:t>万元，主要用于：支付职工工资、津贴补贴、社会保障缴费和住房公积金及公用经费。</w:t>
      </w:r>
    </w:p>
    <w:p>
      <w:pPr>
        <w:spacing w:line="560" w:lineRule="exact"/>
        <w:ind w:firstLine="640" w:firstLineChars="200"/>
        <w:rPr>
          <w:rFonts w:hint="eastAsia" w:ascii="仿宋_GB2312" w:hAnsi="宋体" w:eastAsia="仿宋_GB2312" w:cs="宋体"/>
          <w:spacing w:val="-6"/>
          <w:kern w:val="0"/>
          <w:sz w:val="32"/>
          <w:szCs w:val="32"/>
        </w:rPr>
      </w:pPr>
      <w:r>
        <w:rPr>
          <w:rFonts w:hint="eastAsia" w:ascii="仿宋_GB2312" w:hAnsi="仿宋_GB2312" w:eastAsia="仿宋_GB2312" w:cs="宋体"/>
          <w:color w:val="000000"/>
          <w:kern w:val="0"/>
          <w:sz w:val="32"/>
          <w:szCs w:val="32"/>
        </w:rPr>
        <w:t>教育支出</w:t>
      </w:r>
      <w:r>
        <w:rPr>
          <w:rFonts w:hint="eastAsia" w:ascii="仿宋_GB2312" w:hAnsi="仿宋_GB2312" w:eastAsia="仿宋_GB2312" w:cs="宋体"/>
          <w:color w:val="000000"/>
          <w:kern w:val="0"/>
          <w:sz w:val="32"/>
          <w:szCs w:val="32"/>
          <w:lang w:val="en-US" w:eastAsia="zh-CN"/>
        </w:rPr>
        <w:t>10.4</w:t>
      </w:r>
      <w:r>
        <w:rPr>
          <w:rFonts w:hint="eastAsia" w:ascii="仿宋_GB2312" w:hAnsi="仿宋_GB2312" w:eastAsia="仿宋_GB2312" w:cs="宋体"/>
          <w:color w:val="000000"/>
          <w:kern w:val="0"/>
          <w:sz w:val="32"/>
          <w:szCs w:val="32"/>
        </w:rPr>
        <w:t>万元，主要用于：支付</w:t>
      </w:r>
      <w:r>
        <w:rPr>
          <w:rFonts w:hint="eastAsia" w:ascii="仿宋_GB2312" w:hAnsi="仿宋_GB2312" w:eastAsia="仿宋_GB2312" w:cs="宋体"/>
          <w:color w:val="000000"/>
          <w:kern w:val="0"/>
          <w:sz w:val="32"/>
          <w:szCs w:val="32"/>
          <w:lang w:eastAsia="zh-CN"/>
        </w:rPr>
        <w:t>支教</w:t>
      </w:r>
      <w:r>
        <w:rPr>
          <w:rFonts w:hint="eastAsia" w:ascii="仿宋_GB2312" w:hAnsi="仿宋_GB2312" w:eastAsia="仿宋_GB2312" w:cs="宋体"/>
          <w:color w:val="000000"/>
          <w:kern w:val="0"/>
          <w:sz w:val="32"/>
          <w:szCs w:val="32"/>
        </w:rPr>
        <w:t>人员补助。</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年一般公共预算当年拨款情况说明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ind w:firstLine="800" w:firstLineChars="25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克孜勒苏柯尔克孜自治州农业综合行政执法支队2021</w:t>
      </w:r>
      <w:r>
        <w:rPr>
          <w:rFonts w:hint="eastAsia" w:ascii="仿宋_GB2312" w:hAnsi="宋体" w:eastAsia="仿宋_GB2312" w:cs="宋体"/>
          <w:kern w:val="0"/>
          <w:sz w:val="32"/>
          <w:szCs w:val="32"/>
        </w:rPr>
        <w:t>年一般公共预算拨款基本支出</w:t>
      </w:r>
      <w:r>
        <w:rPr>
          <w:rFonts w:hint="eastAsia" w:ascii="仿宋_GB2312" w:hAnsi="宋体" w:eastAsia="仿宋_GB2312" w:cs="宋体"/>
          <w:kern w:val="0"/>
          <w:sz w:val="32"/>
          <w:szCs w:val="32"/>
          <w:lang w:val="en-US" w:eastAsia="zh-CN"/>
        </w:rPr>
        <w:t>388.89</w:t>
      </w:r>
      <w:r>
        <w:rPr>
          <w:rFonts w:hint="eastAsia" w:ascii="仿宋_GB2312" w:hAnsi="宋体" w:eastAsia="仿宋_GB2312" w:cs="宋体"/>
          <w:kern w:val="0"/>
          <w:sz w:val="32"/>
          <w:szCs w:val="32"/>
        </w:rPr>
        <w:t>万元，比上年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135.69</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lang w:val="en-US" w:eastAsia="zh-CN"/>
        </w:rPr>
        <w:t>53.59</w:t>
      </w:r>
      <w:r>
        <w:rPr>
          <w:rFonts w:hint="eastAsia" w:ascii="仿宋_GB2312" w:hAnsi="宋体" w:eastAsia="仿宋_GB2312" w:cs="宋体"/>
          <w:kern w:val="0"/>
          <w:sz w:val="32"/>
          <w:szCs w:val="32"/>
        </w:rPr>
        <w:t>%。主要原因是：</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机构改革的原因增加单位人数和公用经费，同步增加人员经费</w:t>
      </w:r>
      <w:r>
        <w:rPr>
          <w:rFonts w:hint="eastAsia" w:ascii="仿宋" w:hAnsi="仿宋" w:eastAsia="仿宋" w:cs="宋体"/>
          <w:sz w:val="32"/>
          <w:szCs w:val="32"/>
          <w:lang w:val="en-US" w:eastAsia="zh-CN"/>
        </w:rPr>
        <w:t>和</w:t>
      </w:r>
      <w:r>
        <w:rPr>
          <w:rFonts w:hint="eastAsia" w:ascii="仿宋" w:hAnsi="仿宋" w:eastAsia="仿宋" w:cs="宋体"/>
          <w:sz w:val="32"/>
          <w:szCs w:val="32"/>
          <w:lang w:eastAsia="zh-CN"/>
        </w:rPr>
        <w:t>日常公用经费。</w:t>
      </w:r>
      <w:r>
        <w:rPr>
          <w:rFonts w:hint="eastAsia" w:ascii="仿宋_GB2312" w:hAnsi="宋体" w:eastAsia="仿宋_GB2312" w:cs="宋体"/>
          <w:kern w:val="0"/>
          <w:sz w:val="32"/>
          <w:szCs w:val="32"/>
        </w:rPr>
        <w:t xml:space="preserve">  </w:t>
      </w:r>
    </w:p>
    <w:p>
      <w:pPr>
        <w:ind w:firstLine="800" w:firstLineChars="25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仿宋_GB2312" w:eastAsia="仿宋_GB2312" w:cs="宋体"/>
          <w:kern w:val="0"/>
          <w:sz w:val="32"/>
          <w:szCs w:val="32"/>
          <w:lang w:eastAsia="zh-CN"/>
        </w:rPr>
        <w:t>2021</w:t>
      </w:r>
      <w:r>
        <w:rPr>
          <w:rFonts w:hint="eastAsia" w:ascii="仿宋_GB2312" w:hAnsi="仿宋_GB2312" w:eastAsia="仿宋_GB2312" w:cs="宋体"/>
          <w:kern w:val="0"/>
          <w:sz w:val="32"/>
          <w:szCs w:val="32"/>
        </w:rPr>
        <w:t>年</w:t>
      </w:r>
      <w:r>
        <w:rPr>
          <w:rFonts w:hint="eastAsia" w:ascii="仿宋_GB2312" w:hAnsi="仿宋_GB2312" w:eastAsia="仿宋_GB2312" w:cs="宋体"/>
          <w:kern w:val="0"/>
          <w:sz w:val="32"/>
          <w:szCs w:val="32"/>
          <w:lang w:eastAsia="zh-CN"/>
        </w:rPr>
        <w:t>项目支出</w:t>
      </w:r>
      <w:r>
        <w:rPr>
          <w:rFonts w:hint="eastAsia" w:ascii="仿宋_GB2312" w:hAnsi="仿宋_GB2312" w:eastAsia="仿宋_GB2312" w:cs="宋体"/>
          <w:kern w:val="0"/>
          <w:sz w:val="32"/>
          <w:szCs w:val="32"/>
          <w:lang w:val="en-US" w:eastAsia="zh-CN"/>
        </w:rPr>
        <w:t>32万元，比上年预算数增加20万元，上升166.67%。主要原因是：</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机构改革的原因增加单位业务职能，同步增加项目资金；</w:t>
      </w:r>
      <w:r>
        <w:rPr>
          <w:rFonts w:hint="eastAsia" w:ascii="仿宋_GB2312" w:hAnsi="宋体" w:eastAsia="仿宋_GB2312" w:cs="宋体"/>
          <w:kern w:val="0"/>
          <w:sz w:val="32"/>
          <w:szCs w:val="32"/>
        </w:rPr>
        <w:t xml:space="preserve">  </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lang w:val="en-US" w:eastAsia="zh-CN"/>
        </w:rPr>
        <w:t>1.一般公共预算</w:t>
      </w:r>
      <w:r>
        <w:rPr>
          <w:rFonts w:hint="eastAsia" w:ascii="仿宋_GB2312" w:eastAsia="仿宋_GB2312"/>
          <w:sz w:val="32"/>
          <w:szCs w:val="32"/>
        </w:rPr>
        <w:t>农林水支出（213）</w:t>
      </w:r>
      <w:r>
        <w:rPr>
          <w:rFonts w:hint="eastAsia" w:ascii="仿宋_GB2312" w:eastAsia="仿宋_GB2312"/>
          <w:sz w:val="32"/>
          <w:szCs w:val="32"/>
          <w:lang w:val="en-US" w:eastAsia="zh-CN"/>
        </w:rPr>
        <w:t>410.49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97.53</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2.一般公共预算教育支出（205）10.4万元，占2.47%。</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农林水支出（213）</w:t>
      </w:r>
      <w:r>
        <w:rPr>
          <w:rFonts w:hint="eastAsia" w:ascii="仿宋_GB2312" w:hAnsi="宋体" w:eastAsia="仿宋_GB2312" w:cs="宋体"/>
          <w:kern w:val="0"/>
          <w:sz w:val="32"/>
          <w:szCs w:val="32"/>
          <w:lang w:eastAsia="zh-CN"/>
        </w:rPr>
        <w:t>农业农村</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eastAsia="zh-CN"/>
        </w:rPr>
        <w:t>执法监管</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378.49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180.67</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lang w:val="en-US" w:eastAsia="zh-CN"/>
        </w:rPr>
        <w:t>91.33</w:t>
      </w:r>
      <w:r>
        <w:rPr>
          <w:rFonts w:hint="eastAsia" w:ascii="仿宋_GB2312" w:hAnsi="宋体" w:eastAsia="仿宋_GB2312" w:cs="宋体"/>
          <w:kern w:val="0"/>
          <w:sz w:val="32"/>
          <w:szCs w:val="32"/>
        </w:rPr>
        <w:t>%，主要原因是：20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年执行数中</w:t>
      </w:r>
      <w:r>
        <w:rPr>
          <w:rFonts w:hint="eastAsia" w:ascii="仿宋_GB2312" w:hAnsi="宋体" w:eastAsia="仿宋_GB2312" w:cs="宋体"/>
          <w:kern w:val="0"/>
          <w:sz w:val="32"/>
          <w:szCs w:val="32"/>
          <w:lang w:eastAsia="zh-CN"/>
        </w:rPr>
        <w:t>只</w:t>
      </w:r>
      <w:r>
        <w:rPr>
          <w:rFonts w:hint="eastAsia" w:ascii="仿宋_GB2312" w:hAnsi="宋体" w:eastAsia="仿宋_GB2312" w:cs="宋体"/>
          <w:kern w:val="0"/>
          <w:sz w:val="32"/>
          <w:szCs w:val="32"/>
        </w:rPr>
        <w:t>包含</w:t>
      </w:r>
      <w:r>
        <w:rPr>
          <w:rFonts w:hint="eastAsia" w:ascii="仿宋_GB2312" w:hAnsi="宋体" w:eastAsia="仿宋_GB2312" w:cs="宋体"/>
          <w:kern w:val="0"/>
          <w:sz w:val="32"/>
          <w:szCs w:val="32"/>
          <w:lang w:eastAsia="zh-CN"/>
        </w:rPr>
        <w:t>当年的项目经费和从</w:t>
      </w:r>
      <w:r>
        <w:rPr>
          <w:rFonts w:hint="eastAsia" w:ascii="仿宋_GB2312" w:hAnsi="宋体" w:eastAsia="仿宋_GB2312" w:cs="宋体"/>
          <w:kern w:val="0"/>
          <w:sz w:val="32"/>
          <w:szCs w:val="32"/>
          <w:lang w:val="en-US" w:eastAsia="zh-CN"/>
        </w:rPr>
        <w:t>2020年6月至12月的人员经费和日常公用经费，而今年的预算包括全年的人员经费；</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2.农林水支出（213）农业农村（01）其他农业农村支出（99）；</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ascii="仿宋_GB2312" w:hAnsi="宋体" w:eastAsia="仿宋_GB2312" w:cs="宋体"/>
          <w:kern w:val="0"/>
          <w:sz w:val="32"/>
          <w:szCs w:val="32"/>
        </w:rPr>
        <w:t>预算数</w:t>
      </w:r>
      <w:r>
        <w:rPr>
          <w:rFonts w:hint="eastAsia" w:ascii="仿宋_GB2312" w:hAnsi="宋体" w:eastAsia="仿宋_GB2312" w:cs="宋体"/>
          <w:kern w:val="0"/>
          <w:sz w:val="32"/>
          <w:szCs w:val="32"/>
          <w:lang w:val="en-US" w:eastAsia="zh-CN"/>
        </w:rPr>
        <w:t>32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上升</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2021年财政拨的项目经费都是农林水支出（213）农业农村（01）其他农业农村支出（99）</w:t>
      </w:r>
      <w:r>
        <w:rPr>
          <w:rFonts w:hint="eastAsia" w:ascii="仿宋_GB2312" w:hAnsi="宋体" w:eastAsia="仿宋_GB2312" w:cs="宋体"/>
          <w:kern w:val="0"/>
          <w:sz w:val="32"/>
          <w:szCs w:val="32"/>
          <w:lang w:eastAsia="zh-CN"/>
        </w:rPr>
        <w:t>。</w:t>
      </w:r>
    </w:p>
    <w:p>
      <w:pPr>
        <w:spacing w:line="560" w:lineRule="exact"/>
        <w:ind w:firstLine="640" w:firstLineChars="200"/>
        <w:rPr>
          <w:rFonts w:hint="default" w:ascii="??_GB2312" w:hAnsi="宋体" w:eastAsia="Times New Roman" w:cs="宋体"/>
          <w:kern w:val="0"/>
          <w:sz w:val="32"/>
          <w:szCs w:val="32"/>
          <w:lang w:val="en-US"/>
        </w:rPr>
      </w:pPr>
      <w:r>
        <w:rPr>
          <w:rFonts w:hint="eastAsia" w:ascii="??_GB2312" w:hAnsi="宋体" w:cs="宋体"/>
          <w:kern w:val="0"/>
          <w:sz w:val="32"/>
          <w:szCs w:val="32"/>
          <w:lang w:val="en-US" w:eastAsia="zh-CN"/>
        </w:rPr>
        <w:t>3.</w:t>
      </w:r>
      <w:r>
        <w:rPr>
          <w:rFonts w:hint="eastAsia" w:ascii="仿宋_GB2312" w:hAnsi="仿宋_GB2312" w:eastAsia="仿宋_GB2312" w:cs="宋体"/>
          <w:kern w:val="0"/>
          <w:sz w:val="32"/>
          <w:szCs w:val="32"/>
        </w:rPr>
        <w:t>一般公共预算</w:t>
      </w:r>
      <w:r>
        <w:rPr>
          <w:rFonts w:hint="eastAsia" w:ascii="仿宋_GB2312" w:hAnsi="仿宋_GB2312" w:eastAsia="仿宋_GB2312" w:cs="宋体"/>
          <w:kern w:val="0"/>
          <w:sz w:val="32"/>
          <w:szCs w:val="32"/>
          <w:lang w:eastAsia="zh-CN"/>
        </w:rPr>
        <w:t>教育支出</w:t>
      </w:r>
      <w:r>
        <w:rPr>
          <w:rFonts w:hint="eastAsia" w:ascii="仿宋_GB2312" w:hAnsi="仿宋_GB2312" w:eastAsia="仿宋_GB2312" w:cs="宋体"/>
          <w:kern w:val="0"/>
          <w:sz w:val="32"/>
          <w:szCs w:val="32"/>
          <w:lang w:val="en-US" w:eastAsia="zh-CN"/>
        </w:rPr>
        <w:t>(205)普通教育(02)学前教育(01):</w:t>
      </w:r>
      <w:r>
        <w:rPr>
          <w:rFonts w:hint="eastAsia" w:ascii="仿宋_GB2312" w:hAnsi="宋体" w:eastAsia="仿宋_GB2312" w:cs="宋体"/>
          <w:kern w:val="0"/>
          <w:sz w:val="32"/>
          <w:szCs w:val="32"/>
          <w:lang w:eastAsia="zh-CN"/>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10.4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2.08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16.67</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主要原因是：去年给学前教育工作人员发</w:t>
      </w:r>
      <w:r>
        <w:rPr>
          <w:rFonts w:hint="eastAsia" w:ascii="仿宋_GB2312" w:hAnsi="宋体" w:eastAsia="仿宋_GB2312" w:cs="宋体"/>
          <w:kern w:val="0"/>
          <w:sz w:val="32"/>
          <w:szCs w:val="32"/>
          <w:lang w:val="en-US" w:eastAsia="zh-CN"/>
        </w:rPr>
        <w:t>12个月的生活补助，而2021年做10个月的预算。</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388.89</w:t>
      </w:r>
      <w:r>
        <w:rPr>
          <w:rFonts w:hint="eastAsia" w:ascii="仿宋_GB2312" w:hAnsi="宋体" w:eastAsia="仿宋_GB2312" w:cs="宋体"/>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366.18</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114.53</w:t>
      </w:r>
      <w:r>
        <w:rPr>
          <w:rFonts w:hint="eastAsia" w:ascii="仿宋_GB2312" w:hAnsi="宋体" w:eastAsia="仿宋_GB2312" w:cs="宋体"/>
          <w:kern w:val="0"/>
          <w:sz w:val="32"/>
          <w:szCs w:val="32"/>
        </w:rPr>
        <w:t>万元、津贴补贴</w:t>
      </w:r>
      <w:r>
        <w:rPr>
          <w:rFonts w:hint="eastAsia" w:ascii="仿宋_GB2312" w:hAnsi="宋体" w:eastAsia="仿宋_GB2312" w:cs="宋体"/>
          <w:kern w:val="0"/>
          <w:sz w:val="32"/>
          <w:szCs w:val="32"/>
          <w:lang w:val="en-US" w:eastAsia="zh-CN"/>
        </w:rPr>
        <w:t>146.35</w:t>
      </w:r>
      <w:r>
        <w:rPr>
          <w:rFonts w:hint="eastAsia" w:ascii="仿宋_GB2312" w:hAnsi="宋体" w:eastAsia="仿宋_GB2312" w:cs="宋体"/>
          <w:kern w:val="0"/>
          <w:sz w:val="32"/>
          <w:szCs w:val="32"/>
        </w:rPr>
        <w:t>万元、奖金</w:t>
      </w:r>
      <w:r>
        <w:rPr>
          <w:rFonts w:hint="eastAsia" w:ascii="仿宋_GB2312" w:hAnsi="宋体" w:eastAsia="仿宋_GB2312" w:cs="宋体"/>
          <w:kern w:val="0"/>
          <w:sz w:val="32"/>
          <w:szCs w:val="32"/>
          <w:lang w:val="en-US" w:eastAsia="zh-CN"/>
        </w:rPr>
        <w:t>9.54</w:t>
      </w:r>
      <w:r>
        <w:rPr>
          <w:rFonts w:hint="eastAsia" w:ascii="仿宋_GB2312" w:hAnsi="宋体" w:eastAsia="仿宋_GB2312" w:cs="宋体"/>
          <w:kern w:val="0"/>
          <w:sz w:val="32"/>
          <w:szCs w:val="32"/>
        </w:rPr>
        <w:t>万元、机关事业单位基本养老保险缴费</w:t>
      </w:r>
      <w:r>
        <w:rPr>
          <w:rFonts w:hint="eastAsia" w:ascii="仿宋_GB2312" w:hAnsi="宋体" w:eastAsia="仿宋_GB2312" w:cs="宋体"/>
          <w:kern w:val="0"/>
          <w:sz w:val="32"/>
          <w:szCs w:val="32"/>
          <w:lang w:val="en-US" w:eastAsia="zh-CN"/>
        </w:rPr>
        <w:t>38.77</w:t>
      </w:r>
      <w:r>
        <w:rPr>
          <w:rFonts w:hint="eastAsia" w:ascii="仿宋_GB2312" w:hAnsi="宋体" w:eastAsia="仿宋_GB2312" w:cs="宋体"/>
          <w:kern w:val="0"/>
          <w:sz w:val="32"/>
          <w:szCs w:val="32"/>
        </w:rPr>
        <w:t>万元、其他社会保障缴费</w:t>
      </w:r>
      <w:r>
        <w:rPr>
          <w:rFonts w:hint="eastAsia" w:ascii="仿宋_GB2312" w:hAnsi="宋体" w:eastAsia="仿宋_GB2312" w:cs="宋体"/>
          <w:kern w:val="0"/>
          <w:sz w:val="32"/>
          <w:szCs w:val="32"/>
          <w:lang w:val="en-US" w:eastAsia="zh-CN"/>
        </w:rPr>
        <w:t>18.85</w:t>
      </w:r>
      <w:r>
        <w:rPr>
          <w:rFonts w:hint="eastAsia" w:ascii="仿宋_GB2312" w:hAnsi="宋体" w:eastAsia="仿宋_GB2312" w:cs="宋体"/>
          <w:kern w:val="0"/>
          <w:sz w:val="32"/>
          <w:szCs w:val="32"/>
        </w:rPr>
        <w:t>万元、住房公积金</w:t>
      </w:r>
      <w:r>
        <w:rPr>
          <w:rFonts w:hint="eastAsia" w:ascii="仿宋_GB2312" w:hAnsi="宋体" w:eastAsia="仿宋_GB2312" w:cs="宋体"/>
          <w:kern w:val="0"/>
          <w:sz w:val="32"/>
          <w:szCs w:val="32"/>
          <w:lang w:val="en-US" w:eastAsia="zh-CN"/>
        </w:rPr>
        <w:t>27.72</w:t>
      </w:r>
      <w:r>
        <w:rPr>
          <w:rFonts w:hint="eastAsia" w:ascii="仿宋_GB2312" w:hAnsi="宋体" w:eastAsia="仿宋_GB2312" w:cs="宋体"/>
          <w:kern w:val="0"/>
          <w:sz w:val="32"/>
          <w:szCs w:val="32"/>
        </w:rPr>
        <w:t>万元、奖励金0.</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万元、其他对个人和家庭的补助</w:t>
      </w:r>
      <w:r>
        <w:rPr>
          <w:rFonts w:hint="eastAsia" w:ascii="仿宋_GB2312" w:hAnsi="宋体" w:eastAsia="仿宋_GB2312" w:cs="宋体"/>
          <w:kern w:val="0"/>
          <w:sz w:val="32"/>
          <w:szCs w:val="32"/>
          <w:lang w:val="en-US" w:eastAsia="zh-CN"/>
        </w:rPr>
        <w:t>10.4</w:t>
      </w:r>
      <w:r>
        <w:rPr>
          <w:rFonts w:hint="eastAsia" w:ascii="仿宋_GB2312" w:hAnsi="宋体" w:eastAsia="仿宋_GB2312" w:cs="宋体"/>
          <w:kern w:val="0"/>
          <w:sz w:val="32"/>
          <w:szCs w:val="32"/>
        </w:rPr>
        <w:t>万元等。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22.7</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印刷费</w:t>
      </w:r>
      <w:r>
        <w:rPr>
          <w:rFonts w:hint="eastAsia" w:ascii="仿宋_GB2312" w:hAnsi="宋体" w:eastAsia="仿宋_GB2312" w:cs="宋体"/>
          <w:kern w:val="0"/>
          <w:sz w:val="32"/>
          <w:szCs w:val="32"/>
          <w:lang w:val="en-US" w:eastAsia="zh-CN"/>
        </w:rPr>
        <w:t>0.4万元、</w:t>
      </w:r>
      <w:r>
        <w:rPr>
          <w:rFonts w:hint="eastAsia" w:ascii="仿宋_GB2312" w:hAnsi="宋体" w:eastAsia="仿宋_GB2312" w:cs="宋体"/>
          <w:kern w:val="0"/>
          <w:sz w:val="32"/>
          <w:szCs w:val="32"/>
        </w:rPr>
        <w:t>水费0.</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万元、电费</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万元、邮电费</w:t>
      </w:r>
      <w:r>
        <w:rPr>
          <w:rFonts w:hint="eastAsia" w:ascii="仿宋_GB2312" w:hAnsi="宋体" w:eastAsia="仿宋_GB2312" w:cs="宋体"/>
          <w:kern w:val="0"/>
          <w:sz w:val="32"/>
          <w:szCs w:val="32"/>
          <w:lang w:val="en-US" w:eastAsia="zh-CN"/>
        </w:rPr>
        <w:t>1.5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取暖费</w:t>
      </w:r>
      <w:r>
        <w:rPr>
          <w:rFonts w:hint="eastAsia" w:ascii="仿宋_GB2312" w:hAnsi="宋体" w:eastAsia="仿宋_GB2312" w:cs="宋体"/>
          <w:kern w:val="0"/>
          <w:sz w:val="32"/>
          <w:szCs w:val="32"/>
          <w:lang w:val="en-US" w:eastAsia="zh-CN"/>
        </w:rPr>
        <w:t>2.34万元、</w:t>
      </w:r>
      <w:r>
        <w:rPr>
          <w:rFonts w:hint="eastAsia" w:ascii="仿宋_GB2312" w:hAnsi="宋体" w:eastAsia="仿宋_GB2312" w:cs="宋体"/>
          <w:kern w:val="0"/>
          <w:sz w:val="32"/>
          <w:szCs w:val="32"/>
        </w:rPr>
        <w:t>维修（护）费</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万元、公务接待费0.5万元、</w:t>
      </w:r>
      <w:r>
        <w:rPr>
          <w:rFonts w:hint="eastAsia" w:ascii="仿宋_GB2312" w:hAnsi="宋体" w:eastAsia="仿宋_GB2312" w:cs="宋体"/>
          <w:kern w:val="0"/>
          <w:sz w:val="32"/>
          <w:szCs w:val="32"/>
          <w:lang w:eastAsia="zh-CN"/>
        </w:rPr>
        <w:t>劳务费</w:t>
      </w:r>
      <w:r>
        <w:rPr>
          <w:rFonts w:hint="eastAsia" w:ascii="仿宋_GB2312" w:hAnsi="宋体" w:eastAsia="仿宋_GB2312" w:cs="宋体"/>
          <w:kern w:val="0"/>
          <w:sz w:val="32"/>
          <w:szCs w:val="32"/>
          <w:lang w:val="en-US" w:eastAsia="zh-CN"/>
        </w:rPr>
        <w:t>3.6万元、</w:t>
      </w:r>
      <w:r>
        <w:rPr>
          <w:rFonts w:hint="eastAsia" w:ascii="仿宋_GB2312" w:hAnsi="宋体" w:eastAsia="仿宋_GB2312" w:cs="宋体"/>
          <w:kern w:val="0"/>
          <w:sz w:val="32"/>
          <w:szCs w:val="32"/>
        </w:rPr>
        <w:t>工会经费1.</w:t>
      </w:r>
      <w:r>
        <w:rPr>
          <w:rFonts w:hint="eastAsia" w:ascii="仿宋_GB2312" w:hAnsi="宋体" w:eastAsia="仿宋_GB2312" w:cs="宋体"/>
          <w:kern w:val="0"/>
          <w:sz w:val="32"/>
          <w:szCs w:val="32"/>
          <w:lang w:val="en-US" w:eastAsia="zh-CN"/>
        </w:rPr>
        <w:t>65</w:t>
      </w:r>
      <w:r>
        <w:rPr>
          <w:rFonts w:hint="eastAsia" w:ascii="仿宋_GB2312" w:hAnsi="宋体" w:eastAsia="仿宋_GB2312" w:cs="宋体"/>
          <w:kern w:val="0"/>
          <w:sz w:val="32"/>
          <w:szCs w:val="32"/>
        </w:rPr>
        <w:t>万元、福利费</w:t>
      </w:r>
      <w:r>
        <w:rPr>
          <w:rFonts w:hint="eastAsia" w:ascii="仿宋_GB2312" w:hAnsi="宋体" w:eastAsia="仿宋_GB2312" w:cs="宋体"/>
          <w:kern w:val="0"/>
          <w:sz w:val="32"/>
          <w:szCs w:val="32"/>
          <w:lang w:val="en-US" w:eastAsia="zh-CN"/>
        </w:rPr>
        <w:t>2.97</w:t>
      </w:r>
      <w:r>
        <w:rPr>
          <w:rFonts w:hint="eastAsia" w:ascii="仿宋_GB2312" w:hAnsi="宋体" w:eastAsia="仿宋_GB2312" w:cs="宋体"/>
          <w:kern w:val="0"/>
          <w:sz w:val="32"/>
          <w:szCs w:val="32"/>
        </w:rPr>
        <w:t>万元、公务用车运行维护费</w:t>
      </w:r>
      <w:r>
        <w:rPr>
          <w:rFonts w:hint="eastAsia" w:ascii="仿宋_GB2312" w:hAnsi="宋体" w:eastAsia="仿宋_GB2312" w:cs="宋体"/>
          <w:kern w:val="0"/>
          <w:sz w:val="32"/>
          <w:szCs w:val="32"/>
          <w:lang w:val="en-US" w:eastAsia="zh-CN"/>
        </w:rPr>
        <w:t>3.5</w:t>
      </w:r>
      <w:r>
        <w:rPr>
          <w:rFonts w:hint="eastAsia" w:ascii="仿宋_GB2312" w:hAnsi="宋体" w:eastAsia="仿宋_GB2312" w:cs="宋体"/>
          <w:kern w:val="0"/>
          <w:sz w:val="32"/>
          <w:szCs w:val="32"/>
        </w:rPr>
        <w:t>万元、办公设备购置</w:t>
      </w:r>
      <w:r>
        <w:rPr>
          <w:rFonts w:hint="eastAsia" w:ascii="仿宋_GB2312" w:hAnsi="宋体" w:eastAsia="仿宋_GB2312" w:cs="宋体"/>
          <w:kern w:val="0"/>
          <w:sz w:val="32"/>
          <w:szCs w:val="32"/>
          <w:lang w:val="en-US" w:eastAsia="zh-CN"/>
        </w:rPr>
        <w:t>0.95</w:t>
      </w:r>
      <w:r>
        <w:rPr>
          <w:rFonts w:hint="eastAsia" w:ascii="仿宋_GB2312" w:hAnsi="宋体" w:eastAsia="仿宋_GB2312" w:cs="宋体"/>
          <w:kern w:val="0"/>
          <w:sz w:val="32"/>
          <w:szCs w:val="32"/>
        </w:rPr>
        <w:t>万元等。</w:t>
      </w:r>
    </w:p>
    <w:p>
      <w:pPr>
        <w:numPr>
          <w:ilvl w:val="0"/>
          <w:numId w:val="3"/>
        </w:numPr>
        <w:spacing w:line="560" w:lineRule="exact"/>
        <w:ind w:firstLine="640" w:firstLineChars="200"/>
        <w:rPr>
          <w:rFonts w:hint="eastAsia" w:ascii="黑体" w:hAnsi="宋体" w:eastAsia="黑体" w:cs="宋体"/>
          <w:kern w:val="0"/>
          <w:sz w:val="32"/>
          <w:szCs w:val="32"/>
        </w:rPr>
      </w:pP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年项目支出情况说明</w:t>
      </w:r>
    </w:p>
    <w:p>
      <w:pPr>
        <w:pStyle w:val="2"/>
        <w:numPr>
          <w:ilvl w:val="0"/>
          <w:numId w:val="0"/>
        </w:numPr>
        <w:rPr>
          <w:rFonts w:hint="default" w:eastAsia="宋体"/>
          <w:lang w:val="en-US" w:eastAsia="zh-CN"/>
        </w:rPr>
      </w:pPr>
      <w:r>
        <w:rPr>
          <w:rFonts w:hint="eastAsia"/>
          <w:lang w:val="en-US" w:eastAsia="zh-CN"/>
        </w:rPr>
        <w:t xml:space="preserve"> </w:t>
      </w:r>
      <w:r>
        <w:rPr>
          <w:rFonts w:hint="eastAsia"/>
          <w:color w:val="auto"/>
          <w:lang w:val="en-US" w:eastAsia="zh-CN"/>
        </w:rPr>
        <w:t xml:space="preserve">   </w:t>
      </w:r>
      <w:r>
        <w:rPr>
          <w:rFonts w:hint="eastAsia" w:ascii="仿宋_GB2312" w:hAnsi="黑体" w:eastAsia="仿宋_GB2312"/>
          <w:b/>
          <w:color w:val="auto"/>
          <w:sz w:val="32"/>
          <w:szCs w:val="32"/>
        </w:rPr>
        <w:t>情况一：（项目支出、专项业务费按下列内容说明）</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1、</w:t>
      </w:r>
      <w:r>
        <w:rPr>
          <w:rFonts w:hint="eastAsia" w:ascii="仿宋" w:hAnsi="仿宋" w:eastAsia="仿宋" w:cs="宋体"/>
          <w:kern w:val="0"/>
          <w:sz w:val="32"/>
          <w:szCs w:val="32"/>
        </w:rPr>
        <w:t>项目名称：</w:t>
      </w:r>
      <w:r>
        <w:rPr>
          <w:rFonts w:hint="eastAsia" w:ascii="仿宋" w:hAnsi="仿宋" w:eastAsia="仿宋" w:cs="宋体"/>
          <w:kern w:val="0"/>
          <w:sz w:val="32"/>
          <w:szCs w:val="32"/>
          <w:lang w:eastAsia="zh-CN"/>
        </w:rPr>
        <w:t>罚没有毒有害物品处置经费</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设立的政策依据：用于</w:t>
      </w:r>
      <w:r>
        <w:rPr>
          <w:rFonts w:hint="eastAsia" w:ascii="仿宋" w:hAnsi="仿宋" w:eastAsia="仿宋" w:cs="宋体"/>
          <w:kern w:val="0"/>
          <w:sz w:val="32"/>
          <w:szCs w:val="32"/>
          <w:lang w:eastAsia="zh-CN"/>
        </w:rPr>
        <w:t>罚没有毒有害物品处置</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预算安排规模：5万元</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项目承担单位：</w:t>
      </w:r>
      <w:r>
        <w:rPr>
          <w:rFonts w:hint="eastAsia" w:ascii="宋体" w:hAnsi="宋体" w:cs="宋体"/>
          <w:kern w:val="0"/>
          <w:sz w:val="32"/>
          <w:szCs w:val="32"/>
        </w:rPr>
        <w:t> </w:t>
      </w:r>
      <w:r>
        <w:rPr>
          <w:rFonts w:hint="eastAsia" w:ascii="仿宋" w:hAnsi="仿宋" w:eastAsia="仿宋" w:cs="宋体"/>
          <w:kern w:val="0"/>
          <w:sz w:val="32"/>
          <w:szCs w:val="32"/>
          <w:lang w:eastAsia="zh-CN"/>
        </w:rPr>
        <w:t>克孜勒苏柯尔克孜自治州农业综合行政执法支队</w:t>
      </w:r>
    </w:p>
    <w:p>
      <w:pPr>
        <w:widowControl/>
        <w:spacing w:line="500" w:lineRule="exact"/>
        <w:ind w:firstLine="640" w:firstLineChars="200"/>
        <w:jc w:val="left"/>
        <w:rPr>
          <w:rFonts w:hint="default" w:ascii="仿宋" w:hAnsi="仿宋" w:eastAsia="仿宋" w:cs="宋体"/>
          <w:color w:val="000000" w:themeColor="text1"/>
          <w:kern w:val="0"/>
          <w:sz w:val="32"/>
          <w:szCs w:val="32"/>
          <w:lang w:val="en-US" w:eastAsia="zh-CN"/>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资金分配情况：</w:t>
      </w:r>
      <w:r>
        <w:rPr>
          <w:rFonts w:hint="eastAsia" w:ascii="仿宋" w:hAnsi="仿宋" w:eastAsia="仿宋" w:cs="宋体"/>
          <w:color w:val="000000" w:themeColor="text1"/>
          <w:kern w:val="0"/>
          <w:sz w:val="32"/>
          <w:szCs w:val="32"/>
          <w:lang w:eastAsia="zh-CN"/>
          <w14:textFill>
            <w14:solidFill>
              <w14:schemeClr w14:val="tx1"/>
            </w14:solidFill>
          </w14:textFill>
        </w:rPr>
        <w:t>公务用车运行维护费</w:t>
      </w:r>
      <w:r>
        <w:rPr>
          <w:rFonts w:hint="eastAsia" w:ascii="仿宋" w:hAnsi="仿宋" w:eastAsia="仿宋" w:cs="宋体"/>
          <w:color w:val="000000" w:themeColor="text1"/>
          <w:kern w:val="0"/>
          <w:sz w:val="32"/>
          <w:szCs w:val="32"/>
          <w:lang w:val="en-US" w:eastAsia="zh-CN"/>
          <w14:textFill>
            <w14:solidFill>
              <w14:schemeClr w14:val="tx1"/>
            </w14:solidFill>
          </w14:textFill>
        </w:rPr>
        <w:t>2万元、办案差旅费1万元、疑似假冒伪劣农药、兽药检测费2万元。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资金执行时间：</w:t>
      </w:r>
      <w:r>
        <w:rPr>
          <w:rFonts w:hint="eastAsia" w:ascii="仿宋" w:hAnsi="仿宋" w:eastAsia="仿宋" w:cs="宋体"/>
          <w:kern w:val="0"/>
          <w:sz w:val="32"/>
          <w:szCs w:val="32"/>
          <w:lang w:eastAsia="zh-CN"/>
        </w:rPr>
        <w:t>2021</w:t>
      </w:r>
      <w:r>
        <w:rPr>
          <w:rFonts w:hint="eastAsia" w:ascii="仿宋" w:hAnsi="仿宋" w:eastAsia="仿宋" w:cs="宋体"/>
          <w:kern w:val="0"/>
          <w:sz w:val="32"/>
          <w:szCs w:val="32"/>
        </w:rPr>
        <w:t>年</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2、</w:t>
      </w:r>
      <w:r>
        <w:rPr>
          <w:rFonts w:hint="eastAsia" w:ascii="仿宋" w:hAnsi="仿宋" w:eastAsia="仿宋" w:cs="宋体"/>
          <w:kern w:val="0"/>
          <w:sz w:val="32"/>
          <w:szCs w:val="32"/>
        </w:rPr>
        <w:t>项目名称：</w:t>
      </w:r>
      <w:r>
        <w:rPr>
          <w:rFonts w:hint="eastAsia" w:ascii="仿宋" w:hAnsi="仿宋" w:eastAsia="仿宋" w:cs="宋体"/>
          <w:kern w:val="0"/>
          <w:sz w:val="32"/>
          <w:szCs w:val="32"/>
          <w:lang w:eastAsia="zh-CN"/>
        </w:rPr>
        <w:t>执法装备建设项目</w:t>
      </w:r>
    </w:p>
    <w:p>
      <w:pPr>
        <w:widowControl/>
        <w:tabs>
          <w:tab w:val="left" w:pos="4660"/>
        </w:tabs>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设立的政策依据：</w:t>
      </w:r>
      <w:r>
        <w:rPr>
          <w:rFonts w:hint="eastAsia" w:ascii="仿宋" w:hAnsi="仿宋" w:eastAsia="仿宋" w:cs="宋体"/>
          <w:kern w:val="0"/>
          <w:sz w:val="32"/>
          <w:szCs w:val="32"/>
          <w:lang w:eastAsia="zh-CN"/>
        </w:rPr>
        <w:t>农业综合执法装备建设</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预算安排规模：</w:t>
      </w:r>
      <w:r>
        <w:rPr>
          <w:rFonts w:hint="eastAsia" w:ascii="仿宋" w:hAnsi="仿宋" w:eastAsia="仿宋" w:cs="宋体"/>
          <w:kern w:val="0"/>
          <w:sz w:val="32"/>
          <w:szCs w:val="32"/>
          <w:lang w:val="en-US" w:eastAsia="zh-CN"/>
        </w:rPr>
        <w:t>5</w:t>
      </w:r>
      <w:r>
        <w:rPr>
          <w:rFonts w:hint="eastAsia" w:ascii="仿宋" w:hAnsi="仿宋" w:eastAsia="仿宋" w:cs="宋体"/>
          <w:kern w:val="0"/>
          <w:sz w:val="32"/>
          <w:szCs w:val="32"/>
        </w:rPr>
        <w:t>万元</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项目承担单位：</w:t>
      </w:r>
      <w:r>
        <w:rPr>
          <w:rFonts w:hint="eastAsia" w:ascii="仿宋" w:hAnsi="仿宋" w:eastAsia="仿宋" w:cs="宋体"/>
          <w:kern w:val="0"/>
          <w:sz w:val="32"/>
          <w:szCs w:val="32"/>
          <w:lang w:eastAsia="zh-CN"/>
        </w:rPr>
        <w:t>克孜勒苏柯尔克孜自治州农业综合行政执法支队</w:t>
      </w:r>
    </w:p>
    <w:p>
      <w:pPr>
        <w:widowControl/>
        <w:spacing w:line="500" w:lineRule="exact"/>
        <w:ind w:firstLine="640" w:firstLineChars="200"/>
        <w:jc w:val="left"/>
        <w:rPr>
          <w:rFonts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资金分配情况：设备采购费</w:t>
      </w:r>
      <w:r>
        <w:rPr>
          <w:rFonts w:hint="eastAsia" w:ascii="仿宋" w:hAnsi="仿宋" w:eastAsia="仿宋" w:cs="宋体"/>
          <w:color w:val="000000" w:themeColor="text1"/>
          <w:kern w:val="0"/>
          <w:sz w:val="32"/>
          <w:szCs w:val="32"/>
          <w:lang w:val="en-US" w:eastAsia="zh-CN"/>
          <w14:textFill>
            <w14:solidFill>
              <w14:schemeClr w14:val="tx1"/>
            </w14:solidFill>
          </w14:textFill>
        </w:rPr>
        <w:t>5</w:t>
      </w:r>
      <w:r>
        <w:rPr>
          <w:rFonts w:hint="eastAsia" w:ascii="仿宋" w:hAnsi="仿宋" w:eastAsia="仿宋" w:cs="宋体"/>
          <w:color w:val="000000" w:themeColor="text1"/>
          <w:kern w:val="0"/>
          <w:sz w:val="32"/>
          <w:szCs w:val="32"/>
          <w14:textFill>
            <w14:solidFill>
              <w14:schemeClr w14:val="tx1"/>
            </w14:solidFill>
          </w14:textFill>
        </w:rPr>
        <w:t>万元。</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资金执行时间：</w:t>
      </w:r>
      <w:r>
        <w:rPr>
          <w:rFonts w:hint="eastAsia" w:ascii="仿宋" w:hAnsi="仿宋" w:eastAsia="仿宋" w:cs="宋体"/>
          <w:kern w:val="0"/>
          <w:sz w:val="32"/>
          <w:szCs w:val="32"/>
          <w:lang w:eastAsia="zh-CN"/>
        </w:rPr>
        <w:t>2021</w:t>
      </w:r>
      <w:r>
        <w:rPr>
          <w:rFonts w:hint="eastAsia" w:ascii="仿宋" w:hAnsi="仿宋" w:eastAsia="仿宋" w:cs="宋体"/>
          <w:kern w:val="0"/>
          <w:sz w:val="32"/>
          <w:szCs w:val="32"/>
        </w:rPr>
        <w:t>年</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lang w:val="en-US" w:eastAsia="zh-CN"/>
        </w:rPr>
        <w:t>3、</w:t>
      </w:r>
      <w:r>
        <w:rPr>
          <w:rFonts w:hint="eastAsia" w:ascii="仿宋" w:hAnsi="仿宋" w:eastAsia="仿宋" w:cs="宋体"/>
          <w:kern w:val="0"/>
          <w:sz w:val="32"/>
          <w:szCs w:val="32"/>
        </w:rPr>
        <w:t>项目名称：</w:t>
      </w:r>
      <w:r>
        <w:rPr>
          <w:rFonts w:hint="eastAsia" w:ascii="仿宋" w:hAnsi="仿宋" w:eastAsia="仿宋" w:cs="宋体"/>
          <w:kern w:val="0"/>
          <w:sz w:val="32"/>
          <w:szCs w:val="32"/>
          <w:lang w:eastAsia="zh-CN"/>
        </w:rPr>
        <w:t>农业综合执法运行经费</w:t>
      </w:r>
    </w:p>
    <w:p>
      <w:pPr>
        <w:widowControl/>
        <w:tabs>
          <w:tab w:val="left" w:pos="4660"/>
        </w:tabs>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设立的政策依据：</w:t>
      </w:r>
      <w:r>
        <w:rPr>
          <w:rFonts w:hint="eastAsia" w:ascii="仿宋" w:hAnsi="仿宋" w:eastAsia="仿宋" w:cs="宋体"/>
          <w:kern w:val="0"/>
          <w:sz w:val="32"/>
          <w:szCs w:val="32"/>
          <w:lang w:eastAsia="zh-CN"/>
        </w:rPr>
        <w:t>正常运行农业综合行政执法</w:t>
      </w:r>
    </w:p>
    <w:p>
      <w:pPr>
        <w:widowControl/>
        <w:spacing w:line="50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预算安排规模：</w:t>
      </w:r>
      <w:r>
        <w:rPr>
          <w:rFonts w:hint="eastAsia" w:ascii="仿宋" w:hAnsi="仿宋" w:eastAsia="仿宋" w:cs="宋体"/>
          <w:kern w:val="0"/>
          <w:sz w:val="32"/>
          <w:szCs w:val="32"/>
          <w:lang w:val="en-US" w:eastAsia="zh-CN"/>
        </w:rPr>
        <w:t>22</w:t>
      </w:r>
      <w:r>
        <w:rPr>
          <w:rFonts w:hint="eastAsia" w:ascii="仿宋" w:hAnsi="仿宋" w:eastAsia="仿宋" w:cs="宋体"/>
          <w:kern w:val="0"/>
          <w:sz w:val="32"/>
          <w:szCs w:val="32"/>
        </w:rPr>
        <w:t>万元</w:t>
      </w:r>
    </w:p>
    <w:p>
      <w:pPr>
        <w:widowControl/>
        <w:spacing w:line="500" w:lineRule="exact"/>
        <w:ind w:firstLine="640" w:firstLineChars="200"/>
        <w:jc w:val="left"/>
        <w:rPr>
          <w:rFonts w:hint="eastAsia" w:ascii="仿宋" w:hAnsi="仿宋" w:eastAsia="仿宋" w:cs="宋体"/>
          <w:kern w:val="0"/>
          <w:sz w:val="32"/>
          <w:szCs w:val="32"/>
          <w:lang w:eastAsia="zh-CN"/>
        </w:rPr>
      </w:pPr>
      <w:r>
        <w:rPr>
          <w:rFonts w:hint="eastAsia" w:ascii="仿宋" w:hAnsi="仿宋" w:eastAsia="仿宋" w:cs="宋体"/>
          <w:kern w:val="0"/>
          <w:sz w:val="32"/>
          <w:szCs w:val="32"/>
        </w:rPr>
        <w:t>项目承担单位：</w:t>
      </w:r>
      <w:r>
        <w:rPr>
          <w:rFonts w:hint="eastAsia" w:ascii="仿宋" w:hAnsi="仿宋" w:eastAsia="仿宋" w:cs="宋体"/>
          <w:kern w:val="0"/>
          <w:sz w:val="32"/>
          <w:szCs w:val="32"/>
          <w:lang w:eastAsia="zh-CN"/>
        </w:rPr>
        <w:t>克孜勒苏柯尔克孜自治州农业综合行政执法支队</w:t>
      </w:r>
    </w:p>
    <w:p>
      <w:pPr>
        <w:widowControl/>
        <w:spacing w:line="500" w:lineRule="exact"/>
        <w:ind w:firstLine="640" w:firstLineChars="200"/>
        <w:jc w:val="left"/>
        <w:rPr>
          <w:rFonts w:hint="default" w:ascii="仿宋" w:hAnsi="仿宋" w:eastAsia="仿宋" w:cs="宋体"/>
          <w:color w:val="000000" w:themeColor="text1"/>
          <w:kern w:val="0"/>
          <w:sz w:val="32"/>
          <w:szCs w:val="32"/>
          <w:lang w:val="en-US" w:eastAsia="zh-CN"/>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资金分配情况：</w:t>
      </w:r>
      <w:r>
        <w:rPr>
          <w:rFonts w:hint="eastAsia" w:ascii="仿宋" w:hAnsi="仿宋" w:eastAsia="仿宋" w:cs="宋体"/>
          <w:color w:val="000000" w:themeColor="text1"/>
          <w:kern w:val="0"/>
          <w:sz w:val="32"/>
          <w:szCs w:val="32"/>
          <w:lang w:eastAsia="zh-CN"/>
          <w14:textFill>
            <w14:solidFill>
              <w14:schemeClr w14:val="tx1"/>
            </w14:solidFill>
          </w14:textFill>
        </w:rPr>
        <w:t>印刷费</w:t>
      </w:r>
      <w:r>
        <w:rPr>
          <w:rFonts w:hint="eastAsia" w:ascii="仿宋" w:hAnsi="仿宋" w:eastAsia="仿宋" w:cs="宋体"/>
          <w:color w:val="000000" w:themeColor="text1"/>
          <w:kern w:val="0"/>
          <w:sz w:val="32"/>
          <w:szCs w:val="32"/>
          <w:lang w:val="en-US" w:eastAsia="zh-CN"/>
          <w14:textFill>
            <w14:solidFill>
              <w14:schemeClr w14:val="tx1"/>
            </w14:solidFill>
          </w14:textFill>
        </w:rPr>
        <w:t>0.6万元、差旅费6万元、公务用车运行维护费3.5万元、办公用品及设备采购费用11.9万元。</w:t>
      </w:r>
    </w:p>
    <w:p>
      <w:pPr>
        <w:widowControl/>
        <w:spacing w:line="500" w:lineRule="exact"/>
        <w:ind w:firstLine="640" w:firstLineChars="200"/>
        <w:jc w:val="left"/>
        <w:rPr>
          <w:rFonts w:hint="eastAsia" w:ascii="仿宋" w:hAnsi="仿宋" w:eastAsia="仿宋" w:cs="宋体"/>
          <w:kern w:val="0"/>
          <w:sz w:val="32"/>
          <w:szCs w:val="32"/>
        </w:rPr>
      </w:pPr>
      <w:r>
        <w:rPr>
          <w:rFonts w:hint="eastAsia" w:ascii="仿宋" w:hAnsi="仿宋" w:eastAsia="仿宋" w:cs="宋体"/>
          <w:kern w:val="0"/>
          <w:sz w:val="32"/>
          <w:szCs w:val="32"/>
        </w:rPr>
        <w:t>资金执行时间：</w:t>
      </w:r>
      <w:r>
        <w:rPr>
          <w:rFonts w:hint="eastAsia" w:ascii="仿宋" w:hAnsi="仿宋" w:eastAsia="仿宋" w:cs="宋体"/>
          <w:kern w:val="0"/>
          <w:sz w:val="32"/>
          <w:szCs w:val="32"/>
          <w:lang w:eastAsia="zh-CN"/>
        </w:rPr>
        <w:t>2021</w:t>
      </w:r>
      <w:r>
        <w:rPr>
          <w:rFonts w:hint="eastAsia" w:ascii="仿宋" w:hAnsi="仿宋" w:eastAsia="仿宋" w:cs="宋体"/>
          <w:kern w:val="0"/>
          <w:sz w:val="32"/>
          <w:szCs w:val="32"/>
        </w:rPr>
        <w:t>年</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克孜勒苏柯尔克孜自治州农业综合行政执法支队2021</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7.5</w:t>
      </w:r>
      <w:r>
        <w:rPr>
          <w:rFonts w:hint="eastAsia" w:ascii="仿宋_GB2312" w:hAnsi="宋体" w:eastAsia="仿宋_GB2312" w:cs="宋体"/>
          <w:kern w:val="0"/>
          <w:sz w:val="32"/>
          <w:szCs w:val="32"/>
        </w:rPr>
        <w:t>万元，其中：因公出国（境）费0万元，公务用车购置0万元，公务用车运行费</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万元，公务接待费0.5万元。</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年“三公”经费财政拨款预算比上年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2.94</w:t>
      </w:r>
      <w:r>
        <w:rPr>
          <w:rFonts w:hint="eastAsia" w:ascii="仿宋_GB2312" w:hAnsi="宋体" w:eastAsia="仿宋_GB2312" w:cs="宋体"/>
          <w:kern w:val="0"/>
          <w:sz w:val="32"/>
          <w:szCs w:val="32"/>
        </w:rPr>
        <w:t>万元，其中：因公出国（境）费增加0万元，主要原因是无；公务用车购置费为0，未安排预算。公务用车运行费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2.94</w:t>
      </w:r>
      <w:r>
        <w:rPr>
          <w:rFonts w:hint="eastAsia" w:ascii="仿宋_GB2312" w:hAnsi="宋体" w:eastAsia="仿宋_GB2312" w:cs="宋体"/>
          <w:kern w:val="0"/>
          <w:sz w:val="32"/>
          <w:szCs w:val="32"/>
        </w:rPr>
        <w:t>万元，主要原因是</w:t>
      </w:r>
      <w:r>
        <w:rPr>
          <w:rFonts w:hint="eastAsia" w:ascii="仿宋_GB2312" w:hAnsi="仿宋_GB2312" w:eastAsia="仿宋_GB2312" w:cs="仿宋_GB2312"/>
          <w:sz w:val="32"/>
          <w:szCs w:val="32"/>
        </w:rPr>
        <w:t>今年</w:t>
      </w:r>
      <w:r>
        <w:rPr>
          <w:rFonts w:hint="eastAsia" w:ascii="仿宋_GB2312" w:hAnsi="仿宋_GB2312" w:eastAsia="仿宋_GB2312" w:cs="仿宋_GB2312"/>
          <w:sz w:val="32"/>
          <w:szCs w:val="32"/>
          <w:lang w:eastAsia="zh-CN"/>
        </w:rPr>
        <w:t>机构改革原因单位职能有变动，单位开展业务工作范围较多，所以公务用车使用量较多，并单位车辆有所老化，维修、维护费也比较多</w:t>
      </w:r>
      <w:r>
        <w:rPr>
          <w:rFonts w:hint="eastAsia" w:ascii="仿宋_GB2312" w:hAnsi="宋体" w:eastAsia="仿宋_GB2312" w:cs="宋体"/>
          <w:kern w:val="0"/>
          <w:sz w:val="32"/>
          <w:szCs w:val="32"/>
        </w:rPr>
        <w:t>；公务接待费增加0万元，</w:t>
      </w:r>
      <w:r>
        <w:rPr>
          <w:rFonts w:hint="eastAsia" w:ascii="仿宋_GB2312" w:hAnsi="宋体" w:eastAsia="仿宋_GB2312" w:cs="宋体"/>
          <w:kern w:val="0"/>
          <w:sz w:val="32"/>
          <w:szCs w:val="32"/>
          <w:lang w:eastAsia="zh-CN"/>
        </w:rPr>
        <w:t>与去年持平。</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克孜勒苏柯尔克孜自治州农业综合行政执法支队2021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克孜勒苏柯尔克孜自治州农业综合行政执法支队2021</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2021</w:t>
      </w:r>
      <w:r>
        <w:rPr>
          <w:rFonts w:hint="eastAsia" w:ascii="仿宋_GB2312" w:hAnsi="宋体" w:eastAsia="仿宋_GB2312" w:cs="宋体"/>
          <w:kern w:val="0"/>
          <w:sz w:val="32"/>
          <w:szCs w:val="32"/>
          <w:highlight w:val="none"/>
        </w:rPr>
        <w:t>年，</w:t>
      </w:r>
      <w:r>
        <w:rPr>
          <w:rFonts w:hint="eastAsia" w:ascii="仿宋_GB2312" w:hAnsi="宋体" w:eastAsia="仿宋_GB2312" w:cs="宋体"/>
          <w:kern w:val="0"/>
          <w:sz w:val="32"/>
          <w:szCs w:val="32"/>
          <w:highlight w:val="none"/>
          <w:lang w:eastAsia="zh-CN"/>
        </w:rPr>
        <w:t>克孜勒苏柯尔克孜自治州农业综合行政执法支队本级及下属</w:t>
      </w:r>
      <w:r>
        <w:rPr>
          <w:rFonts w:hint="eastAsia" w:ascii="仿宋_GB2312" w:hAnsi="宋体" w:eastAsia="仿宋_GB2312" w:cs="宋体"/>
          <w:kern w:val="0"/>
          <w:sz w:val="32"/>
          <w:szCs w:val="32"/>
          <w:highlight w:val="none"/>
          <w:lang w:val="en-US" w:eastAsia="zh-CN"/>
        </w:rPr>
        <w:t>0家行政单位和0家</w:t>
      </w:r>
      <w:r>
        <w:rPr>
          <w:rFonts w:hint="eastAsia" w:ascii="仿宋_GB2312" w:hAnsi="宋体" w:eastAsia="仿宋_GB2312" w:cs="宋体"/>
          <w:kern w:val="0"/>
          <w:sz w:val="32"/>
          <w:szCs w:val="32"/>
          <w:highlight w:val="none"/>
        </w:rPr>
        <w:t>事业单位</w:t>
      </w:r>
      <w:r>
        <w:rPr>
          <w:rFonts w:hint="eastAsia" w:ascii="仿宋_GB2312" w:hAnsi="宋体" w:eastAsia="仿宋_GB2312" w:cs="宋体"/>
          <w:kern w:val="0"/>
          <w:sz w:val="32"/>
          <w:szCs w:val="32"/>
          <w:highlight w:val="none"/>
          <w:lang w:eastAsia="zh-CN"/>
        </w:rPr>
        <w:t>的</w:t>
      </w:r>
      <w:r>
        <w:rPr>
          <w:rFonts w:hint="eastAsia" w:ascii="仿宋_GB2312" w:hAnsi="宋体" w:eastAsia="仿宋_GB2312" w:cs="宋体"/>
          <w:kern w:val="0"/>
          <w:sz w:val="32"/>
          <w:szCs w:val="32"/>
          <w:highlight w:val="none"/>
        </w:rPr>
        <w:t>机关运行经费财政拨款预算</w:t>
      </w:r>
      <w:r>
        <w:rPr>
          <w:rFonts w:hint="eastAsia" w:ascii="仿宋_GB2312" w:hAnsi="宋体" w:eastAsia="仿宋_GB2312" w:cs="宋体"/>
          <w:kern w:val="0"/>
          <w:sz w:val="32"/>
          <w:szCs w:val="32"/>
          <w:highlight w:val="none"/>
          <w:lang w:val="en-US" w:eastAsia="zh-CN"/>
        </w:rPr>
        <w:t>22.7</w:t>
      </w:r>
      <w:r>
        <w:rPr>
          <w:rFonts w:hint="eastAsia" w:ascii="仿宋_GB2312" w:hAnsi="宋体" w:eastAsia="仿宋_GB2312" w:cs="宋体"/>
          <w:kern w:val="0"/>
          <w:sz w:val="32"/>
          <w:szCs w:val="32"/>
          <w:highlight w:val="none"/>
        </w:rPr>
        <w:t>万元，比上年预算增加</w:t>
      </w:r>
      <w:r>
        <w:rPr>
          <w:rFonts w:hint="eastAsia" w:ascii="仿宋_GB2312" w:hAnsi="宋体" w:eastAsia="仿宋_GB2312" w:cs="宋体"/>
          <w:kern w:val="0"/>
          <w:sz w:val="32"/>
          <w:szCs w:val="32"/>
          <w:highlight w:val="none"/>
          <w:lang w:val="en-US" w:eastAsia="zh-CN"/>
        </w:rPr>
        <w:t>10.42</w:t>
      </w:r>
      <w:r>
        <w:rPr>
          <w:rFonts w:hint="eastAsia" w:ascii="仿宋_GB2312" w:hAnsi="宋体" w:eastAsia="仿宋_GB2312" w:cs="宋体"/>
          <w:kern w:val="0"/>
          <w:sz w:val="32"/>
          <w:szCs w:val="32"/>
          <w:highlight w:val="none"/>
        </w:rPr>
        <w:t>万元，增长</w:t>
      </w:r>
      <w:r>
        <w:rPr>
          <w:rFonts w:hint="eastAsia" w:ascii="仿宋_GB2312" w:hAnsi="宋体" w:eastAsia="仿宋_GB2312" w:cs="宋体"/>
          <w:kern w:val="0"/>
          <w:sz w:val="32"/>
          <w:szCs w:val="32"/>
          <w:highlight w:val="none"/>
          <w:lang w:val="en-US" w:eastAsia="zh-CN"/>
        </w:rPr>
        <w:t>84.85</w:t>
      </w:r>
      <w:r>
        <w:rPr>
          <w:rFonts w:hint="eastAsia" w:ascii="仿宋_GB2312" w:hAnsi="宋体" w:eastAsia="仿宋_GB2312" w:cs="宋体"/>
          <w:kern w:val="0"/>
          <w:sz w:val="32"/>
          <w:szCs w:val="32"/>
          <w:highlight w:val="none"/>
        </w:rPr>
        <w:t>%。主要原因是</w:t>
      </w:r>
      <w:r>
        <w:rPr>
          <w:rFonts w:hint="eastAsia" w:ascii="仿宋" w:hAnsi="仿宋" w:eastAsia="仿宋" w:cs="宋体"/>
          <w:sz w:val="32"/>
          <w:szCs w:val="32"/>
        </w:rPr>
        <w:t>今年</w:t>
      </w:r>
      <w:r>
        <w:rPr>
          <w:rFonts w:hint="eastAsia" w:ascii="仿宋" w:hAnsi="仿宋" w:eastAsia="仿宋" w:cs="宋体"/>
          <w:sz w:val="32"/>
          <w:szCs w:val="32"/>
          <w:lang w:eastAsia="zh-CN"/>
        </w:rPr>
        <w:t>机构改革的原因增加单位人数和公用经费，同步增加人员经费</w:t>
      </w:r>
      <w:r>
        <w:rPr>
          <w:rFonts w:hint="eastAsia" w:ascii="仿宋" w:hAnsi="仿宋" w:eastAsia="仿宋" w:cs="宋体"/>
          <w:sz w:val="32"/>
          <w:szCs w:val="32"/>
          <w:lang w:val="en-US" w:eastAsia="zh-CN"/>
        </w:rPr>
        <w:t>和</w:t>
      </w:r>
      <w:r>
        <w:rPr>
          <w:rFonts w:hint="eastAsia" w:ascii="仿宋" w:hAnsi="仿宋" w:eastAsia="仿宋" w:cs="宋体"/>
          <w:sz w:val="32"/>
          <w:szCs w:val="32"/>
          <w:lang w:eastAsia="zh-CN"/>
        </w:rPr>
        <w:t>日常公用经费；</w:t>
      </w:r>
      <w:r>
        <w:rPr>
          <w:rFonts w:hint="eastAsia" w:ascii="仿宋_GB2312" w:hAnsi="宋体" w:eastAsia="仿宋_GB2312" w:cs="宋体"/>
          <w:kern w:val="0"/>
          <w:sz w:val="32"/>
          <w:szCs w:val="32"/>
          <w:highlight w:val="none"/>
        </w:rPr>
        <w:t>人员经费增多，逐步福利费和工会经费也增多。</w:t>
      </w:r>
    </w:p>
    <w:p>
      <w:pPr>
        <w:spacing w:line="560" w:lineRule="exact"/>
        <w:ind w:firstLine="640"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rPr>
        <w:t xml:space="preserve">及下属单位政府采购预算 </w:t>
      </w:r>
      <w:r>
        <w:rPr>
          <w:rFonts w:hint="eastAsia" w:ascii="仿宋_GB2312" w:hAnsi="宋体" w:eastAsia="仿宋_GB2312" w:cs="宋体"/>
          <w:kern w:val="0"/>
          <w:sz w:val="32"/>
          <w:szCs w:val="32"/>
          <w:lang w:val="en-US" w:eastAsia="zh-CN"/>
        </w:rPr>
        <w:t>35.45</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24.95</w:t>
      </w:r>
      <w:r>
        <w:rPr>
          <w:rFonts w:hint="eastAsia" w:ascii="仿宋_GB2312" w:hAnsi="宋体" w:eastAsia="仿宋_GB2312" w:cs="宋体"/>
          <w:kern w:val="0"/>
          <w:sz w:val="32"/>
          <w:szCs w:val="32"/>
        </w:rPr>
        <w:t>万元，政府采购工程预算0万元，政府采购服务预算</w:t>
      </w:r>
      <w:r>
        <w:rPr>
          <w:rFonts w:hint="eastAsia" w:ascii="仿宋_GB2312" w:hAnsi="宋体" w:eastAsia="仿宋_GB2312" w:cs="宋体"/>
          <w:kern w:val="0"/>
          <w:sz w:val="32"/>
          <w:szCs w:val="32"/>
          <w:lang w:val="en-US" w:eastAsia="zh-CN"/>
        </w:rPr>
        <w:t>10.5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lang w:eastAsia="zh-CN"/>
        </w:rPr>
        <w:t>2021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24.95</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14.95</w:t>
      </w:r>
      <w:r>
        <w:rPr>
          <w:rFonts w:hint="eastAsia" w:ascii="仿宋_GB2312" w:hAnsi="仿宋_GB2312" w:eastAsia="仿宋_GB2312"/>
          <w:sz w:val="32"/>
        </w:rPr>
        <w:t>万元。</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w:t>
      </w:r>
      <w:r>
        <w:rPr>
          <w:rFonts w:hint="eastAsia" w:ascii="仿宋_GB2312" w:hAnsi="宋体" w:eastAsia="仿宋_GB2312" w:cs="宋体"/>
          <w:kern w:val="0"/>
          <w:sz w:val="32"/>
          <w:szCs w:val="32"/>
          <w:lang w:val="en-US" w:eastAsia="zh-CN"/>
        </w:rPr>
        <w:t>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rPr>
        <w:t>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w:t>
      </w:r>
      <w:r>
        <w:rPr>
          <w:rFonts w:hint="eastAsia" w:ascii="仿宋_GB2312" w:hAnsi="宋体" w:eastAsia="仿宋_GB2312" w:cs="宋体"/>
          <w:kern w:val="0"/>
          <w:sz w:val="32"/>
          <w:szCs w:val="32"/>
          <w:lang w:val="en-US" w:eastAsia="zh-CN"/>
        </w:rPr>
        <w:t>39.31</w:t>
      </w:r>
      <w:r>
        <w:rPr>
          <w:rFonts w:hint="eastAsia" w:ascii="仿宋_GB2312" w:hAnsi="宋体" w:eastAsia="仿宋_GB2312" w:cs="宋体"/>
          <w:kern w:val="0"/>
          <w:sz w:val="32"/>
          <w:szCs w:val="32"/>
        </w:rPr>
        <w:t>万元；其中：一般公务用车1辆，价值9万元；执法执勤用车2辆，价值</w:t>
      </w:r>
      <w:r>
        <w:rPr>
          <w:rFonts w:hint="eastAsia" w:ascii="仿宋_GB2312" w:hAnsi="宋体" w:eastAsia="仿宋_GB2312" w:cs="宋体"/>
          <w:kern w:val="0"/>
          <w:sz w:val="32"/>
          <w:szCs w:val="32"/>
          <w:lang w:val="en-US" w:eastAsia="zh-CN"/>
        </w:rPr>
        <w:t>30.31</w:t>
      </w:r>
      <w:r>
        <w:rPr>
          <w:rFonts w:hint="eastAsia" w:ascii="仿宋_GB2312" w:hAnsi="宋体" w:eastAsia="仿宋_GB2312" w:cs="宋体"/>
          <w:kern w:val="0"/>
          <w:sz w:val="32"/>
          <w:szCs w:val="32"/>
        </w:rPr>
        <w:t>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4.48</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4.其他资产价值 </w:t>
      </w:r>
      <w:r>
        <w:rPr>
          <w:rFonts w:hint="eastAsia" w:ascii="仿宋_GB2312" w:hAnsi="宋体" w:eastAsia="仿宋_GB2312" w:cs="宋体"/>
          <w:kern w:val="0"/>
          <w:sz w:val="32"/>
          <w:szCs w:val="32"/>
          <w:lang w:val="en-US" w:eastAsia="zh-CN"/>
        </w:rPr>
        <w:t>22.15</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年部门预算未安排购置车辆经费（或安排购置车辆经费0万元），安排购置50万元以上大型设备0台（套），单位价值100万元以上大型设备 0台（套）。</w:t>
      </w:r>
    </w:p>
    <w:p>
      <w:pPr>
        <w:spacing w:line="560" w:lineRule="exact"/>
        <w:ind w:firstLine="640"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32</w:t>
      </w:r>
      <w:r>
        <w:rPr>
          <w:rFonts w:hint="eastAsia" w:ascii="仿宋_GB2312" w:hAnsi="宋体" w:eastAsia="仿宋_GB2312" w:cs="宋体"/>
          <w:kern w:val="0"/>
          <w:sz w:val="32"/>
          <w:szCs w:val="32"/>
        </w:rPr>
        <w:t>万元。具体情况见下表（按项目分别填报）：</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pStyle w:val="2"/>
        <w:rPr>
          <w:rFonts w:hint="eastAsia" w:ascii="仿宋_GB2312" w:hAnsi="宋体" w:eastAsia="仿宋_GB2312" w:cs="宋体"/>
          <w:kern w:val="0"/>
          <w:sz w:val="32"/>
          <w:szCs w:val="32"/>
        </w:rPr>
      </w:pPr>
    </w:p>
    <w:p>
      <w:pPr>
        <w:rPr>
          <w:rFonts w:hint="eastAsia" w:ascii="仿宋_GB2312" w:hAnsi="宋体" w:eastAsia="仿宋_GB2312" w:cs="宋体"/>
          <w:kern w:val="0"/>
          <w:sz w:val="32"/>
          <w:szCs w:val="32"/>
        </w:rPr>
      </w:pPr>
    </w:p>
    <w:p>
      <w:pPr>
        <w:pStyle w:val="2"/>
        <w:rPr>
          <w:rFonts w:hint="eastAsia"/>
        </w:rPr>
      </w:pPr>
    </w:p>
    <w:p>
      <w:pPr>
        <w:spacing w:line="560" w:lineRule="exact"/>
        <w:ind w:firstLine="640" w:firstLineChars="200"/>
        <w:rPr>
          <w:rFonts w:hint="eastAsia" w:ascii="仿宋_GB2312" w:hAnsi="宋体" w:eastAsia="仿宋_GB2312" w:cs="宋体"/>
          <w:kern w:val="0"/>
          <w:sz w:val="32"/>
          <w:szCs w:val="32"/>
        </w:rPr>
      </w:pPr>
    </w:p>
    <w:p>
      <w:pPr>
        <w:spacing w:line="560" w:lineRule="exact"/>
        <w:rPr>
          <w:rFonts w:hint="eastAsia" w:ascii="仿宋_GB2312" w:hAnsi="宋体" w:eastAsia="仿宋_GB2312" w:cs="宋体"/>
          <w:kern w:val="0"/>
          <w:sz w:val="32"/>
          <w:szCs w:val="32"/>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tbl>
      <w:tblPr>
        <w:tblStyle w:val="8"/>
        <w:tblpPr w:leftFromText="180" w:rightFromText="180" w:vertAnchor="text" w:horzAnchor="page" w:tblpX="736" w:tblpY="31"/>
        <w:tblOverlap w:val="never"/>
        <w:tblW w:w="10500" w:type="dxa"/>
        <w:tblInd w:w="0" w:type="dxa"/>
        <w:shd w:val="clear" w:color="auto" w:fill="auto"/>
        <w:tblLayout w:type="autofit"/>
        <w:tblCellMar>
          <w:top w:w="0" w:type="dxa"/>
          <w:left w:w="0" w:type="dxa"/>
          <w:bottom w:w="0" w:type="dxa"/>
          <w:right w:w="0" w:type="dxa"/>
        </w:tblCellMar>
      </w:tblPr>
      <w:tblGrid>
        <w:gridCol w:w="1314"/>
        <w:gridCol w:w="735"/>
        <w:gridCol w:w="735"/>
        <w:gridCol w:w="1620"/>
        <w:gridCol w:w="150"/>
        <w:gridCol w:w="3375"/>
        <w:gridCol w:w="105"/>
        <w:gridCol w:w="390"/>
        <w:gridCol w:w="1482"/>
        <w:gridCol w:w="543"/>
        <w:gridCol w:w="51"/>
      </w:tblGrid>
      <w:tr>
        <w:tblPrEx>
          <w:shd w:val="clear" w:color="auto" w:fill="auto"/>
          <w:tblCellMar>
            <w:top w:w="0" w:type="dxa"/>
            <w:left w:w="0" w:type="dxa"/>
            <w:bottom w:w="0" w:type="dxa"/>
            <w:right w:w="0" w:type="dxa"/>
          </w:tblCellMar>
        </w:tblPrEx>
        <w:trPr>
          <w:trHeight w:val="675" w:hRule="atLeast"/>
        </w:trPr>
        <w:tc>
          <w:tcPr>
            <w:tcW w:w="1050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部门预算项目支出绩效目标表</w:t>
            </w:r>
          </w:p>
        </w:tc>
      </w:tr>
      <w:tr>
        <w:tblPrEx>
          <w:tblCellMar>
            <w:top w:w="0" w:type="dxa"/>
            <w:left w:w="0" w:type="dxa"/>
            <w:bottom w:w="0" w:type="dxa"/>
            <w:right w:w="0" w:type="dxa"/>
          </w:tblCellMar>
        </w:tblPrEx>
        <w:trPr>
          <w:trHeight w:val="499" w:hRule="atLeast"/>
        </w:trPr>
        <w:tc>
          <w:tcPr>
            <w:tcW w:w="10500" w:type="dxa"/>
            <w:gridSpan w:val="11"/>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CellMar>
            <w:top w:w="0" w:type="dxa"/>
            <w:left w:w="0" w:type="dxa"/>
            <w:bottom w:w="0" w:type="dxa"/>
            <w:right w:w="0" w:type="dxa"/>
          </w:tblCellMar>
        </w:tblPrEx>
        <w:trPr>
          <w:trHeight w:val="499" w:hRule="atLeast"/>
        </w:trPr>
        <w:tc>
          <w:tcPr>
            <w:tcW w:w="45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执法装备建设项目经费</w:t>
            </w:r>
          </w:p>
        </w:tc>
      </w:tr>
      <w:tr>
        <w:tblPrEx>
          <w:tblCellMar>
            <w:top w:w="0" w:type="dxa"/>
            <w:left w:w="0" w:type="dxa"/>
            <w:bottom w:w="0" w:type="dxa"/>
            <w:right w:w="0" w:type="dxa"/>
          </w:tblCellMar>
        </w:tblPrEx>
        <w:trPr>
          <w:trHeight w:val="499" w:hRule="atLeast"/>
        </w:trPr>
        <w:tc>
          <w:tcPr>
            <w:tcW w:w="4554"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克孜勒苏柯尔克孜自治州农业综合行政执法支队</w:t>
            </w:r>
          </w:p>
        </w:tc>
      </w:tr>
      <w:tr>
        <w:tblPrEx>
          <w:tblCellMar>
            <w:top w:w="0" w:type="dxa"/>
            <w:left w:w="0" w:type="dxa"/>
            <w:bottom w:w="0" w:type="dxa"/>
            <w:right w:w="0" w:type="dxa"/>
          </w:tblCellMar>
        </w:tblPrEx>
        <w:trPr>
          <w:trHeight w:val="499" w:hRule="atLeast"/>
        </w:trPr>
        <w:tc>
          <w:tcPr>
            <w:tcW w:w="4554"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年度资金总额：5</w:t>
            </w:r>
          </w:p>
        </w:tc>
      </w:tr>
      <w:tr>
        <w:tblPrEx>
          <w:tblCellMar>
            <w:top w:w="0" w:type="dxa"/>
            <w:left w:w="0" w:type="dxa"/>
            <w:bottom w:w="0" w:type="dxa"/>
            <w:right w:w="0" w:type="dxa"/>
          </w:tblCellMar>
        </w:tblPrEx>
        <w:trPr>
          <w:trHeight w:val="499" w:hRule="atLeast"/>
        </w:trPr>
        <w:tc>
          <w:tcPr>
            <w:tcW w:w="455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  5</w:t>
            </w:r>
          </w:p>
        </w:tc>
      </w:tr>
      <w:tr>
        <w:tblPrEx>
          <w:tblCellMar>
            <w:top w:w="0" w:type="dxa"/>
            <w:left w:w="0" w:type="dxa"/>
            <w:bottom w:w="0" w:type="dxa"/>
            <w:right w:w="0" w:type="dxa"/>
          </w:tblCellMar>
        </w:tblPrEx>
        <w:trPr>
          <w:trHeight w:val="499" w:hRule="atLeast"/>
        </w:trPr>
        <w:tc>
          <w:tcPr>
            <w:tcW w:w="4554"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946"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  0</w:t>
            </w:r>
          </w:p>
        </w:tc>
      </w:tr>
      <w:tr>
        <w:tblPrEx>
          <w:tblCellMar>
            <w:top w:w="0" w:type="dxa"/>
            <w:left w:w="0" w:type="dxa"/>
            <w:bottom w:w="0" w:type="dxa"/>
            <w:right w:w="0" w:type="dxa"/>
          </w:tblCellMar>
        </w:tblPrEx>
        <w:trPr>
          <w:trHeight w:val="499" w:hRule="atLeast"/>
        </w:trPr>
        <w:tc>
          <w:tcPr>
            <w:tcW w:w="2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45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CellMar>
            <w:top w:w="0" w:type="dxa"/>
            <w:left w:w="0" w:type="dxa"/>
            <w:bottom w:w="0" w:type="dxa"/>
            <w:right w:w="0" w:type="dxa"/>
          </w:tblCellMar>
        </w:tblPrEx>
        <w:trPr>
          <w:trHeight w:val="1080"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51" w:type="dxa"/>
            <w:gridSpan w:val="9"/>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装备配备是农业行政执法能力现代化的重要标志，也是农业综合行政执法的条件保障。根据轻重缓急采购执法装备，确保执法装备配备能够满足农业综合行政执法工作需要，着力提升执法监管能力。2021年，通过采购最基本的办公设备和执法装备，保障农业执法工作基本需求。</w:t>
            </w:r>
          </w:p>
        </w:tc>
      </w:tr>
      <w:tr>
        <w:tblPrEx>
          <w:tblCellMar>
            <w:top w:w="0" w:type="dxa"/>
            <w:left w:w="0" w:type="dxa"/>
            <w:bottom w:w="0" w:type="dxa"/>
            <w:right w:w="0" w:type="dxa"/>
          </w:tblCellMar>
        </w:tblPrEx>
        <w:trPr>
          <w:trHeight w:val="499" w:hRule="atLeast"/>
        </w:trPr>
        <w:tc>
          <w:tcPr>
            <w:tcW w:w="20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项目产出</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采购国产电脑（台）</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笔记本电脑（台）</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国产打印机（台）</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办公设备</w:t>
            </w:r>
            <w:r>
              <w:rPr>
                <w:rFonts w:hint="eastAsia" w:ascii="宋体" w:hAnsi="宋体" w:eastAsia="宋体" w:cs="宋体"/>
                <w:i w:val="0"/>
                <w:color w:val="000000"/>
                <w:kern w:val="0"/>
                <w:sz w:val="20"/>
                <w:szCs w:val="20"/>
                <w:u w:val="none"/>
                <w:lang w:val="en-US" w:eastAsia="zh-CN" w:bidi="ar"/>
              </w:rPr>
              <w:t>（</w:t>
            </w:r>
            <w:r>
              <w:rPr>
                <w:rFonts w:hint="eastAsia" w:ascii="宋体" w:hAnsi="宋体" w:cs="宋体"/>
                <w:i w:val="0"/>
                <w:color w:val="000000"/>
                <w:kern w:val="0"/>
                <w:sz w:val="20"/>
                <w:szCs w:val="20"/>
                <w:u w:val="none"/>
                <w:lang w:val="en-US" w:eastAsia="zh-CN" w:bidi="ar"/>
              </w:rPr>
              <w:t>批</w:t>
            </w:r>
            <w:r>
              <w:rPr>
                <w:rFonts w:hint="eastAsia" w:ascii="宋体" w:hAnsi="宋体" w:eastAsia="宋体" w:cs="宋体"/>
                <w:i w:val="0"/>
                <w:color w:val="000000"/>
                <w:kern w:val="0"/>
                <w:sz w:val="20"/>
                <w:szCs w:val="20"/>
                <w:u w:val="none"/>
                <w:lang w:val="en-US" w:eastAsia="zh-CN" w:bidi="ar"/>
              </w:rPr>
              <w:t>）</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1</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政府采购率（%）</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购置质量验收合格率（%）</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3870" w:type="dxa"/>
            <w:gridSpan w:val="3"/>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办公用品及设备采购费用（万元）</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保障工作情况需要</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有效保障</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hint="eastAsia" w:ascii="宋体" w:hAnsi="宋体" w:eastAsia="宋体" w:cs="宋体"/>
                <w:i w:val="0"/>
                <w:color w:val="000000"/>
                <w:sz w:val="20"/>
                <w:szCs w:val="20"/>
                <w:u w:val="none"/>
              </w:rPr>
            </w:pP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提升执法监管能力</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效果显著</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受益工作人员满意度（%）</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CellMar>
            <w:top w:w="0" w:type="dxa"/>
            <w:left w:w="0" w:type="dxa"/>
            <w:bottom w:w="0" w:type="dxa"/>
            <w:right w:w="0" w:type="dxa"/>
          </w:tblCellMar>
        </w:tblPrEx>
        <w:trPr>
          <w:trHeight w:val="499" w:hRule="atLeast"/>
        </w:trPr>
        <w:tc>
          <w:tcPr>
            <w:tcW w:w="20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87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受益群众满意度（%）</w:t>
            </w:r>
          </w:p>
        </w:tc>
        <w:tc>
          <w:tcPr>
            <w:tcW w:w="207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CellMar>
            <w:top w:w="0" w:type="dxa"/>
            <w:left w:w="0" w:type="dxa"/>
            <w:bottom w:w="0" w:type="dxa"/>
            <w:right w:w="0" w:type="dxa"/>
          </w:tblCellMar>
        </w:tblPrEx>
        <w:trPr>
          <w:gridBefore w:val="1"/>
          <w:gridAfter w:val="2"/>
          <w:wBefore w:w="1314" w:type="dxa"/>
          <w:wAfter w:w="594" w:type="dxa"/>
          <w:trHeight w:val="550" w:hRule="atLeast"/>
        </w:trPr>
        <w:tc>
          <w:tcPr>
            <w:tcW w:w="8592"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ind w:firstLine="1928" w:firstLineChars="600"/>
              <w:jc w:val="both"/>
              <w:textAlignment w:val="center"/>
              <w:rPr>
                <w:rFonts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部门预算项目支出绩效目标表</w:t>
            </w:r>
          </w:p>
        </w:tc>
      </w:tr>
      <w:tr>
        <w:tblPrEx>
          <w:tblCellMar>
            <w:top w:w="0" w:type="dxa"/>
            <w:left w:w="0" w:type="dxa"/>
            <w:bottom w:w="0" w:type="dxa"/>
            <w:right w:w="0" w:type="dxa"/>
          </w:tblCellMar>
        </w:tblPrEx>
        <w:trPr>
          <w:gridBefore w:val="1"/>
          <w:gridAfter w:val="2"/>
          <w:wBefore w:w="1314" w:type="dxa"/>
          <w:wAfter w:w="594" w:type="dxa"/>
          <w:trHeight w:val="390" w:hRule="atLeast"/>
        </w:trPr>
        <w:tc>
          <w:tcPr>
            <w:tcW w:w="8592" w:type="dxa"/>
            <w:gridSpan w:val="8"/>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（2020年度）</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53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农业综合执法运行经费</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324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53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克孜勒苏柯尔克孜自治州农业综合行政执法支队</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3240"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53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年度资金总额：22</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32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  22</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3240"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535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  0</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8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CellMar>
            <w:top w:w="0" w:type="dxa"/>
            <w:left w:w="0" w:type="dxa"/>
            <w:bottom w:w="0" w:type="dxa"/>
            <w:right w:w="0" w:type="dxa"/>
          </w:tblCellMar>
        </w:tblPrEx>
        <w:trPr>
          <w:gridBefore w:val="1"/>
          <w:gridAfter w:val="2"/>
          <w:wBefore w:w="1314" w:type="dxa"/>
          <w:wAfter w:w="594" w:type="dxa"/>
          <w:trHeight w:val="150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85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克孜勒苏柯尔克孜自治州</w:t>
            </w:r>
            <w:r>
              <w:rPr>
                <w:rFonts w:hint="eastAsia" w:ascii="宋体" w:hAnsi="宋体" w:eastAsia="宋体" w:cs="宋体"/>
                <w:i w:val="0"/>
                <w:color w:val="000000"/>
                <w:kern w:val="0"/>
                <w:sz w:val="20"/>
                <w:szCs w:val="20"/>
                <w:u w:val="none"/>
                <w:lang w:val="en-US" w:eastAsia="zh-CN" w:bidi="ar"/>
              </w:rPr>
              <w:t>农业综合行政执法支队承担着全州动物卫生、饲料兽药、畜禽屠宰、种子、化肥、农药、地膜、农机、大型工程机械设备、农产品质量安全、渔政、基本农田保护、宅基地等十多个领域的行政处罚以及与行政处罚相关的行政检查、行政强制职能，负责执法的法律和行政法规共54部251项，执法对象近3万个，基本都是分布在乡村、建筑工地、矿山。通过配备必要办公和执法装备、加大执法检查力度，严厉查处违法案件，保障全州农业生产安全。</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开展执法检查（人</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次）</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采购办公及执法装备（批</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次）</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开展执法培训（人</w:t>
            </w:r>
            <w:r>
              <w:rPr>
                <w:rFonts w:hint="eastAsia" w:ascii="宋体" w:hAnsi="宋体" w:cs="宋体"/>
                <w:i w:val="0"/>
                <w:color w:val="000000"/>
                <w:kern w:val="0"/>
                <w:sz w:val="20"/>
                <w:szCs w:val="20"/>
                <w:u w:val="none"/>
                <w:lang w:val="en-US" w:eastAsia="zh-CN" w:bidi="ar"/>
              </w:rPr>
              <w:t>/</w:t>
            </w:r>
            <w:r>
              <w:rPr>
                <w:rFonts w:hint="eastAsia" w:ascii="宋体" w:hAnsi="宋体" w:eastAsia="宋体" w:cs="宋体"/>
                <w:i w:val="0"/>
                <w:color w:val="000000"/>
                <w:kern w:val="0"/>
                <w:sz w:val="20"/>
                <w:szCs w:val="20"/>
                <w:u w:val="none"/>
                <w:lang w:val="en-US" w:eastAsia="zh-CN" w:bidi="ar"/>
              </w:rPr>
              <w:t>次）</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w:t>
            </w:r>
          </w:p>
        </w:tc>
      </w:tr>
      <w:tr>
        <w:tblPrEx>
          <w:tblCellMar>
            <w:top w:w="0" w:type="dxa"/>
            <w:left w:w="0" w:type="dxa"/>
            <w:bottom w:w="0" w:type="dxa"/>
            <w:right w:w="0" w:type="dxa"/>
          </w:tblCellMar>
        </w:tblPrEx>
        <w:trPr>
          <w:gridBefore w:val="1"/>
          <w:gridAfter w:val="2"/>
          <w:wBefore w:w="1314" w:type="dxa"/>
          <w:wAfter w:w="594"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执法检查达标率（%）</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2"/>
          <w:wBefore w:w="1314" w:type="dxa"/>
          <w:wAfter w:w="594" w:type="dxa"/>
          <w:trHeight w:val="36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gridBefore w:val="1"/>
          <w:gridAfter w:val="2"/>
          <w:wBefore w:w="1314" w:type="dxa"/>
          <w:wAfter w:w="594" w:type="dxa"/>
          <w:trHeight w:val="38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印刷费（万元）</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0.6</w:t>
            </w:r>
          </w:p>
        </w:tc>
      </w:tr>
      <w:tr>
        <w:tblPrEx>
          <w:tblCellMar>
            <w:top w:w="0" w:type="dxa"/>
            <w:left w:w="0" w:type="dxa"/>
            <w:bottom w:w="0" w:type="dxa"/>
            <w:right w:w="0" w:type="dxa"/>
          </w:tblCellMar>
        </w:tblPrEx>
        <w:trPr>
          <w:gridBefore w:val="1"/>
          <w:gridAfter w:val="2"/>
          <w:wBefore w:w="1314" w:type="dxa"/>
          <w:wAfter w:w="594" w:type="dxa"/>
          <w:trHeight w:val="3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差旅费（万元）</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gridBefore w:val="1"/>
          <w:gridAfter w:val="2"/>
          <w:wBefore w:w="1314" w:type="dxa"/>
          <w:wAfter w:w="594" w:type="dxa"/>
          <w:trHeight w:val="41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公务用车运行维护费（万元）</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3.5</w:t>
            </w:r>
          </w:p>
        </w:tc>
      </w:tr>
      <w:tr>
        <w:tblPrEx>
          <w:tblCellMar>
            <w:top w:w="0" w:type="dxa"/>
            <w:left w:w="0" w:type="dxa"/>
            <w:bottom w:w="0" w:type="dxa"/>
            <w:right w:w="0" w:type="dxa"/>
          </w:tblCellMar>
        </w:tblPrEx>
        <w:trPr>
          <w:gridBefore w:val="1"/>
          <w:gridAfter w:val="2"/>
          <w:wBefore w:w="1314" w:type="dxa"/>
          <w:wAfter w:w="594" w:type="dxa"/>
          <w:trHeight w:val="41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办公用品及设备采购费用（万元）</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w:t>
            </w:r>
          </w:p>
        </w:tc>
      </w:tr>
      <w:tr>
        <w:tblPrEx>
          <w:tblCellMar>
            <w:top w:w="0" w:type="dxa"/>
            <w:left w:w="0" w:type="dxa"/>
            <w:bottom w:w="0" w:type="dxa"/>
            <w:right w:w="0" w:type="dxa"/>
          </w:tblCellMar>
        </w:tblPrEx>
        <w:trPr>
          <w:gridBefore w:val="1"/>
          <w:gridAfter w:val="2"/>
          <w:wBefore w:w="1314" w:type="dxa"/>
          <w:wAfter w:w="594" w:type="dxa"/>
          <w:trHeight w:val="35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Before w:val="1"/>
          <w:gridAfter w:val="2"/>
          <w:wBefore w:w="1314" w:type="dxa"/>
          <w:wAfter w:w="594" w:type="dxa"/>
          <w:trHeight w:val="33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全年重大农业安全生产事故发生率（%）</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w:t>
            </w:r>
          </w:p>
        </w:tc>
      </w:tr>
      <w:tr>
        <w:tblPrEx>
          <w:tblCellMar>
            <w:top w:w="0" w:type="dxa"/>
            <w:left w:w="0" w:type="dxa"/>
            <w:bottom w:w="0" w:type="dxa"/>
            <w:right w:w="0" w:type="dxa"/>
          </w:tblCellMar>
        </w:tblPrEx>
        <w:trPr>
          <w:gridBefore w:val="1"/>
          <w:gridAfter w:val="2"/>
          <w:wBefore w:w="1314" w:type="dxa"/>
          <w:wAfter w:w="594" w:type="dxa"/>
          <w:trHeight w:val="90"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Before w:val="1"/>
          <w:gridAfter w:val="2"/>
          <w:wBefore w:w="1314" w:type="dxa"/>
          <w:wAfter w:w="594" w:type="dxa"/>
          <w:trHeight w:val="3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州本级立案查处率（%）</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2"/>
          <w:wBefore w:w="1314" w:type="dxa"/>
          <w:wAfter w:w="594" w:type="dxa"/>
          <w:trHeight w:val="41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指导县（市）立案查处率比2020年提高</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r>
      <w:tr>
        <w:tblPrEx>
          <w:tblCellMar>
            <w:top w:w="0" w:type="dxa"/>
            <w:left w:w="0" w:type="dxa"/>
            <w:bottom w:w="0" w:type="dxa"/>
            <w:right w:w="0" w:type="dxa"/>
          </w:tblCellMar>
        </w:tblPrEx>
        <w:trPr>
          <w:gridBefore w:val="1"/>
          <w:gridAfter w:val="2"/>
          <w:wBefore w:w="1314" w:type="dxa"/>
          <w:wAfter w:w="594" w:type="dxa"/>
          <w:trHeight w:val="30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77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受益工作人员满意度（%）</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CellMar>
            <w:top w:w="0" w:type="dxa"/>
            <w:left w:w="0" w:type="dxa"/>
            <w:bottom w:w="0" w:type="dxa"/>
            <w:right w:w="0" w:type="dxa"/>
          </w:tblCellMar>
        </w:tblPrEx>
        <w:trPr>
          <w:gridBefore w:val="1"/>
          <w:gridAfter w:val="2"/>
          <w:wBefore w:w="1314" w:type="dxa"/>
          <w:wAfter w:w="594" w:type="dxa"/>
          <w:trHeight w:val="36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77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48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受益群众满意度（%）</w:t>
            </w:r>
          </w:p>
        </w:tc>
        <w:tc>
          <w:tcPr>
            <w:tcW w:w="187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≥95%</w:t>
            </w:r>
          </w:p>
        </w:tc>
      </w:tr>
      <w:tr>
        <w:tblPrEx>
          <w:tblCellMar>
            <w:top w:w="0" w:type="dxa"/>
            <w:left w:w="0" w:type="dxa"/>
            <w:bottom w:w="0" w:type="dxa"/>
            <w:right w:w="0" w:type="dxa"/>
          </w:tblCellMar>
        </w:tblPrEx>
        <w:trPr>
          <w:gridBefore w:val="1"/>
          <w:gridAfter w:val="1"/>
          <w:wBefore w:w="1314" w:type="dxa"/>
          <w:wAfter w:w="51" w:type="dxa"/>
          <w:trHeight w:val="469" w:hRule="atLeast"/>
        </w:trPr>
        <w:tc>
          <w:tcPr>
            <w:tcW w:w="9135"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b/>
                <w:i w:val="0"/>
                <w:color w:val="000000"/>
                <w:sz w:val="32"/>
                <w:szCs w:val="32"/>
                <w:u w:val="none"/>
              </w:rPr>
            </w:pPr>
            <w:r>
              <w:rPr>
                <w:rFonts w:hint="eastAsia" w:ascii="仿宋" w:hAnsi="仿宋" w:eastAsia="仿宋" w:cs="仿宋"/>
                <w:b/>
                <w:i w:val="0"/>
                <w:color w:val="000000"/>
                <w:kern w:val="0"/>
                <w:sz w:val="32"/>
                <w:szCs w:val="32"/>
                <w:u w:val="none"/>
                <w:lang w:val="en-US" w:eastAsia="zh-CN" w:bidi="ar"/>
              </w:rPr>
              <w:t>部门预算项目支出绩效目标表</w:t>
            </w:r>
          </w:p>
        </w:tc>
      </w:tr>
      <w:tr>
        <w:tblPrEx>
          <w:tblCellMar>
            <w:top w:w="0" w:type="dxa"/>
            <w:left w:w="0" w:type="dxa"/>
            <w:bottom w:w="0" w:type="dxa"/>
            <w:right w:w="0" w:type="dxa"/>
          </w:tblCellMar>
        </w:tblPrEx>
        <w:trPr>
          <w:gridBefore w:val="1"/>
          <w:gridAfter w:val="1"/>
          <w:wBefore w:w="1314" w:type="dxa"/>
          <w:wAfter w:w="51" w:type="dxa"/>
          <w:trHeight w:val="390" w:hRule="atLeast"/>
        </w:trPr>
        <w:tc>
          <w:tcPr>
            <w:tcW w:w="9135" w:type="dxa"/>
            <w:gridSpan w:val="9"/>
            <w:tcBorders>
              <w:top w:val="nil"/>
              <w:left w:val="nil"/>
              <w:bottom w:val="nil"/>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（2021年度）</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60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罚没有毒有害物品处置经费</w:t>
            </w:r>
          </w:p>
        </w:tc>
      </w:tr>
      <w:tr>
        <w:tblPrEx>
          <w:tblCellMar>
            <w:top w:w="0" w:type="dxa"/>
            <w:left w:w="0" w:type="dxa"/>
            <w:bottom w:w="0" w:type="dxa"/>
            <w:right w:w="0" w:type="dxa"/>
          </w:tblCellMar>
        </w:tblPrEx>
        <w:trPr>
          <w:gridBefore w:val="1"/>
          <w:gridAfter w:val="1"/>
          <w:wBefore w:w="1314" w:type="dxa"/>
          <w:wAfter w:w="51" w:type="dxa"/>
          <w:trHeight w:val="459" w:hRule="atLeast"/>
        </w:trPr>
        <w:tc>
          <w:tcPr>
            <w:tcW w:w="309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60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克孜勒苏柯尔克孜自治州农业综合行政执法支队</w:t>
            </w:r>
          </w:p>
        </w:tc>
      </w:tr>
      <w:tr>
        <w:tblPrEx>
          <w:tblCellMar>
            <w:top w:w="0" w:type="dxa"/>
            <w:left w:w="0" w:type="dxa"/>
            <w:bottom w:w="0" w:type="dxa"/>
            <w:right w:w="0" w:type="dxa"/>
          </w:tblCellMar>
        </w:tblPrEx>
        <w:trPr>
          <w:gridBefore w:val="1"/>
          <w:gridAfter w:val="1"/>
          <w:wBefore w:w="1314" w:type="dxa"/>
          <w:wAfter w:w="51" w:type="dxa"/>
          <w:trHeight w:val="429" w:hRule="atLeast"/>
        </w:trPr>
        <w:tc>
          <w:tcPr>
            <w:tcW w:w="30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（万元）</w:t>
            </w:r>
          </w:p>
        </w:tc>
        <w:tc>
          <w:tcPr>
            <w:tcW w:w="60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年度资金总额：5</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3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其中：财政拨款  5</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30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6045"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其他资金  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总</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目</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840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w:t>
            </w:r>
          </w:p>
        </w:tc>
      </w:tr>
      <w:tr>
        <w:tblPrEx>
          <w:tblCellMar>
            <w:top w:w="0" w:type="dxa"/>
            <w:left w:w="0" w:type="dxa"/>
            <w:bottom w:w="0" w:type="dxa"/>
            <w:right w:w="0" w:type="dxa"/>
          </w:tblCellMar>
        </w:tblPrEx>
        <w:trPr>
          <w:gridBefore w:val="1"/>
          <w:gridAfter w:val="1"/>
          <w:wBefore w:w="1314" w:type="dxa"/>
          <w:wAfter w:w="51" w:type="dxa"/>
          <w:trHeight w:val="744"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8400"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加大对农药、兽药经营的执法检查力度，对日常执法检查和群众举报存在经营假冒伪劣农药、兽药违法行为，进行立案查处，与有资质的处理公司协调、沟通，确保农药、兽药市场安全。</w:t>
            </w:r>
          </w:p>
        </w:tc>
      </w:tr>
      <w:tr>
        <w:tblPrEx>
          <w:tblCellMar>
            <w:top w:w="0" w:type="dxa"/>
            <w:left w:w="0" w:type="dxa"/>
            <w:bottom w:w="0" w:type="dxa"/>
            <w:right w:w="0" w:type="dxa"/>
          </w:tblCellMar>
        </w:tblPrEx>
        <w:trPr>
          <w:gridBefore w:val="1"/>
          <w:gridAfter w:val="1"/>
          <w:wBefore w:w="1314" w:type="dxa"/>
          <w:wAfter w:w="51" w:type="dxa"/>
          <w:trHeight w:val="509"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效</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标</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指标</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二级指标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三级指标</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指标值（包含数字及文字描述）</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数量指标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开展农药、兽药经营的执法检查（</w:t>
            </w:r>
            <w:r>
              <w:rPr>
                <w:rFonts w:hint="eastAsia" w:ascii="宋体" w:hAnsi="宋体" w:cs="宋体"/>
                <w:i w:val="0"/>
                <w:color w:val="000000"/>
                <w:kern w:val="0"/>
                <w:sz w:val="20"/>
                <w:szCs w:val="20"/>
                <w:u w:val="none"/>
                <w:lang w:val="en-US" w:eastAsia="zh-CN" w:bidi="ar"/>
              </w:rPr>
              <w:t>人/</w:t>
            </w:r>
            <w:r>
              <w:rPr>
                <w:rFonts w:hint="eastAsia" w:ascii="宋体" w:hAnsi="宋体" w:eastAsia="宋体" w:cs="宋体"/>
                <w:i w:val="0"/>
                <w:color w:val="000000"/>
                <w:kern w:val="0"/>
                <w:sz w:val="20"/>
                <w:szCs w:val="20"/>
                <w:u w:val="none"/>
                <w:lang w:val="en-US" w:eastAsia="zh-CN" w:bidi="ar"/>
              </w:rPr>
              <w:t>次）</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罚没有毒有害物品检测（次）</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质量指标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开展检查率（%）</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立案查处率（%）</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检测率（%）</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时效指标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项目完成时间</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2021年12月</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成本指标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公务用车运行维护费（万元）</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办案差旅费（万元）</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疑似假冒伪劣农药、兽药检测费（万元）</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保障农药、兽药市场安全</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可持续影响指标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20"/>
                <w:szCs w:val="20"/>
                <w:u w:val="none"/>
              </w:rPr>
            </w:pP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162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满意度指标</w:t>
            </w: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受益工作人员满意度（%）</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r>
        <w:tblPrEx>
          <w:tblCellMar>
            <w:top w:w="0" w:type="dxa"/>
            <w:left w:w="0" w:type="dxa"/>
            <w:bottom w:w="0" w:type="dxa"/>
            <w:right w:w="0" w:type="dxa"/>
          </w:tblCellMar>
        </w:tblPrEx>
        <w:trPr>
          <w:gridBefore w:val="1"/>
          <w:gridAfter w:val="1"/>
          <w:wBefore w:w="1314" w:type="dxa"/>
          <w:wAfter w:w="51" w:type="dxa"/>
          <w:trHeight w:val="499"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162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20"/>
                <w:szCs w:val="20"/>
                <w:u w:val="none"/>
              </w:rPr>
            </w:pPr>
          </w:p>
        </w:tc>
        <w:tc>
          <w:tcPr>
            <w:tcW w:w="352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受益群众满意度（%）</w:t>
            </w:r>
          </w:p>
        </w:tc>
        <w:tc>
          <w:tcPr>
            <w:tcW w:w="25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r>
    </w:tbl>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p>
      <w:pPr>
        <w:widowControl/>
        <w:spacing w:line="520" w:lineRule="exact"/>
        <w:ind w:firstLine="628"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（五）关于</w:t>
      </w:r>
      <w:r>
        <w:rPr>
          <w:rFonts w:hint="eastAsia" w:ascii="楷体_GB2312" w:hAnsi="宋体" w:eastAsia="楷体_GB2312" w:cs="宋体"/>
          <w:b/>
          <w:kern w:val="0"/>
          <w:sz w:val="32"/>
          <w:szCs w:val="32"/>
          <w:lang w:eastAsia="zh-CN"/>
        </w:rPr>
        <w:t>克孜勒苏柯尔克孜自治州农业综合行政执法支队</w:t>
      </w:r>
      <w:r>
        <w:rPr>
          <w:rFonts w:hint="eastAsia" w:ascii="楷体_GB2312" w:hAnsi="宋体" w:eastAsia="楷体_GB2312" w:cs="宋体"/>
          <w:b/>
          <w:kern w:val="0"/>
          <w:sz w:val="32"/>
          <w:szCs w:val="32"/>
        </w:rPr>
        <w:t>其他需说明的事项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lang w:val="en-US" w:eastAsia="zh-CN"/>
        </w:rPr>
        <w:t>无其他需说明的事项。</w:t>
      </w: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hint="eastAsia"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widowControl/>
        <w:kinsoku/>
        <w:wordWrap/>
        <w:overflowPunct/>
        <w:topLinePunct w:val="0"/>
        <w:autoSpaceDE/>
        <w:autoSpaceDN/>
        <w:bidi w:val="0"/>
        <w:adjustRightInd/>
        <w:snapToGrid/>
        <w:spacing w:line="520" w:lineRule="exact"/>
        <w:ind w:firstLine="640" w:firstLineChars="200"/>
        <w:jc w:val="left"/>
        <w:textAlignment w:val="auto"/>
        <w:rPr>
          <w:rFonts w:hint="eastAsia" w:ascii="仿宋_GB2312" w:eastAsia="仿宋_GB2312"/>
          <w:spacing w:val="-6"/>
          <w:sz w:val="32"/>
          <w:szCs w:val="32"/>
        </w:rPr>
      </w:pPr>
      <w:r>
        <w:rPr>
          <w:rFonts w:hint="eastAsia" w:ascii="黑体" w:hAnsi="黑体" w:eastAsia="黑体"/>
          <w:sz w:val="32"/>
          <w:szCs w:val="32"/>
        </w:rPr>
        <w:t>一、财政拨款：</w:t>
      </w:r>
      <w:r>
        <w:rPr>
          <w:rFonts w:hint="eastAsia" w:ascii="仿宋_GB2312" w:eastAsia="仿宋_GB2312"/>
          <w:spacing w:val="-6"/>
          <w:sz w:val="32"/>
          <w:szCs w:val="32"/>
        </w:rPr>
        <w:t>指由一般公共预算、政府性基金预算、国有资本经营预算安排的财政拨款数。</w:t>
      </w:r>
    </w:p>
    <w:p>
      <w:pPr>
        <w:keepNext w:val="0"/>
        <w:keepLines w:val="0"/>
        <w:pageBreakBefore w:val="0"/>
        <w:kinsoku/>
        <w:wordWrap/>
        <w:overflowPunct/>
        <w:topLinePunct w:val="0"/>
        <w:autoSpaceDE/>
        <w:autoSpaceDN/>
        <w:bidi w:val="0"/>
        <w:adjustRightInd/>
        <w:snapToGrid/>
        <w:spacing w:line="520" w:lineRule="exact"/>
        <w:ind w:firstLine="614" w:firstLineChars="200"/>
        <w:textAlignment w:val="auto"/>
        <w:rPr>
          <w:rFonts w:ascii="仿宋_GB2312" w:eastAsia="仿宋_GB2312"/>
          <w:w w:val="96"/>
          <w:sz w:val="32"/>
          <w:szCs w:val="32"/>
        </w:rPr>
      </w:pPr>
      <w:r>
        <w:rPr>
          <w:rFonts w:hint="eastAsia" w:ascii="黑体" w:hAnsi="黑体" w:eastAsia="黑体"/>
          <w:w w:val="96"/>
          <w:sz w:val="32"/>
          <w:szCs w:val="32"/>
        </w:rPr>
        <w:t>二、一般公共预算：</w:t>
      </w:r>
      <w:r>
        <w:rPr>
          <w:rFonts w:hint="eastAsia" w:ascii="仿宋_GB2312" w:eastAsia="仿宋_GB2312"/>
          <w:spacing w:val="-6"/>
          <w:w w:val="9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bookmarkStart w:id="0" w:name="_GoBack"/>
      <w:bookmarkEnd w:id="0"/>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20" w:lineRule="exact"/>
        <w:ind w:firstLine="640" w:firstLineChars="200"/>
        <w:textAlignment w:val="auto"/>
        <w:rPr>
          <w:rFonts w:ascii="仿宋_GB2312" w:hAnsi="宋体" w:eastAsia="仿宋_GB2312" w:cs="宋体"/>
          <w:kern w:val="0"/>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15" w:lineRule="auto"/>
        <w:ind w:left="4800" w:firstLine="160" w:firstLineChars="50"/>
        <w:jc w:val="left"/>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ind w:left="3835" w:leftChars="912" w:hanging="1920" w:hangingChars="600"/>
        <w:jc w:val="left"/>
      </w:pPr>
      <w:r>
        <w:rPr>
          <w:rFonts w:hint="eastAsia" w:ascii="仿宋_GB2312" w:hAnsi="宋体" w:eastAsia="仿宋_GB2312" w:cs="宋体"/>
          <w:kern w:val="0"/>
          <w:sz w:val="32"/>
          <w:szCs w:val="32"/>
          <w:lang w:eastAsia="zh-CN"/>
        </w:rPr>
        <w:t>克孜勒苏柯尔克孜自治州农业综合行政执法支队</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楷体_GB2312">
    <w:altName w:val="微软雅黑"/>
    <w:panose1 w:val="00000000000000000000"/>
    <w:charset w:val="86"/>
    <w:family w:val="modern"/>
    <w:pitch w:val="default"/>
    <w:sig w:usb0="00000000" w:usb1="00000000" w:usb2="00000010" w:usb3="00000000" w:csb0="00040000" w:csb1="00000000"/>
  </w:font>
  <w:font w:name="方正小标宋_GBK">
    <w:panose1 w:val="03000509000000000000"/>
    <w:charset w:val="86"/>
    <w:family w:val="script"/>
    <w:pitch w:val="default"/>
    <w:sig w:usb0="00000001" w:usb1="080E0000" w:usb2="00000000" w:usb3="00000000" w:csb0="00040000" w:csb1="00000000"/>
  </w:font>
  <w:font w:name="??_GB2312">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23 -</w:t>
    </w:r>
    <w:r>
      <w:rPr>
        <w:rFonts w:ascii="宋体" w:hAnsi="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A4CF7E5"/>
    <w:multiLevelType w:val="singleLevel"/>
    <w:tmpl w:val="8A4CF7E5"/>
    <w:lvl w:ilvl="0" w:tentative="0">
      <w:start w:val="7"/>
      <w:numFmt w:val="chineseCounting"/>
      <w:suff w:val="nothing"/>
      <w:lvlText w:val="%1、"/>
      <w:lvlJc w:val="left"/>
      <w:rPr>
        <w:rFonts w:hint="eastAsia"/>
      </w:rPr>
    </w:lvl>
  </w:abstractNum>
  <w:abstractNum w:abstractNumId="1">
    <w:nsid w:val="00DF588E"/>
    <w:multiLevelType w:val="singleLevel"/>
    <w:tmpl w:val="00DF588E"/>
    <w:lvl w:ilvl="0" w:tentative="0">
      <w:start w:val="1"/>
      <w:numFmt w:val="decimal"/>
      <w:lvlText w:val="%1."/>
      <w:lvlJc w:val="left"/>
      <w:pPr>
        <w:tabs>
          <w:tab w:val="left" w:pos="312"/>
        </w:tabs>
      </w:pPr>
    </w:lvl>
  </w:abstractNum>
  <w:abstractNum w:abstractNumId="2">
    <w:nsid w:val="18588826"/>
    <w:multiLevelType w:val="singleLevel"/>
    <w:tmpl w:val="18588826"/>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1CD5"/>
    <w:rsid w:val="00012D28"/>
    <w:rsid w:val="00026190"/>
    <w:rsid w:val="00030F00"/>
    <w:rsid w:val="00032AE8"/>
    <w:rsid w:val="000343F0"/>
    <w:rsid w:val="000C63BC"/>
    <w:rsid w:val="000D56B0"/>
    <w:rsid w:val="00100782"/>
    <w:rsid w:val="00106382"/>
    <w:rsid w:val="00114DEC"/>
    <w:rsid w:val="00133E61"/>
    <w:rsid w:val="00163B8F"/>
    <w:rsid w:val="001934F0"/>
    <w:rsid w:val="001B3A56"/>
    <w:rsid w:val="001C112C"/>
    <w:rsid w:val="001D3E54"/>
    <w:rsid w:val="001F3994"/>
    <w:rsid w:val="00324290"/>
    <w:rsid w:val="0038155D"/>
    <w:rsid w:val="00387451"/>
    <w:rsid w:val="00391D18"/>
    <w:rsid w:val="003C1045"/>
    <w:rsid w:val="003C7783"/>
    <w:rsid w:val="003D78A2"/>
    <w:rsid w:val="00432267"/>
    <w:rsid w:val="00481CD5"/>
    <w:rsid w:val="005557EF"/>
    <w:rsid w:val="005643B5"/>
    <w:rsid w:val="005824E5"/>
    <w:rsid w:val="005C42E0"/>
    <w:rsid w:val="006428FE"/>
    <w:rsid w:val="00670C88"/>
    <w:rsid w:val="006C046E"/>
    <w:rsid w:val="00736DAD"/>
    <w:rsid w:val="007407D7"/>
    <w:rsid w:val="00742581"/>
    <w:rsid w:val="0074535F"/>
    <w:rsid w:val="00761E91"/>
    <w:rsid w:val="008160EE"/>
    <w:rsid w:val="00867E40"/>
    <w:rsid w:val="00876835"/>
    <w:rsid w:val="0090577F"/>
    <w:rsid w:val="00962ACF"/>
    <w:rsid w:val="009B3A71"/>
    <w:rsid w:val="009D0AA2"/>
    <w:rsid w:val="009E39DC"/>
    <w:rsid w:val="009E7E8C"/>
    <w:rsid w:val="00A04058"/>
    <w:rsid w:val="00A2314C"/>
    <w:rsid w:val="00A3306F"/>
    <w:rsid w:val="00A45E86"/>
    <w:rsid w:val="00AA31BA"/>
    <w:rsid w:val="00AB403F"/>
    <w:rsid w:val="00AB42CC"/>
    <w:rsid w:val="00AF4637"/>
    <w:rsid w:val="00AF4FB6"/>
    <w:rsid w:val="00B07097"/>
    <w:rsid w:val="00B22D8A"/>
    <w:rsid w:val="00B43752"/>
    <w:rsid w:val="00BF53D6"/>
    <w:rsid w:val="00C1075D"/>
    <w:rsid w:val="00CB00B9"/>
    <w:rsid w:val="00CC75B9"/>
    <w:rsid w:val="00D06D6F"/>
    <w:rsid w:val="00D724B3"/>
    <w:rsid w:val="00DA6109"/>
    <w:rsid w:val="00DD2F0F"/>
    <w:rsid w:val="00E469CA"/>
    <w:rsid w:val="00E501E1"/>
    <w:rsid w:val="00E7167C"/>
    <w:rsid w:val="00EF5C41"/>
    <w:rsid w:val="00F52132"/>
    <w:rsid w:val="00F54501"/>
    <w:rsid w:val="015B7DFF"/>
    <w:rsid w:val="04564394"/>
    <w:rsid w:val="09A42574"/>
    <w:rsid w:val="0B3D5D9A"/>
    <w:rsid w:val="0BBE4655"/>
    <w:rsid w:val="0CD57A1B"/>
    <w:rsid w:val="0F813518"/>
    <w:rsid w:val="107D6587"/>
    <w:rsid w:val="119526B7"/>
    <w:rsid w:val="11B51032"/>
    <w:rsid w:val="14774A42"/>
    <w:rsid w:val="161B0DF6"/>
    <w:rsid w:val="16334F65"/>
    <w:rsid w:val="1ACB311E"/>
    <w:rsid w:val="1BDE27BA"/>
    <w:rsid w:val="1C4E712E"/>
    <w:rsid w:val="1D600010"/>
    <w:rsid w:val="1FDD3505"/>
    <w:rsid w:val="2164613F"/>
    <w:rsid w:val="21FE1159"/>
    <w:rsid w:val="27BC7492"/>
    <w:rsid w:val="28401C3C"/>
    <w:rsid w:val="2A1F3E15"/>
    <w:rsid w:val="2B06389A"/>
    <w:rsid w:val="324C5245"/>
    <w:rsid w:val="33446F6D"/>
    <w:rsid w:val="34BC71FA"/>
    <w:rsid w:val="353C7588"/>
    <w:rsid w:val="459B541B"/>
    <w:rsid w:val="47C06DD9"/>
    <w:rsid w:val="47CE5A0C"/>
    <w:rsid w:val="4F236A56"/>
    <w:rsid w:val="4F2E483D"/>
    <w:rsid w:val="52035751"/>
    <w:rsid w:val="582B5E43"/>
    <w:rsid w:val="5B1A6DDF"/>
    <w:rsid w:val="5C6B478E"/>
    <w:rsid w:val="5C885F5B"/>
    <w:rsid w:val="5C943086"/>
    <w:rsid w:val="5F491DF7"/>
    <w:rsid w:val="5F822475"/>
    <w:rsid w:val="5F9537B4"/>
    <w:rsid w:val="60CF4D58"/>
    <w:rsid w:val="60EC5541"/>
    <w:rsid w:val="61A779B6"/>
    <w:rsid w:val="62DE08D7"/>
    <w:rsid w:val="63877E24"/>
    <w:rsid w:val="656051B8"/>
    <w:rsid w:val="68FD2021"/>
    <w:rsid w:val="6A5D3CA7"/>
    <w:rsid w:val="6BFD67EB"/>
    <w:rsid w:val="734501DC"/>
    <w:rsid w:val="78A3796E"/>
    <w:rsid w:val="7AA856C6"/>
    <w:rsid w:val="7B6522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ind w:firstLine="200" w:firstLineChars="200"/>
      <w:outlineLvl w:val="2"/>
    </w:pPr>
    <w:rPr>
      <w:rFonts w:ascii="仿宋" w:hAnsi="仿宋" w:cs="宋体"/>
      <w:color w:val="FF000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qFormat/>
    <w:uiPriority w:val="0"/>
    <w:rPr>
      <w:rFonts w:cs="Times New Roman"/>
      <w:b/>
      <w:bCs/>
    </w:rPr>
  </w:style>
  <w:style w:type="character" w:styleId="12">
    <w:name w:val="page number"/>
    <w:basedOn w:val="10"/>
    <w:qFormat/>
    <w:uiPriority w:val="0"/>
  </w:style>
  <w:style w:type="character" w:customStyle="1" w:styleId="13">
    <w:name w:val="页眉 Char"/>
    <w:basedOn w:val="10"/>
    <w:link w:val="5"/>
    <w:qFormat/>
    <w:uiPriority w:val="99"/>
    <w:rPr>
      <w:sz w:val="18"/>
      <w:szCs w:val="18"/>
    </w:rPr>
  </w:style>
  <w:style w:type="character" w:customStyle="1" w:styleId="14">
    <w:name w:val="页脚 Char"/>
    <w:basedOn w:val="10"/>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10"/>
    <w:semiHidden/>
    <w:qFormat/>
    <w:uiPriority w:val="99"/>
    <w:rPr>
      <w:rFonts w:ascii="Times New Roman" w:hAnsi="Times New Roman" w:eastAsia="宋体" w:cs="Times New Roman"/>
      <w:sz w:val="18"/>
      <w:szCs w:val="18"/>
    </w:rPr>
  </w:style>
  <w:style w:type="character" w:customStyle="1" w:styleId="17">
    <w:name w:val="正文文本缩进 3 字符"/>
    <w:basedOn w:val="10"/>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Char"/>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Char"/>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 w:type="character" w:customStyle="1" w:styleId="26">
    <w:name w:val="27"/>
    <w:basedOn w:val="10"/>
    <w:qFormat/>
    <w:uiPriority w:val="0"/>
    <w:rPr>
      <w:rFonts w:hint="default" w:ascii="楷体_GB2312" w:eastAsia="楷体_GB2312" w:cs="楷体_GB2312"/>
      <w:sz w:val="32"/>
      <w:szCs w:val="32"/>
    </w:rPr>
  </w:style>
  <w:style w:type="character" w:customStyle="1" w:styleId="27">
    <w:name w:val="font01"/>
    <w:basedOn w:val="1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9725A1C-F7A9-49ED-9D38-D86E647D2163}">
  <ds:schemaRefs/>
</ds:datastoreItem>
</file>

<file path=docProps/app.xml><?xml version="1.0" encoding="utf-8"?>
<Properties xmlns="http://schemas.openxmlformats.org/officeDocument/2006/extended-properties" xmlns:vt="http://schemas.openxmlformats.org/officeDocument/2006/docPropsVTypes">
  <Template>Normal</Template>
  <Pages>24</Pages>
  <Words>1679</Words>
  <Characters>9574</Characters>
  <Lines>79</Lines>
  <Paragraphs>22</Paragraphs>
  <TotalTime>47</TotalTime>
  <ScaleCrop>false</ScaleCrop>
  <LinksUpToDate>false</LinksUpToDate>
  <CharactersWithSpaces>11231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2021-03-01T11:16:20Z</cp:lastPrinted>
  <dcterms:modified xsi:type="dcterms:W3CDTF">2021-03-01T11:22:25Z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