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克州林草局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36"/>
          <w:szCs w:val="36"/>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克孜勒苏柯尔克孜自治州林业和草原局</w:t>
      </w:r>
      <w:r>
        <w:rPr>
          <w:rFonts w:hint="eastAsia" w:ascii="仿宋_GB2312" w:hAnsi="宋体" w:eastAsia="仿宋_GB2312"/>
          <w:b/>
          <w:kern w:val="0"/>
          <w:sz w:val="32"/>
          <w:szCs w:val="32"/>
        </w:rPr>
        <w:t>单位概况</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克州林草局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克州林草局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克州林草局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克州林草局</w:t>
      </w:r>
      <w:r>
        <w:rPr>
          <w:rFonts w:hint="eastAsia" w:ascii="仿宋_GB2312" w:hAnsi="宋体" w:eastAsia="仿宋_GB2312"/>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克州林草局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克州林草局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克州林草局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年项目支出情况说明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克州林草局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克州林草局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b/>
          <w:bCs/>
          <w:color w:val="auto"/>
          <w:kern w:val="0"/>
          <w:sz w:val="32"/>
          <w:szCs w:val="32"/>
        </w:rPr>
      </w:pPr>
      <w:r>
        <w:rPr>
          <w:rFonts w:hint="eastAsia" w:ascii="黑体" w:hAnsi="黑体" w:eastAsia="黑体"/>
          <w:b/>
          <w:bCs/>
          <w:color w:val="auto"/>
          <w:kern w:val="0"/>
          <w:sz w:val="32"/>
          <w:szCs w:val="32"/>
        </w:rPr>
        <w:t xml:space="preserve">第一部分  </w:t>
      </w:r>
      <w:r>
        <w:rPr>
          <w:rFonts w:hint="eastAsia" w:ascii="黑体" w:hAnsi="黑体" w:eastAsia="黑体"/>
          <w:b/>
          <w:bCs/>
          <w:color w:val="auto"/>
          <w:kern w:val="0"/>
          <w:sz w:val="32"/>
          <w:szCs w:val="32"/>
          <w:lang w:eastAsia="zh-CN"/>
        </w:rPr>
        <w:t>克州林草局</w:t>
      </w:r>
      <w:r>
        <w:rPr>
          <w:rFonts w:hint="eastAsia" w:ascii="黑体" w:hAnsi="黑体" w:eastAsia="黑体"/>
          <w:b/>
          <w:bCs/>
          <w:color w:val="auto"/>
          <w:kern w:val="0"/>
          <w:sz w:val="32"/>
          <w:szCs w:val="32"/>
        </w:rPr>
        <w:t>单位概况</w:t>
      </w:r>
    </w:p>
    <w:p>
      <w:pPr>
        <w:widowControl/>
        <w:jc w:val="center"/>
        <w:outlineLvl w:val="1"/>
        <w:rPr>
          <w:rFonts w:ascii="宋体" w:hAnsi="宋体"/>
          <w:b/>
          <w:kern w:val="0"/>
          <w:sz w:val="32"/>
          <w:szCs w:val="32"/>
        </w:rPr>
      </w:pPr>
    </w:p>
    <w:p>
      <w:pPr>
        <w:widowControl/>
        <w:numPr>
          <w:ilvl w:val="0"/>
          <w:numId w:val="1"/>
        </w:numPr>
        <w:spacing w:line="560" w:lineRule="exact"/>
        <w:ind w:left="640" w:leftChars="0" w:firstLine="0" w:firstLineChars="0"/>
        <w:jc w:val="left"/>
        <w:rPr>
          <w:rFonts w:hint="eastAsia" w:ascii="黑体" w:hAnsi="黑体" w:eastAsia="黑体" w:cs="宋体"/>
          <w:bCs/>
          <w:kern w:val="0"/>
          <w:sz w:val="32"/>
          <w:szCs w:val="32"/>
        </w:rPr>
      </w:pPr>
      <w:r>
        <w:rPr>
          <w:rFonts w:hint="eastAsia" w:ascii="黑体" w:hAnsi="黑体" w:eastAsia="黑体" w:cs="宋体"/>
          <w:bCs/>
          <w:kern w:val="0"/>
          <w:sz w:val="32"/>
          <w:szCs w:val="32"/>
        </w:rPr>
        <w:t>主要职能</w:t>
      </w:r>
    </w:p>
    <w:p>
      <w:pPr>
        <w:widowControl/>
        <w:numPr>
          <w:ilvl w:val="0"/>
          <w:numId w:val="0"/>
        </w:numPr>
        <w:spacing w:line="560" w:lineRule="exact"/>
        <w:ind w:firstLine="640" w:firstLineChars="200"/>
        <w:jc w:val="left"/>
        <w:rPr>
          <w:rFonts w:hint="eastAsia" w:ascii="仿宋_GB2312" w:eastAsia="仿宋_GB2312"/>
          <w:sz w:val="32"/>
          <w:szCs w:val="32"/>
        </w:rPr>
      </w:pPr>
      <w:r>
        <w:rPr>
          <w:rFonts w:hint="eastAsia" w:ascii="楷体_GB2312" w:hAnsi="仿宋" w:eastAsia="楷体_GB2312"/>
          <w:sz w:val="32"/>
          <w:szCs w:val="32"/>
        </w:rPr>
        <w:t>（一）</w:t>
      </w:r>
      <w:r>
        <w:rPr>
          <w:rFonts w:hint="eastAsia" w:ascii="仿宋_GB2312" w:eastAsia="仿宋_GB2312"/>
          <w:sz w:val="32"/>
          <w:szCs w:val="32"/>
        </w:rPr>
        <w:t>贯彻执行国家、自治区关于</w:t>
      </w:r>
      <w:r>
        <w:rPr>
          <w:rFonts w:hint="eastAsia" w:ascii="仿宋_GB2312" w:eastAsia="仿宋_GB2312"/>
          <w:sz w:val="32"/>
          <w:szCs w:val="32"/>
          <w:lang w:eastAsia="zh-CN"/>
        </w:rPr>
        <w:t>林草业</w:t>
      </w:r>
      <w:r>
        <w:rPr>
          <w:rFonts w:hint="eastAsia" w:ascii="仿宋_GB2312" w:eastAsia="仿宋_GB2312"/>
          <w:sz w:val="32"/>
          <w:szCs w:val="32"/>
        </w:rPr>
        <w:t>及其生态建设的法律、法规和方针、政策；拟订全州</w:t>
      </w:r>
      <w:r>
        <w:rPr>
          <w:rFonts w:hint="eastAsia" w:ascii="仿宋_GB2312" w:eastAsia="仿宋_GB2312"/>
          <w:sz w:val="32"/>
          <w:szCs w:val="32"/>
          <w:lang w:eastAsia="zh-CN"/>
        </w:rPr>
        <w:t>林草业</w:t>
      </w:r>
      <w:r>
        <w:rPr>
          <w:rFonts w:hint="eastAsia" w:ascii="仿宋_GB2312" w:eastAsia="仿宋_GB2312"/>
          <w:sz w:val="32"/>
          <w:szCs w:val="32"/>
        </w:rPr>
        <w:t>发展战略、中长期规划，并组织实施和监督检查；组织开展全州森林资源、陆生野生动植物资源、湿地和荒漠的调查、动态监测和评估，并统一发布相关信息；承办全州</w:t>
      </w:r>
      <w:r>
        <w:rPr>
          <w:rFonts w:hint="eastAsia" w:ascii="仿宋_GB2312" w:eastAsia="仿宋_GB2312"/>
          <w:sz w:val="32"/>
          <w:szCs w:val="32"/>
          <w:lang w:eastAsia="zh-CN"/>
        </w:rPr>
        <w:t>林草业</w:t>
      </w:r>
      <w:r>
        <w:rPr>
          <w:rFonts w:hint="eastAsia" w:ascii="仿宋_GB2312" w:eastAsia="仿宋_GB2312"/>
          <w:sz w:val="32"/>
          <w:szCs w:val="32"/>
        </w:rPr>
        <w:t>生态文明建设的有关工作。</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（二）组织、协调、指导和监督全州造林绿化、迹地更新、花卉等工作；指导各类公益林和商品林的培育和以植树种草等生物措施防治水土流失工作；指导、监督全民义务植树、造林绿化工作。</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三）组织全州森林资源调查、动态监测和统计；审核、监督森林资源的使用；监督检查林木凭证采伐、运输；组织、指导林地、林权管理；组织实施林权登记、发证工作，依法对征用、占用林地进行审核报批工作。</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（四）组织、协调、指导和监督全州湿地保护工作。执行湿地保护的有关自治区标准和规定；组织实施建立湿地保护管理工作；监督湿地的合理利用。</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（五）组织、协调、指导和监督全州荒漠化防治工作。认真执行相关标准和规定，监督沙化土地的合理利用；组织、指导沙尘暴灾害预测预报和应急处置。</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六）依法组织、管理和指导陆生野生动植物的救护繁育、栖息地恢复发展、疫源疫病监测；负责克州范围内濒危物种进出口和国家级、自治区级保护的野生动物、珍稀树种、珍稀野生植物及其产品出疆的报批工作。</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（七）负责全州</w:t>
      </w:r>
      <w:r>
        <w:rPr>
          <w:rFonts w:hint="eastAsia" w:ascii="仿宋_GB2312" w:eastAsia="仿宋_GB2312"/>
          <w:sz w:val="32"/>
          <w:szCs w:val="32"/>
          <w:lang w:eastAsia="zh-CN"/>
        </w:rPr>
        <w:t>林草业</w:t>
      </w:r>
      <w:r>
        <w:rPr>
          <w:rFonts w:hint="eastAsia" w:ascii="仿宋_GB2312" w:eastAsia="仿宋_GB2312"/>
          <w:sz w:val="32"/>
          <w:szCs w:val="32"/>
        </w:rPr>
        <w:t>系统自然保护区的监督管理。在国家和自治区自然保护区区划、规划原则的指导下，依法指导森林、湿地、荒漠化和陆生野生动物类型自然保护区的建设和管理；监督管理</w:t>
      </w:r>
      <w:r>
        <w:rPr>
          <w:rFonts w:hint="eastAsia" w:ascii="仿宋_GB2312" w:eastAsia="仿宋_GB2312"/>
          <w:sz w:val="32"/>
          <w:szCs w:val="32"/>
          <w:lang w:eastAsia="zh-CN"/>
        </w:rPr>
        <w:t>林草业</w:t>
      </w:r>
      <w:r>
        <w:rPr>
          <w:rFonts w:hint="eastAsia" w:ascii="仿宋_GB2312" w:eastAsia="仿宋_GB2312"/>
          <w:sz w:val="32"/>
          <w:szCs w:val="32"/>
        </w:rPr>
        <w:t>生物种质资源、转基因生物安全、植物新品种保护；按分工负责生物多样性保护的有关工作。</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（八）组织制订集体林权制度、国有林场等重大</w:t>
      </w:r>
      <w:r>
        <w:rPr>
          <w:rFonts w:hint="eastAsia" w:ascii="仿宋_GB2312" w:eastAsia="仿宋_GB2312"/>
          <w:sz w:val="32"/>
          <w:szCs w:val="32"/>
          <w:lang w:eastAsia="zh-CN"/>
        </w:rPr>
        <w:t>林草业</w:t>
      </w:r>
      <w:r>
        <w:rPr>
          <w:rFonts w:hint="eastAsia" w:ascii="仿宋_GB2312" w:eastAsia="仿宋_GB2312"/>
          <w:sz w:val="32"/>
          <w:szCs w:val="32"/>
        </w:rPr>
        <w:t>改革意见并指导监督实施；组织制订农村</w:t>
      </w:r>
      <w:r>
        <w:rPr>
          <w:rFonts w:hint="eastAsia" w:ascii="仿宋_GB2312" w:eastAsia="仿宋_GB2312"/>
          <w:sz w:val="32"/>
          <w:szCs w:val="32"/>
          <w:lang w:eastAsia="zh-CN"/>
        </w:rPr>
        <w:t>林草业</w:t>
      </w:r>
      <w:r>
        <w:rPr>
          <w:rFonts w:hint="eastAsia" w:ascii="仿宋_GB2312" w:eastAsia="仿宋_GB2312"/>
          <w:sz w:val="32"/>
          <w:szCs w:val="32"/>
        </w:rPr>
        <w:t>发展、维护农民经营</w:t>
      </w:r>
      <w:r>
        <w:rPr>
          <w:rFonts w:hint="eastAsia" w:ascii="仿宋_GB2312" w:eastAsia="仿宋_GB2312"/>
          <w:sz w:val="32"/>
          <w:szCs w:val="32"/>
          <w:lang w:eastAsia="zh-CN"/>
        </w:rPr>
        <w:t>林草业</w:t>
      </w:r>
      <w:r>
        <w:rPr>
          <w:rFonts w:hint="eastAsia" w:ascii="仿宋_GB2312" w:eastAsia="仿宋_GB2312"/>
          <w:sz w:val="32"/>
          <w:szCs w:val="32"/>
        </w:rPr>
        <w:t>合法权益的政策措施；指导、监督农村林地承包经营和林权流转；会同有关部门指导林权纠纷调处和林地承包合同纠纷仲裁；依法负责退耕还林工作；代表自治州人民政府指导克州平原林场、克州奥依塔克林场、克州中心苗圃的建设和管理。</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（九）监督检查全州各产业对森林、湿地、荒漠和陆生野生动植物资源的开发利用。认真执行</w:t>
      </w:r>
      <w:r>
        <w:rPr>
          <w:rFonts w:hint="eastAsia" w:ascii="仿宋_GB2312" w:eastAsia="仿宋_GB2312"/>
          <w:sz w:val="32"/>
          <w:szCs w:val="32"/>
          <w:lang w:eastAsia="zh-CN"/>
        </w:rPr>
        <w:t>林草业</w:t>
      </w:r>
      <w:r>
        <w:rPr>
          <w:rFonts w:hint="eastAsia" w:ascii="仿宋_GB2312" w:eastAsia="仿宋_GB2312"/>
          <w:sz w:val="32"/>
          <w:szCs w:val="32"/>
        </w:rPr>
        <w:t>产业国家标准并监督实施；组织指导林产品质量监督。</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（十）承办克州森林防火指挥部的具体工作；承办</w:t>
      </w:r>
      <w:r>
        <w:rPr>
          <w:rFonts w:hint="eastAsia" w:ascii="仿宋_GB2312" w:eastAsia="仿宋_GB2312"/>
          <w:sz w:val="32"/>
          <w:szCs w:val="32"/>
          <w:lang w:eastAsia="zh-CN"/>
        </w:rPr>
        <w:t>林草业</w:t>
      </w:r>
      <w:r>
        <w:rPr>
          <w:rFonts w:hint="eastAsia" w:ascii="仿宋_GB2312" w:eastAsia="仿宋_GB2312"/>
          <w:sz w:val="32"/>
          <w:szCs w:val="32"/>
        </w:rPr>
        <w:t>行政执法监管的责任；监督管理</w:t>
      </w:r>
      <w:r>
        <w:rPr>
          <w:rFonts w:hint="eastAsia" w:ascii="仿宋_GB2312" w:eastAsia="仿宋_GB2312"/>
          <w:sz w:val="32"/>
          <w:szCs w:val="32"/>
          <w:lang w:eastAsia="zh-CN"/>
        </w:rPr>
        <w:t>林草业</w:t>
      </w:r>
      <w:r>
        <w:rPr>
          <w:rFonts w:hint="eastAsia" w:ascii="仿宋_GB2312" w:eastAsia="仿宋_GB2312"/>
          <w:sz w:val="32"/>
          <w:szCs w:val="32"/>
        </w:rPr>
        <w:t>公安队伍；指导全州</w:t>
      </w:r>
      <w:r>
        <w:rPr>
          <w:rFonts w:hint="eastAsia" w:ascii="仿宋_GB2312" w:eastAsia="仿宋_GB2312"/>
          <w:sz w:val="32"/>
          <w:szCs w:val="32"/>
          <w:lang w:eastAsia="zh-CN"/>
        </w:rPr>
        <w:t>林草业</w:t>
      </w:r>
      <w:r>
        <w:rPr>
          <w:rFonts w:hint="eastAsia" w:ascii="仿宋_GB2312" w:eastAsia="仿宋_GB2312"/>
          <w:sz w:val="32"/>
          <w:szCs w:val="32"/>
        </w:rPr>
        <w:t>重大违法案件的查处；指导</w:t>
      </w:r>
      <w:r>
        <w:rPr>
          <w:rFonts w:hint="eastAsia" w:ascii="仿宋_GB2312" w:eastAsia="仿宋_GB2312"/>
          <w:sz w:val="32"/>
          <w:szCs w:val="32"/>
          <w:lang w:eastAsia="zh-CN"/>
        </w:rPr>
        <w:t>林草业</w:t>
      </w:r>
      <w:r>
        <w:rPr>
          <w:rFonts w:hint="eastAsia" w:ascii="仿宋_GB2312" w:eastAsia="仿宋_GB2312"/>
          <w:sz w:val="32"/>
          <w:szCs w:val="32"/>
        </w:rPr>
        <w:t>有害生物的防治、检疫工作。</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（十一）认真执行自治区</w:t>
      </w:r>
      <w:r>
        <w:rPr>
          <w:rFonts w:hint="eastAsia" w:ascii="仿宋_GB2312" w:eastAsia="仿宋_GB2312"/>
          <w:sz w:val="32"/>
          <w:szCs w:val="32"/>
          <w:lang w:eastAsia="zh-CN"/>
        </w:rPr>
        <w:t>林草业</w:t>
      </w:r>
      <w:r>
        <w:rPr>
          <w:rFonts w:hint="eastAsia" w:ascii="仿宋_GB2312" w:eastAsia="仿宋_GB2312"/>
          <w:sz w:val="32"/>
          <w:szCs w:val="32"/>
        </w:rPr>
        <w:t>及其生态建设的财政经济调节政策和生态补偿制度；组织制订自治州本级部门预算并组织实施；管理监督自治州本级</w:t>
      </w:r>
      <w:r>
        <w:rPr>
          <w:rFonts w:hint="eastAsia" w:ascii="仿宋_GB2312" w:eastAsia="仿宋_GB2312"/>
          <w:sz w:val="32"/>
          <w:szCs w:val="32"/>
          <w:lang w:eastAsia="zh-CN"/>
        </w:rPr>
        <w:t>林草业</w:t>
      </w:r>
      <w:r>
        <w:rPr>
          <w:rFonts w:hint="eastAsia" w:ascii="仿宋_GB2312" w:eastAsia="仿宋_GB2312"/>
          <w:sz w:val="32"/>
          <w:szCs w:val="32"/>
        </w:rPr>
        <w:t>资金；管理自治州本级</w:t>
      </w:r>
      <w:r>
        <w:rPr>
          <w:rFonts w:hint="eastAsia" w:ascii="仿宋_GB2312" w:eastAsia="仿宋_GB2312"/>
          <w:sz w:val="32"/>
          <w:szCs w:val="32"/>
          <w:lang w:eastAsia="zh-CN"/>
        </w:rPr>
        <w:t>林草业</w:t>
      </w:r>
      <w:r>
        <w:rPr>
          <w:rFonts w:hint="eastAsia" w:ascii="仿宋_GB2312" w:eastAsia="仿宋_GB2312"/>
          <w:sz w:val="32"/>
          <w:szCs w:val="32"/>
        </w:rPr>
        <w:t>国有资产；会同有关部门对自治区规划内和年度计划内固定资产投资项目进行审计。</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十二）贯彻落实国家和自治区有关林果业发展的法律、法规和方针、政策；建议起草自治州有关林果业发展的方针、政策、规程、标准，并监督执行；组织制订全州林果业发展规划和年度计划，并组织实施和监督检查；指导全州林果业的生产经营、林果业灾害综合防控体系建设。</w:t>
      </w:r>
    </w:p>
    <w:p>
      <w:pPr>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（十三）组织指导</w:t>
      </w:r>
      <w:r>
        <w:rPr>
          <w:rFonts w:hint="eastAsia" w:ascii="仿宋_GB2312" w:eastAsia="仿宋_GB2312"/>
          <w:sz w:val="32"/>
          <w:szCs w:val="32"/>
          <w:lang w:eastAsia="zh-CN"/>
        </w:rPr>
        <w:t>林草业</w:t>
      </w:r>
      <w:r>
        <w:rPr>
          <w:rFonts w:hint="eastAsia" w:ascii="仿宋_GB2312" w:eastAsia="仿宋_GB2312"/>
          <w:sz w:val="32"/>
          <w:szCs w:val="32"/>
        </w:rPr>
        <w:t>科技和教育工作；指导全州</w:t>
      </w:r>
      <w:r>
        <w:rPr>
          <w:rFonts w:hint="eastAsia" w:ascii="仿宋_GB2312" w:eastAsia="仿宋_GB2312"/>
          <w:sz w:val="32"/>
          <w:szCs w:val="32"/>
          <w:lang w:eastAsia="zh-CN"/>
        </w:rPr>
        <w:t>林草业</w:t>
      </w:r>
      <w:r>
        <w:rPr>
          <w:rFonts w:hint="eastAsia" w:ascii="仿宋_GB2312" w:eastAsia="仿宋_GB2312"/>
          <w:sz w:val="32"/>
          <w:szCs w:val="32"/>
        </w:rPr>
        <w:t>队伍建设。</w:t>
      </w:r>
    </w:p>
    <w:p>
      <w:pPr>
        <w:widowControl/>
        <w:spacing w:line="560" w:lineRule="exact"/>
        <w:ind w:firstLine="640" w:firstLineChars="200"/>
        <w:jc w:val="left"/>
        <w:rPr>
          <w:rFonts w:ascii="仿宋_GB2312" w:hAnsi="宋体" w:eastAsia="仿宋_GB2312" w:cs="宋体"/>
          <w:bCs/>
          <w:kern w:val="0"/>
          <w:sz w:val="32"/>
          <w:szCs w:val="32"/>
        </w:rPr>
      </w:pPr>
      <w:r>
        <w:rPr>
          <w:rFonts w:hint="eastAsia" w:ascii="仿宋_GB2312" w:eastAsia="仿宋_GB2312"/>
          <w:sz w:val="32"/>
          <w:szCs w:val="32"/>
        </w:rPr>
        <w:t>（十四）承办自治州人民政府及上级</w:t>
      </w:r>
      <w:r>
        <w:rPr>
          <w:rFonts w:hint="eastAsia" w:ascii="仿宋_GB2312" w:eastAsia="仿宋_GB2312"/>
          <w:sz w:val="32"/>
          <w:szCs w:val="32"/>
          <w:lang w:eastAsia="zh-CN"/>
        </w:rPr>
        <w:t>林草业</w:t>
      </w:r>
      <w:r>
        <w:rPr>
          <w:rFonts w:hint="eastAsia" w:ascii="仿宋_GB2312" w:eastAsia="仿宋_GB2312"/>
          <w:sz w:val="32"/>
          <w:szCs w:val="32"/>
        </w:rPr>
        <w:t>部门交办的其他事项。</w:t>
      </w:r>
      <w:r>
        <w:rPr>
          <w:rFonts w:hint="eastAsia" w:ascii="仿宋_GB2312" w:hAnsi="宋体" w:eastAsia="仿宋_GB2312" w:cs="宋体"/>
          <w:bCs/>
          <w:kern w:val="0"/>
          <w:sz w:val="32"/>
          <w:szCs w:val="32"/>
        </w:rPr>
        <w:t xml:space="preserve"> </w:t>
      </w:r>
    </w:p>
    <w:p>
      <w:pPr>
        <w:widowControl/>
        <w:spacing w:line="560" w:lineRule="exact"/>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kern w:val="0"/>
          <w:sz w:val="32"/>
          <w:szCs w:val="32"/>
          <w:lang w:eastAsia="zh-CN"/>
        </w:rPr>
        <w:t>　</w:t>
      </w: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_GB2312" w:eastAsia="仿宋_GB2312"/>
          <w:sz w:val="32"/>
          <w:szCs w:val="32"/>
        </w:rPr>
      </w:pPr>
      <w:r>
        <w:rPr>
          <w:rFonts w:hint="eastAsia" w:ascii="仿宋_GB2312" w:hAnsi="宋体" w:eastAsia="仿宋_GB2312"/>
          <w:kern w:val="0"/>
          <w:sz w:val="32"/>
          <w:szCs w:val="32"/>
          <w:lang w:eastAsia="zh-CN"/>
        </w:rPr>
        <w:t>克孜勒苏柯尔克孜自治州林业和草原局单</w:t>
      </w:r>
      <w:r>
        <w:rPr>
          <w:rFonts w:hint="eastAsia" w:ascii="仿宋_GB2312" w:hAnsi="黑体" w:eastAsia="仿宋_GB2312" w:cs="宋体"/>
          <w:bCs/>
          <w:kern w:val="0"/>
          <w:sz w:val="32"/>
          <w:szCs w:val="32"/>
        </w:rPr>
        <w:t>位无下属预算单位，</w:t>
      </w:r>
      <w:r>
        <w:rPr>
          <w:rFonts w:hint="eastAsia" w:ascii="仿宋_GB2312" w:hAnsi="宋体" w:eastAsia="仿宋_GB2312"/>
          <w:kern w:val="0"/>
          <w:sz w:val="32"/>
          <w:szCs w:val="32"/>
          <w:lang w:eastAsia="zh-CN"/>
        </w:rPr>
        <w:t>林业和草原局</w:t>
      </w:r>
      <w:r>
        <w:rPr>
          <w:rFonts w:hint="eastAsia" w:ascii="仿宋_GB2312" w:hAnsi="黑体" w:eastAsia="仿宋_GB2312" w:cs="宋体"/>
          <w:bCs/>
          <w:kern w:val="0"/>
          <w:sz w:val="32"/>
          <w:szCs w:val="32"/>
        </w:rPr>
        <w:t>下设</w:t>
      </w:r>
      <w:r>
        <w:rPr>
          <w:rFonts w:hint="eastAsia" w:ascii="仿宋_GB2312" w:hAnsi="黑体" w:eastAsia="仿宋_GB2312" w:cs="宋体"/>
          <w:bCs/>
          <w:kern w:val="0"/>
          <w:sz w:val="32"/>
          <w:szCs w:val="32"/>
          <w:lang w:val="en-US" w:eastAsia="zh-CN"/>
        </w:rPr>
        <w:t>6个科室，分别是</w:t>
      </w:r>
      <w:r>
        <w:rPr>
          <w:rFonts w:hint="eastAsia" w:ascii="仿宋_GB2312" w:eastAsia="仿宋_GB2312"/>
          <w:sz w:val="32"/>
          <w:szCs w:val="32"/>
          <w:lang w:val="en-US" w:eastAsia="zh-CN"/>
        </w:rPr>
        <w:t>办公室、业务科、州生态修复中心、州森林草原防火中心、州林业有害生物防治检疫局、州野生动植物保护管理中心。</w:t>
      </w:r>
    </w:p>
    <w:p>
      <w:pPr>
        <w:widowControl/>
        <w:spacing w:line="560" w:lineRule="exact"/>
        <w:ind w:firstLine="640"/>
        <w:jc w:val="left"/>
        <w:rPr>
          <w:rFonts w:hint="eastAsia" w:ascii="仿宋_GB2312" w:hAnsi="宋体" w:eastAsia="仿宋_GB2312" w:cs="宋体"/>
          <w:color w:val="auto"/>
          <w:kern w:val="0"/>
          <w:sz w:val="32"/>
          <w:szCs w:val="32"/>
        </w:rPr>
      </w:pPr>
      <w:r>
        <w:rPr>
          <w:rFonts w:hint="eastAsia" w:ascii="仿宋_GB2312" w:hAnsi="宋体" w:eastAsia="仿宋_GB2312"/>
          <w:color w:val="auto"/>
          <w:kern w:val="0"/>
          <w:sz w:val="32"/>
          <w:szCs w:val="32"/>
          <w:lang w:eastAsia="zh-CN"/>
        </w:rPr>
        <w:t>克州</w:t>
      </w:r>
      <w:r>
        <w:rPr>
          <w:rFonts w:hint="eastAsia" w:ascii="仿宋_GB2312" w:hAnsi="宋体" w:eastAsia="仿宋_GB2312"/>
          <w:kern w:val="0"/>
          <w:sz w:val="32"/>
          <w:szCs w:val="32"/>
          <w:lang w:eastAsia="zh-CN"/>
        </w:rPr>
        <w:t>林业和草原局</w:t>
      </w:r>
      <w:r>
        <w:rPr>
          <w:rFonts w:hint="eastAsia" w:ascii="仿宋_GB2312" w:hAnsi="宋体" w:eastAsia="仿宋_GB2312" w:cs="宋体"/>
          <w:color w:val="auto"/>
          <w:kern w:val="0"/>
          <w:sz w:val="32"/>
          <w:szCs w:val="32"/>
        </w:rPr>
        <w:t>单位编制数</w:t>
      </w:r>
      <w:r>
        <w:rPr>
          <w:rFonts w:hint="eastAsia" w:ascii="仿宋_GB2312" w:hAnsi="宋体" w:eastAsia="仿宋_GB2312" w:cs="宋体"/>
          <w:color w:val="auto"/>
          <w:kern w:val="0"/>
          <w:sz w:val="32"/>
          <w:szCs w:val="32"/>
          <w:lang w:val="en-US" w:eastAsia="zh-CN"/>
        </w:rPr>
        <w:t>30</w:t>
      </w:r>
      <w:r>
        <w:rPr>
          <w:rFonts w:hint="eastAsia" w:ascii="仿宋_GB2312" w:hAnsi="宋体" w:eastAsia="仿宋_GB2312" w:cs="宋体"/>
          <w:color w:val="auto"/>
          <w:kern w:val="0"/>
          <w:sz w:val="32"/>
          <w:szCs w:val="32"/>
        </w:rPr>
        <w:t>，实有人数</w:t>
      </w:r>
      <w:r>
        <w:rPr>
          <w:rFonts w:hint="eastAsia" w:ascii="仿宋_GB2312" w:hAnsi="宋体" w:eastAsia="仿宋_GB2312" w:cs="宋体"/>
          <w:color w:val="auto"/>
          <w:kern w:val="0"/>
          <w:sz w:val="32"/>
          <w:szCs w:val="32"/>
          <w:lang w:val="en-US" w:eastAsia="zh-CN"/>
        </w:rPr>
        <w:t>38</w:t>
      </w:r>
      <w:r>
        <w:rPr>
          <w:rFonts w:hint="eastAsia" w:ascii="仿宋_GB2312" w:hAnsi="宋体" w:eastAsia="仿宋_GB2312" w:cs="宋体"/>
          <w:color w:val="auto"/>
          <w:kern w:val="0"/>
          <w:sz w:val="32"/>
          <w:szCs w:val="32"/>
        </w:rPr>
        <w:t>人，其中：在职</w:t>
      </w:r>
      <w:r>
        <w:rPr>
          <w:rFonts w:hint="eastAsia" w:ascii="仿宋_GB2312" w:hAnsi="宋体" w:eastAsia="仿宋_GB2312" w:cs="宋体"/>
          <w:color w:val="auto"/>
          <w:kern w:val="0"/>
          <w:sz w:val="32"/>
          <w:szCs w:val="32"/>
          <w:lang w:val="en-US" w:eastAsia="zh-CN"/>
        </w:rPr>
        <w:t>29</w:t>
      </w:r>
      <w:r>
        <w:rPr>
          <w:rFonts w:hint="eastAsia" w:ascii="仿宋_GB2312" w:hAnsi="宋体" w:eastAsia="仿宋_GB2312" w:cs="宋体"/>
          <w:color w:val="auto"/>
          <w:kern w:val="0"/>
          <w:sz w:val="32"/>
          <w:szCs w:val="32"/>
        </w:rPr>
        <w:t>人，减少</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人</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退休</w:t>
      </w:r>
      <w:r>
        <w:rPr>
          <w:rFonts w:hint="eastAsia" w:ascii="仿宋_GB2312" w:hAnsi="宋体" w:eastAsia="仿宋_GB2312" w:cs="宋体"/>
          <w:color w:val="auto"/>
          <w:kern w:val="0"/>
          <w:sz w:val="32"/>
          <w:szCs w:val="32"/>
          <w:lang w:val="en-US" w:eastAsia="zh-CN"/>
        </w:rPr>
        <w:t>9</w:t>
      </w:r>
      <w:r>
        <w:rPr>
          <w:rFonts w:hint="eastAsia" w:ascii="仿宋_GB2312" w:hAnsi="宋体" w:eastAsia="仿宋_GB2312" w:cs="宋体"/>
          <w:color w:val="auto"/>
          <w:kern w:val="0"/>
          <w:sz w:val="32"/>
          <w:szCs w:val="32"/>
        </w:rPr>
        <w:t>人，增加</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人；离休</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 xml:space="preserve"> 人，增加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人。</w:t>
      </w:r>
    </w:p>
    <w:p>
      <w:pPr>
        <w:widowControl/>
        <w:spacing w:line="560" w:lineRule="exact"/>
        <w:ind w:firstLine="640"/>
        <w:jc w:val="left"/>
        <w:rPr>
          <w:rFonts w:hint="eastAsia" w:ascii="仿宋_GB2312" w:hAnsi="宋体" w:eastAsia="仿宋_GB2312" w:cs="宋体"/>
          <w:color w:val="auto"/>
          <w:kern w:val="0"/>
          <w:sz w:val="32"/>
          <w:szCs w:val="32"/>
        </w:rPr>
      </w:pPr>
    </w:p>
    <w:p>
      <w:pPr>
        <w:widowControl/>
        <w:spacing w:line="560" w:lineRule="exact"/>
        <w:ind w:firstLine="640"/>
        <w:jc w:val="left"/>
        <w:rPr>
          <w:rFonts w:hint="eastAsia" w:ascii="仿宋_GB2312" w:hAnsi="宋体" w:eastAsia="仿宋_GB2312" w:cs="宋体"/>
          <w:color w:val="auto"/>
          <w:kern w:val="0"/>
          <w:sz w:val="32"/>
          <w:szCs w:val="32"/>
        </w:rPr>
      </w:pPr>
    </w:p>
    <w:p>
      <w:pPr>
        <w:widowControl/>
        <w:spacing w:line="560" w:lineRule="exact"/>
        <w:ind w:firstLine="640"/>
        <w:jc w:val="left"/>
        <w:rPr>
          <w:rFonts w:hint="eastAsia" w:ascii="仿宋_GB2312" w:hAnsi="宋体" w:eastAsia="仿宋_GB2312" w:cs="宋体"/>
          <w:color w:val="auto"/>
          <w:kern w:val="0"/>
          <w:sz w:val="32"/>
          <w:szCs w:val="32"/>
        </w:rPr>
      </w:pPr>
    </w:p>
    <w:p>
      <w:pPr>
        <w:widowControl/>
        <w:spacing w:line="560" w:lineRule="exact"/>
        <w:ind w:firstLine="640"/>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lang w:eastAsia="zh-CN"/>
        </w:rPr>
        <w:t>克孜勒苏柯尔克孜自治州林草局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11"/>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558.14</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558.14</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163.72</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24.00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210 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745.86</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224 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bottom"/>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9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234 抗疫特别国债安排的支出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仿宋_GB2312" w:hAnsi="宋体" w:eastAsia="仿宋_GB2312" w:cs="宋体"/>
                <w:kern w:val="0"/>
                <w:sz w:val="18"/>
                <w:szCs w:val="18"/>
              </w:rPr>
            </w:pPr>
            <w:r>
              <w:rPr>
                <w:rFonts w:hint="eastAsia" w:ascii="宋体" w:hAnsi="宋体" w:eastAsia="宋体" w:cs="宋体"/>
                <w:i w:val="0"/>
                <w:color w:val="000000"/>
                <w:kern w:val="0"/>
                <w:sz w:val="20"/>
                <w:szCs w:val="20"/>
                <w:u w:val="none"/>
                <w:lang w:val="en-US" w:eastAsia="zh-CN" w:bidi="ar"/>
              </w:rPr>
              <w:t>745.86</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仿宋_GB2312" w:hAnsi="宋体" w:eastAsia="仿宋_GB2312" w:cs="宋体"/>
                <w:kern w:val="0"/>
                <w:sz w:val="18"/>
                <w:szCs w:val="18"/>
              </w:rPr>
            </w:pPr>
            <w:r>
              <w:rPr>
                <w:rFonts w:hint="eastAsia" w:ascii="宋体" w:hAnsi="宋体" w:eastAsia="宋体" w:cs="宋体"/>
                <w:i w:val="0"/>
                <w:color w:val="000000"/>
                <w:kern w:val="0"/>
                <w:sz w:val="20"/>
                <w:szCs w:val="20"/>
                <w:u w:val="none"/>
                <w:lang w:val="en-US" w:eastAsia="zh-CN" w:bidi="ar"/>
              </w:rPr>
              <w:t>745.86</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克孜勒苏柯尔克孜自治州林草局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11"/>
        <w:tblW w:w="10254" w:type="dxa"/>
        <w:tblInd w:w="-450" w:type="dxa"/>
        <w:tblLayout w:type="fixed"/>
        <w:tblCellMar>
          <w:top w:w="0" w:type="dxa"/>
          <w:left w:w="108" w:type="dxa"/>
          <w:bottom w:w="0" w:type="dxa"/>
          <w:right w:w="108" w:type="dxa"/>
        </w:tblCellMar>
      </w:tblPr>
      <w:tblGrid>
        <w:gridCol w:w="521"/>
        <w:gridCol w:w="449"/>
        <w:gridCol w:w="434"/>
        <w:gridCol w:w="1336"/>
        <w:gridCol w:w="816"/>
        <w:gridCol w:w="834"/>
        <w:gridCol w:w="466"/>
        <w:gridCol w:w="534"/>
        <w:gridCol w:w="366"/>
        <w:gridCol w:w="366"/>
        <w:gridCol w:w="856"/>
        <w:gridCol w:w="565"/>
        <w:gridCol w:w="683"/>
        <w:gridCol w:w="725"/>
        <w:gridCol w:w="562"/>
        <w:gridCol w:w="741"/>
      </w:tblGrid>
      <w:tr>
        <w:tblPrEx>
          <w:tblLayout w:type="fixed"/>
          <w:tblCellMar>
            <w:top w:w="0" w:type="dxa"/>
            <w:left w:w="108" w:type="dxa"/>
            <w:bottom w:w="0" w:type="dxa"/>
            <w:right w:w="108" w:type="dxa"/>
          </w:tblCellMar>
        </w:tblPrEx>
        <w:trPr>
          <w:trHeight w:val="2474" w:hRule="atLeast"/>
        </w:trPr>
        <w:tc>
          <w:tcPr>
            <w:tcW w:w="14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功能分类科目编码</w:t>
            </w:r>
          </w:p>
          <w:p>
            <w:pPr>
              <w:jc w:val="right"/>
              <w:rPr>
                <w:rFonts w:ascii="仿宋_GB2312" w:hAnsi="宋体" w:eastAsia="仿宋_GB2312" w:cs="宋体"/>
                <w:b/>
                <w:color w:val="000000"/>
                <w:sz w:val="20"/>
                <w:szCs w:val="20"/>
              </w:rPr>
            </w:pPr>
          </w:p>
        </w:tc>
        <w:tc>
          <w:tcPr>
            <w:tcW w:w="1336"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16"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34"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66"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3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宋体" w:eastAsia="仿宋_GB2312" w:cs="宋体"/>
                <w:color w:val="000000"/>
                <w:kern w:val="2"/>
                <w:sz w:val="20"/>
                <w:szCs w:val="20"/>
                <w:lang w:val="en-US" w:eastAsia="zh-CN" w:bidi="ar-SA"/>
              </w:rPr>
            </w:pPr>
            <w:r>
              <w:rPr>
                <w:rFonts w:hint="eastAsia" w:ascii="仿宋_GB2312" w:eastAsia="仿宋_GB2312"/>
                <w:b/>
                <w:color w:val="000000"/>
                <w:sz w:val="20"/>
                <w:szCs w:val="20"/>
              </w:rPr>
              <w:t>国有资本经营预算</w:t>
            </w:r>
          </w:p>
        </w:tc>
        <w:tc>
          <w:tcPr>
            <w:tcW w:w="36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856" w:type="dxa"/>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56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3"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725" w:type="dxa"/>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562"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741"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428"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213</w:t>
            </w:r>
          </w:p>
        </w:tc>
        <w:tc>
          <w:tcPr>
            <w:tcW w:w="449" w:type="dxa"/>
            <w:tcBorders>
              <w:top w:val="nil"/>
              <w:left w:val="nil"/>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434" w:type="dxa"/>
            <w:tcBorders>
              <w:top w:val="nil"/>
              <w:left w:val="nil"/>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13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农林水支出</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745.86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eastAsia="仿宋_GB2312"/>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558.14 </w:t>
            </w:r>
          </w:p>
        </w:tc>
        <w:tc>
          <w:tcPr>
            <w:tcW w:w="466"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20"/>
                <w:szCs w:val="20"/>
                <w:lang w:val="en-US" w:eastAsia="zh-CN"/>
              </w:rPr>
            </w:pPr>
          </w:p>
        </w:tc>
        <w:tc>
          <w:tcPr>
            <w:tcW w:w="534" w:type="dxa"/>
            <w:tcBorders>
              <w:top w:val="single" w:color="auto" w:sz="4" w:space="0"/>
              <w:left w:val="single" w:color="auto" w:sz="4" w:space="0"/>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20"/>
                <w:szCs w:val="20"/>
                <w:lang w:val="en-US" w:eastAsia="zh-CN"/>
              </w:rPr>
            </w:pPr>
          </w:p>
        </w:tc>
        <w:tc>
          <w:tcPr>
            <w:tcW w:w="36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20"/>
                <w:szCs w:val="20"/>
              </w:rPr>
            </w:pPr>
          </w:p>
        </w:tc>
        <w:tc>
          <w:tcPr>
            <w:tcW w:w="36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20"/>
                <w:szCs w:val="20"/>
              </w:rPr>
            </w:pPr>
          </w:p>
        </w:tc>
        <w:tc>
          <w:tcPr>
            <w:tcW w:w="856"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仿宋_GB2312" w:hAnsi="宋体" w:eastAsia="仿宋_GB2312"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163.72 </w:t>
            </w:r>
          </w:p>
        </w:tc>
        <w:tc>
          <w:tcPr>
            <w:tcW w:w="565" w:type="dxa"/>
            <w:tcBorders>
              <w:top w:val="nil"/>
              <w:left w:val="single" w:color="auto" w:sz="4" w:space="0"/>
              <w:bottom w:val="single" w:color="auto" w:sz="4" w:space="0"/>
              <w:right w:val="single" w:color="auto" w:sz="4" w:space="0"/>
            </w:tcBorders>
            <w:shd w:val="clear" w:color="000000" w:fill="FFFFFF"/>
            <w:vAlign w:val="center"/>
          </w:tcPr>
          <w:p>
            <w:pPr>
              <w:rPr>
                <w:rFonts w:ascii="仿宋_GB2312" w:hAnsi="宋体" w:eastAsia="仿宋_GB2312" w:cs="宋体"/>
                <w:color w:val="000000"/>
                <w:sz w:val="20"/>
                <w:szCs w:val="20"/>
              </w:rPr>
            </w:pPr>
          </w:p>
        </w:tc>
        <w:tc>
          <w:tcPr>
            <w:tcW w:w="683" w:type="dxa"/>
            <w:tcBorders>
              <w:top w:val="nil"/>
              <w:left w:val="nil"/>
              <w:bottom w:val="single" w:color="auto" w:sz="4" w:space="0"/>
              <w:right w:val="single" w:color="auto" w:sz="4" w:space="0"/>
            </w:tcBorders>
            <w:shd w:val="clear" w:color="000000" w:fill="FFFFFF"/>
            <w:vAlign w:val="center"/>
          </w:tcPr>
          <w:p>
            <w:pPr>
              <w:rPr>
                <w:rFonts w:ascii="仿宋_GB2312" w:hAnsi="宋体" w:eastAsia="仿宋_GB2312" w:cs="宋体"/>
                <w:color w:val="000000"/>
                <w:sz w:val="20"/>
                <w:szCs w:val="20"/>
              </w:rPr>
            </w:pPr>
          </w:p>
        </w:tc>
        <w:tc>
          <w:tcPr>
            <w:tcW w:w="725" w:type="dxa"/>
            <w:tcBorders>
              <w:top w:val="single" w:color="auto" w:sz="4" w:space="0"/>
              <w:left w:val="nil"/>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仿宋_GB2312" w:hAnsi="宋体" w:eastAsia="仿宋_GB2312"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24.00 </w:t>
            </w:r>
          </w:p>
        </w:tc>
        <w:tc>
          <w:tcPr>
            <w:tcW w:w="562" w:type="dxa"/>
            <w:tcBorders>
              <w:top w:val="nil"/>
              <w:left w:val="single" w:color="auto" w:sz="4" w:space="0"/>
              <w:bottom w:val="single" w:color="auto" w:sz="4" w:space="0"/>
              <w:right w:val="single" w:color="auto" w:sz="4" w:space="0"/>
            </w:tcBorders>
            <w:shd w:val="clear" w:color="000000" w:fill="FFFFFF"/>
            <w:vAlign w:val="top"/>
          </w:tcPr>
          <w:p>
            <w:pPr>
              <w:jc w:val="center"/>
              <w:rPr>
                <w:rFonts w:ascii="仿宋_GB2312" w:hAnsi="宋体" w:eastAsia="仿宋_GB2312" w:cs="宋体"/>
                <w:color w:val="000000"/>
                <w:sz w:val="20"/>
                <w:szCs w:val="20"/>
              </w:rPr>
            </w:pPr>
          </w:p>
        </w:tc>
        <w:tc>
          <w:tcPr>
            <w:tcW w:w="741" w:type="dxa"/>
            <w:tcBorders>
              <w:top w:val="nil"/>
              <w:left w:val="nil"/>
              <w:bottom w:val="single" w:color="auto" w:sz="4" w:space="0"/>
              <w:right w:val="single" w:color="auto" w:sz="4" w:space="0"/>
            </w:tcBorders>
            <w:shd w:val="clear" w:color="000000" w:fill="FFFFFF"/>
            <w:vAlign w:val="top"/>
          </w:tcPr>
          <w:p>
            <w:pPr>
              <w:jc w:val="center"/>
              <w:rPr>
                <w:rFonts w:hint="eastAsia" w:ascii="仿宋_GB2312" w:hAnsi="宋体" w:eastAsia="仿宋_GB2312" w:cs="宋体"/>
                <w:color w:val="000000"/>
                <w:sz w:val="20"/>
                <w:szCs w:val="20"/>
                <w:lang w:val="en-US" w:eastAsia="zh-CN"/>
              </w:rPr>
            </w:pPr>
          </w:p>
        </w:tc>
      </w:tr>
      <w:tr>
        <w:tblPrEx>
          <w:tblLayout w:type="fixed"/>
          <w:tblCellMar>
            <w:top w:w="0" w:type="dxa"/>
            <w:left w:w="108" w:type="dxa"/>
            <w:bottom w:w="0" w:type="dxa"/>
            <w:right w:w="108" w:type="dxa"/>
          </w:tblCellMar>
        </w:tblPrEx>
        <w:trPr>
          <w:trHeight w:val="47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213</w:t>
            </w:r>
          </w:p>
        </w:tc>
        <w:tc>
          <w:tcPr>
            <w:tcW w:w="44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02</w:t>
            </w:r>
          </w:p>
        </w:tc>
        <w:tc>
          <w:tcPr>
            <w:tcW w:w="434"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p>
        </w:tc>
        <w:tc>
          <w:tcPr>
            <w:tcW w:w="13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林业和草原</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745.86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558.14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8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163.72 </w:t>
            </w: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7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24.00 </w:t>
            </w:r>
          </w:p>
        </w:tc>
        <w:tc>
          <w:tcPr>
            <w:tcW w:w="56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p>
        </w:tc>
        <w:tc>
          <w:tcPr>
            <w:tcW w:w="74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7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213</w:t>
            </w:r>
          </w:p>
        </w:tc>
        <w:tc>
          <w:tcPr>
            <w:tcW w:w="44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02</w:t>
            </w:r>
          </w:p>
        </w:tc>
        <w:tc>
          <w:tcPr>
            <w:tcW w:w="4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99</w:t>
            </w:r>
          </w:p>
        </w:tc>
        <w:tc>
          <w:tcPr>
            <w:tcW w:w="13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其他林业和草原支出</w:t>
            </w:r>
          </w:p>
        </w:tc>
        <w:tc>
          <w:tcPr>
            <w:tcW w:w="81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185.43</w:t>
            </w:r>
          </w:p>
        </w:tc>
        <w:tc>
          <w:tcPr>
            <w:tcW w:w="834"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107.78</w:t>
            </w:r>
          </w:p>
        </w:tc>
        <w:tc>
          <w:tcPr>
            <w:tcW w:w="46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34"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856" w:type="dxa"/>
            <w:tcBorders>
              <w:top w:val="single" w:color="auto" w:sz="4" w:space="0"/>
              <w:left w:val="nil"/>
              <w:bottom w:val="single" w:color="auto" w:sz="4" w:space="0"/>
              <w:right w:val="single" w:color="auto" w:sz="4" w:space="0"/>
            </w:tcBorders>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53.65</w:t>
            </w:r>
          </w:p>
        </w:tc>
        <w:tc>
          <w:tcPr>
            <w:tcW w:w="565"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683"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725" w:type="dxa"/>
            <w:tcBorders>
              <w:top w:val="single" w:color="auto" w:sz="4" w:space="0"/>
              <w:left w:val="nil"/>
              <w:bottom w:val="single" w:color="auto" w:sz="4" w:space="0"/>
              <w:right w:val="single" w:color="auto" w:sz="4" w:space="0"/>
            </w:tcBorders>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24.00</w:t>
            </w:r>
          </w:p>
        </w:tc>
        <w:tc>
          <w:tcPr>
            <w:tcW w:w="562" w:type="dxa"/>
            <w:tcBorders>
              <w:top w:val="nil"/>
              <w:left w:val="single" w:color="auto" w:sz="4" w:space="0"/>
              <w:bottom w:val="single" w:color="auto" w:sz="4" w:space="0"/>
              <w:right w:val="single" w:color="auto" w:sz="4" w:space="0"/>
            </w:tcBorders>
            <w:shd w:val="clear" w:color="auto" w:fill="auto"/>
            <w:vAlign w:val="top"/>
          </w:tcPr>
          <w:p>
            <w:pPr>
              <w:jc w:val="lef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top"/>
          </w:tcPr>
          <w:p>
            <w:pPr>
              <w:ind w:right="400"/>
              <w:jc w:val="left"/>
              <w:rPr>
                <w:rFonts w:hint="eastAsia" w:ascii="仿宋_GB2312" w:hAnsi="宋体" w:eastAsia="仿宋_GB2312" w:cs="宋体"/>
                <w:color w:val="000000"/>
                <w:sz w:val="20"/>
                <w:szCs w:val="20"/>
                <w:lang w:val="en-US" w:eastAsia="zh-CN"/>
              </w:rPr>
            </w:pPr>
          </w:p>
        </w:tc>
      </w:tr>
      <w:tr>
        <w:tblPrEx>
          <w:tblLayout w:type="fixed"/>
          <w:tblCellMar>
            <w:top w:w="0" w:type="dxa"/>
            <w:left w:w="108" w:type="dxa"/>
            <w:bottom w:w="0" w:type="dxa"/>
            <w:right w:w="108" w:type="dxa"/>
          </w:tblCellMar>
        </w:tblPrEx>
        <w:trPr>
          <w:trHeight w:val="47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213</w:t>
            </w:r>
          </w:p>
        </w:tc>
        <w:tc>
          <w:tcPr>
            <w:tcW w:w="44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02</w:t>
            </w:r>
          </w:p>
        </w:tc>
        <w:tc>
          <w:tcPr>
            <w:tcW w:w="4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34</w:t>
            </w:r>
          </w:p>
        </w:tc>
        <w:tc>
          <w:tcPr>
            <w:tcW w:w="13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林业草原防灾减灾</w:t>
            </w:r>
          </w:p>
        </w:tc>
        <w:tc>
          <w:tcPr>
            <w:tcW w:w="81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10.00</w:t>
            </w:r>
          </w:p>
        </w:tc>
        <w:tc>
          <w:tcPr>
            <w:tcW w:w="834"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46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34"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856" w:type="dxa"/>
            <w:tcBorders>
              <w:top w:val="single" w:color="auto" w:sz="4" w:space="0"/>
              <w:left w:val="nil"/>
              <w:bottom w:val="single" w:color="auto" w:sz="4" w:space="0"/>
              <w:right w:val="single" w:color="auto" w:sz="4" w:space="0"/>
            </w:tcBorders>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10.00</w:t>
            </w:r>
          </w:p>
        </w:tc>
        <w:tc>
          <w:tcPr>
            <w:tcW w:w="565"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683"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725" w:type="dxa"/>
            <w:tcBorders>
              <w:top w:val="single" w:color="auto" w:sz="4" w:space="0"/>
              <w:left w:val="nil"/>
              <w:bottom w:val="single" w:color="auto" w:sz="4" w:space="0"/>
              <w:right w:val="single" w:color="auto" w:sz="4" w:space="0"/>
            </w:tcBorders>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top"/>
          </w:tcPr>
          <w:p>
            <w:pPr>
              <w:jc w:val="center"/>
              <w:rPr>
                <w:rFonts w:ascii="仿宋_GB2312" w:hAnsi="宋体" w:eastAsia="仿宋_GB2312" w:cs="宋体"/>
                <w:color w:val="000000"/>
                <w:sz w:val="20"/>
                <w:szCs w:val="20"/>
              </w:rPr>
            </w:pPr>
          </w:p>
        </w:tc>
        <w:tc>
          <w:tcPr>
            <w:tcW w:w="741" w:type="dxa"/>
            <w:tcBorders>
              <w:top w:val="nil"/>
              <w:left w:val="nil"/>
              <w:bottom w:val="single" w:color="auto" w:sz="4" w:space="0"/>
              <w:right w:val="single" w:color="auto" w:sz="4" w:space="0"/>
            </w:tcBorders>
            <w:shd w:val="clear" w:color="auto" w:fill="auto"/>
            <w:vAlign w:val="top"/>
          </w:tcPr>
          <w:p>
            <w:pPr>
              <w:ind w:right="400"/>
              <w:jc w:val="left"/>
              <w:rPr>
                <w:rFonts w:hint="eastAsia" w:ascii="仿宋_GB2312" w:hAnsi="宋体" w:eastAsia="仿宋_GB2312" w:cs="宋体"/>
                <w:color w:val="000000"/>
                <w:sz w:val="20"/>
                <w:szCs w:val="20"/>
                <w:lang w:val="en-US" w:eastAsia="zh-CN"/>
              </w:rPr>
            </w:pPr>
          </w:p>
        </w:tc>
      </w:tr>
      <w:tr>
        <w:tblPrEx>
          <w:tblLayout w:type="fixed"/>
          <w:tblCellMar>
            <w:top w:w="0" w:type="dxa"/>
            <w:left w:w="108" w:type="dxa"/>
            <w:bottom w:w="0" w:type="dxa"/>
            <w:right w:w="108" w:type="dxa"/>
          </w:tblCellMar>
        </w:tblPrEx>
        <w:trPr>
          <w:trHeight w:val="35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213</w:t>
            </w:r>
          </w:p>
        </w:tc>
        <w:tc>
          <w:tcPr>
            <w:tcW w:w="44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02</w:t>
            </w:r>
          </w:p>
        </w:tc>
        <w:tc>
          <w:tcPr>
            <w:tcW w:w="4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宋体"/>
                <w:color w:val="000000"/>
                <w:sz w:val="20"/>
                <w:szCs w:val="20"/>
                <w:lang w:val="en-US" w:eastAsia="zh-CN"/>
              </w:rPr>
            </w:pPr>
            <w:r>
              <w:rPr>
                <w:rFonts w:hint="eastAsia" w:ascii="宋体" w:hAnsi="宋体" w:eastAsia="宋体" w:cs="宋体"/>
                <w:i w:val="0"/>
                <w:color w:val="000000"/>
                <w:kern w:val="0"/>
                <w:sz w:val="20"/>
                <w:szCs w:val="20"/>
                <w:u w:val="none"/>
                <w:lang w:val="en-US" w:eastAsia="zh-CN" w:bidi="ar"/>
              </w:rPr>
              <w:t>01</w:t>
            </w:r>
          </w:p>
        </w:tc>
        <w:tc>
          <w:tcPr>
            <w:tcW w:w="13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行政运行（林业）</w:t>
            </w:r>
          </w:p>
        </w:tc>
        <w:tc>
          <w:tcPr>
            <w:tcW w:w="81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510.43</w:t>
            </w:r>
          </w:p>
        </w:tc>
        <w:tc>
          <w:tcPr>
            <w:tcW w:w="834"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450.36</w:t>
            </w:r>
          </w:p>
        </w:tc>
        <w:tc>
          <w:tcPr>
            <w:tcW w:w="46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34"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856" w:type="dxa"/>
            <w:tcBorders>
              <w:top w:val="single" w:color="auto" w:sz="4" w:space="0"/>
              <w:left w:val="nil"/>
              <w:bottom w:val="single" w:color="auto" w:sz="4" w:space="0"/>
              <w:right w:val="single" w:color="auto" w:sz="4" w:space="0"/>
            </w:tcBorders>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60.07</w:t>
            </w:r>
          </w:p>
        </w:tc>
        <w:tc>
          <w:tcPr>
            <w:tcW w:w="565"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683"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725" w:type="dxa"/>
            <w:tcBorders>
              <w:top w:val="single" w:color="auto" w:sz="4" w:space="0"/>
              <w:left w:val="nil"/>
              <w:bottom w:val="single" w:color="auto" w:sz="4" w:space="0"/>
              <w:right w:val="single" w:color="auto" w:sz="4" w:space="0"/>
            </w:tcBorders>
            <w:vAlign w:val="top"/>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top"/>
          </w:tcPr>
          <w:p>
            <w:pPr>
              <w:jc w:val="left"/>
              <w:rPr>
                <w:rFonts w:ascii="仿宋_GB2312" w:hAnsi="宋体" w:eastAsia="仿宋_GB2312" w:cs="宋体"/>
                <w:color w:val="000000"/>
                <w:sz w:val="20"/>
                <w:szCs w:val="20"/>
              </w:rPr>
            </w:pPr>
          </w:p>
        </w:tc>
        <w:tc>
          <w:tcPr>
            <w:tcW w:w="741" w:type="dxa"/>
            <w:tcBorders>
              <w:top w:val="nil"/>
              <w:left w:val="nil"/>
              <w:bottom w:val="single" w:color="auto" w:sz="4" w:space="0"/>
              <w:right w:val="single" w:color="auto" w:sz="4" w:space="0"/>
            </w:tcBorders>
            <w:shd w:val="clear" w:color="auto" w:fill="auto"/>
            <w:vAlign w:val="top"/>
          </w:tcPr>
          <w:p>
            <w:pPr>
              <w:ind w:right="400"/>
              <w:jc w:val="left"/>
              <w:rPr>
                <w:rFonts w:hint="eastAsia" w:ascii="仿宋_GB2312" w:hAnsi="宋体" w:eastAsia="仿宋_GB2312" w:cs="宋体"/>
                <w:color w:val="000000"/>
                <w:sz w:val="20"/>
                <w:szCs w:val="20"/>
                <w:lang w:val="en-US" w:eastAsia="zh-CN"/>
              </w:rPr>
            </w:pPr>
          </w:p>
        </w:tc>
      </w:tr>
      <w:tr>
        <w:tblPrEx>
          <w:tblLayout w:type="fixed"/>
          <w:tblCellMar>
            <w:top w:w="0" w:type="dxa"/>
            <w:left w:w="108" w:type="dxa"/>
            <w:bottom w:w="0" w:type="dxa"/>
            <w:right w:w="108" w:type="dxa"/>
          </w:tblCellMar>
        </w:tblPrEx>
        <w:trPr>
          <w:trHeight w:val="35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213</w:t>
            </w:r>
          </w:p>
        </w:tc>
        <w:tc>
          <w:tcPr>
            <w:tcW w:w="44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02</w:t>
            </w:r>
          </w:p>
        </w:tc>
        <w:tc>
          <w:tcPr>
            <w:tcW w:w="4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09</w:t>
            </w:r>
          </w:p>
        </w:tc>
        <w:tc>
          <w:tcPr>
            <w:tcW w:w="13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森林生态效益补偿</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40.00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40.00</w:t>
            </w: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68"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8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1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8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06"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20"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4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34"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1336" w:type="dxa"/>
            <w:tcBorders>
              <w:top w:val="nil"/>
              <w:left w:val="nil"/>
              <w:bottom w:val="single" w:color="auto" w:sz="4" w:space="0"/>
              <w:right w:val="single" w:color="auto" w:sz="4" w:space="0"/>
            </w:tcBorders>
            <w:shd w:val="clear" w:color="auto" w:fill="auto"/>
            <w:vAlign w:val="center"/>
          </w:tcPr>
          <w:p>
            <w:pPr>
              <w:rPr>
                <w:rFonts w:hint="eastAsia" w:ascii="仿宋_GB2312" w:eastAsia="仿宋_GB2312"/>
                <w:color w:val="000000"/>
                <w:sz w:val="20"/>
                <w:szCs w:val="20"/>
              </w:rPr>
            </w:pP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41" w:type="dxa"/>
            <w:tcBorders>
              <w:top w:val="nil"/>
              <w:left w:val="nil"/>
              <w:bottom w:val="single" w:color="auto" w:sz="4" w:space="0"/>
              <w:right w:val="single" w:color="auto" w:sz="4" w:space="0"/>
            </w:tcBorders>
            <w:shd w:val="clear" w:color="auto" w:fill="auto"/>
            <w:vAlign w:val="center"/>
          </w:tcPr>
          <w:p>
            <w:pPr>
              <w:ind w:right="400"/>
              <w:rPr>
                <w:rFonts w:hint="eastAsia"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20"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4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34"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1336" w:type="dxa"/>
            <w:tcBorders>
              <w:top w:val="nil"/>
              <w:left w:val="nil"/>
              <w:bottom w:val="single" w:color="auto" w:sz="4" w:space="0"/>
              <w:right w:val="single" w:color="auto" w:sz="4" w:space="0"/>
            </w:tcBorders>
            <w:shd w:val="clear" w:color="auto" w:fill="auto"/>
            <w:vAlign w:val="center"/>
          </w:tcPr>
          <w:p>
            <w:pPr>
              <w:rPr>
                <w:rFonts w:hint="eastAsia" w:ascii="仿宋_GB2312" w:eastAsia="仿宋_GB2312"/>
                <w:color w:val="000000"/>
                <w:sz w:val="20"/>
                <w:szCs w:val="20"/>
              </w:rPr>
            </w:pP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41" w:type="dxa"/>
            <w:tcBorders>
              <w:top w:val="nil"/>
              <w:left w:val="nil"/>
              <w:bottom w:val="single" w:color="auto" w:sz="4" w:space="0"/>
              <w:right w:val="single" w:color="auto" w:sz="4" w:space="0"/>
            </w:tcBorders>
            <w:shd w:val="clear" w:color="auto" w:fill="auto"/>
            <w:vAlign w:val="center"/>
          </w:tcPr>
          <w:p>
            <w:pPr>
              <w:ind w:right="400"/>
              <w:rPr>
                <w:rFonts w:hint="eastAsia"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20"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54"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2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57"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7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32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725" w:type="dxa"/>
            <w:tcBorders>
              <w:top w:val="single" w:color="auto" w:sz="4" w:space="0"/>
              <w:left w:val="nil"/>
              <w:bottom w:val="single" w:color="auto" w:sz="4" w:space="0"/>
              <w:right w:val="single" w:color="auto" w:sz="4" w:space="0"/>
            </w:tcBorders>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83" w:hRule="atLeast"/>
        </w:trPr>
        <w:tc>
          <w:tcPr>
            <w:tcW w:w="52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745.86</w:t>
            </w:r>
          </w:p>
        </w:tc>
        <w:tc>
          <w:tcPr>
            <w:tcW w:w="8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558.14　</w:t>
            </w:r>
          </w:p>
        </w:tc>
        <w:tc>
          <w:tcPr>
            <w:tcW w:w="4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5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3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163.72</w:t>
            </w:r>
          </w:p>
        </w:tc>
        <w:tc>
          <w:tcPr>
            <w:tcW w:w="56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68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7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24.00</w:t>
            </w:r>
          </w:p>
        </w:tc>
        <w:tc>
          <w:tcPr>
            <w:tcW w:w="56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pPr>
              <w:ind w:right="400"/>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rPr>
              <w:t>　</w:t>
            </w:r>
          </w:p>
        </w:tc>
      </w:tr>
    </w:tbl>
    <w:p>
      <w:pPr>
        <w:widowControl/>
        <w:outlineLvl w:val="1"/>
        <w:rPr>
          <w:rFonts w:hint="eastAsia"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克孜勒苏柯尔克孜自治州林草局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11"/>
        <w:tblW w:w="9420" w:type="dxa"/>
        <w:tblInd w:w="-240" w:type="dxa"/>
        <w:tblLayout w:type="fixed"/>
        <w:tblCellMar>
          <w:top w:w="0" w:type="dxa"/>
          <w:left w:w="108" w:type="dxa"/>
          <w:bottom w:w="0" w:type="dxa"/>
          <w:right w:w="108" w:type="dxa"/>
        </w:tblCellMar>
      </w:tblPr>
      <w:tblGrid>
        <w:gridCol w:w="496"/>
        <w:gridCol w:w="417"/>
        <w:gridCol w:w="400"/>
        <w:gridCol w:w="2492"/>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1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color w:val="000000"/>
                <w:kern w:val="0"/>
                <w:sz w:val="16"/>
                <w:szCs w:val="16"/>
                <w:lang w:val="en-US" w:eastAsia="zh-CN"/>
              </w:rPr>
            </w:pPr>
            <w:r>
              <w:rPr>
                <w:rFonts w:hint="eastAsia" w:ascii="宋体" w:hAnsi="宋体" w:eastAsia="宋体" w:cs="宋体"/>
                <w:i w:val="0"/>
                <w:color w:val="000000"/>
                <w:kern w:val="0"/>
                <w:sz w:val="18"/>
                <w:szCs w:val="18"/>
                <w:u w:val="none"/>
                <w:lang w:val="en-US" w:eastAsia="zh-CN" w:bidi="ar"/>
              </w:rPr>
              <w:t>213</w:t>
            </w: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b/>
                <w:bCs/>
                <w:color w:val="000000"/>
                <w:kern w:val="0"/>
                <w:sz w:val="16"/>
                <w:szCs w:val="16"/>
                <w:lang w:val="en-US" w:eastAsia="zh-CN"/>
              </w:rPr>
            </w:pPr>
          </w:p>
        </w:tc>
        <w:tc>
          <w:tcPr>
            <w:tcW w:w="400"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b/>
                <w:bCs/>
                <w:color w:val="000000"/>
                <w:kern w:val="0"/>
                <w:sz w:val="16"/>
                <w:szCs w:val="16"/>
                <w:lang w:val="en-US" w:eastAsia="zh-CN"/>
              </w:rPr>
            </w:pPr>
          </w:p>
        </w:tc>
        <w:tc>
          <w:tcPr>
            <w:tcW w:w="2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农林水支出</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745.86 </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510.43 </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235.43 </w:t>
            </w:r>
          </w:p>
        </w:tc>
      </w:tr>
      <w:tr>
        <w:tblPrEx>
          <w:tblLayout w:type="fixed"/>
          <w:tblCellMar>
            <w:top w:w="0" w:type="dxa"/>
            <w:left w:w="108" w:type="dxa"/>
            <w:bottom w:w="0" w:type="dxa"/>
            <w:right w:w="108" w:type="dxa"/>
          </w:tblCellMar>
        </w:tblPrEx>
        <w:trPr>
          <w:trHeight w:val="361"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213</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02</w:t>
            </w:r>
          </w:p>
        </w:tc>
        <w:tc>
          <w:tcPr>
            <w:tcW w:w="400"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16"/>
                <w:szCs w:val="16"/>
              </w:rPr>
            </w:pPr>
          </w:p>
        </w:tc>
        <w:tc>
          <w:tcPr>
            <w:tcW w:w="2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林业和草原</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val="0"/>
                <w:bCs w:val="0"/>
                <w:color w:val="000000"/>
                <w:kern w:val="0"/>
                <w:sz w:val="20"/>
                <w:szCs w:val="20"/>
                <w:lang w:val="en-US" w:eastAsia="zh-CN"/>
              </w:rPr>
            </w:pPr>
            <w:r>
              <w:rPr>
                <w:rFonts w:hint="eastAsia" w:ascii="宋体" w:hAnsi="宋体" w:eastAsia="宋体" w:cs="宋体"/>
                <w:i w:val="0"/>
                <w:color w:val="000000"/>
                <w:kern w:val="0"/>
                <w:sz w:val="20"/>
                <w:szCs w:val="20"/>
                <w:u w:val="none"/>
                <w:lang w:val="en-US" w:eastAsia="zh-CN" w:bidi="ar"/>
              </w:rPr>
              <w:t xml:space="preserve">745.86 </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val="0"/>
                <w:bCs w:val="0"/>
                <w:color w:val="000000"/>
                <w:kern w:val="0"/>
                <w:sz w:val="20"/>
                <w:szCs w:val="20"/>
                <w:lang w:val="en-US"/>
              </w:rPr>
            </w:pPr>
            <w:r>
              <w:rPr>
                <w:rFonts w:hint="eastAsia" w:ascii="宋体" w:hAnsi="宋体" w:eastAsia="宋体" w:cs="宋体"/>
                <w:i w:val="0"/>
                <w:color w:val="000000"/>
                <w:kern w:val="0"/>
                <w:sz w:val="20"/>
                <w:szCs w:val="20"/>
                <w:u w:val="none"/>
                <w:lang w:val="en-US" w:eastAsia="zh-CN" w:bidi="ar"/>
              </w:rPr>
              <w:t xml:space="preserve">510.43 </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lang w:val="en-US"/>
              </w:rPr>
            </w:pPr>
            <w:r>
              <w:rPr>
                <w:rFonts w:hint="eastAsia" w:ascii="宋体" w:hAnsi="宋体" w:eastAsia="宋体" w:cs="宋体"/>
                <w:i w:val="0"/>
                <w:color w:val="000000"/>
                <w:kern w:val="0"/>
                <w:sz w:val="20"/>
                <w:szCs w:val="20"/>
                <w:u w:val="none"/>
                <w:lang w:val="en-US" w:eastAsia="zh-CN" w:bidi="ar"/>
              </w:rPr>
              <w:t xml:space="preserve">235.43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213</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02</w:t>
            </w:r>
          </w:p>
        </w:tc>
        <w:tc>
          <w:tcPr>
            <w:tcW w:w="4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99</w:t>
            </w:r>
          </w:p>
        </w:tc>
        <w:tc>
          <w:tcPr>
            <w:tcW w:w="2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其他林业和草原支出</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185.43 </w:t>
            </w:r>
          </w:p>
        </w:tc>
        <w:tc>
          <w:tcPr>
            <w:tcW w:w="1856" w:type="dxa"/>
            <w:tcBorders>
              <w:top w:val="nil"/>
              <w:left w:val="nil"/>
              <w:bottom w:val="single" w:color="auto" w:sz="4" w:space="0"/>
              <w:right w:val="single" w:color="auto" w:sz="4" w:space="0"/>
            </w:tcBorders>
            <w:shd w:val="clear" w:color="auto" w:fill="auto"/>
            <w:vAlign w:val="center"/>
          </w:tcPr>
          <w:p>
            <w:pPr>
              <w:jc w:val="both"/>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185.43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213</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02</w:t>
            </w:r>
          </w:p>
        </w:tc>
        <w:tc>
          <w:tcPr>
            <w:tcW w:w="4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34</w:t>
            </w:r>
          </w:p>
        </w:tc>
        <w:tc>
          <w:tcPr>
            <w:tcW w:w="2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林业草原防灾减灾</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lang w:val="en-US"/>
              </w:rPr>
            </w:pPr>
            <w:r>
              <w:rPr>
                <w:rFonts w:hint="eastAsia" w:ascii="宋体" w:hAnsi="宋体" w:eastAsia="宋体" w:cs="宋体"/>
                <w:i w:val="0"/>
                <w:color w:val="000000"/>
                <w:kern w:val="0"/>
                <w:sz w:val="20"/>
                <w:szCs w:val="20"/>
                <w:u w:val="none"/>
                <w:lang w:val="en-US" w:eastAsia="zh-CN" w:bidi="ar"/>
              </w:rPr>
              <w:t xml:space="preserve">10.00 </w:t>
            </w:r>
          </w:p>
        </w:tc>
        <w:tc>
          <w:tcPr>
            <w:tcW w:w="1856" w:type="dxa"/>
            <w:tcBorders>
              <w:top w:val="nil"/>
              <w:left w:val="nil"/>
              <w:bottom w:val="single" w:color="auto" w:sz="4" w:space="0"/>
              <w:right w:val="single" w:color="auto" w:sz="4" w:space="0"/>
            </w:tcBorders>
            <w:shd w:val="clear" w:color="auto" w:fill="auto"/>
            <w:vAlign w:val="center"/>
          </w:tcPr>
          <w:p>
            <w:pPr>
              <w:jc w:val="both"/>
              <w:rPr>
                <w:rFonts w:ascii="宋体" w:hAnsi="宋体" w:cs="宋体"/>
                <w:b/>
                <w:bCs/>
                <w:color w:val="000000"/>
                <w:kern w:val="0"/>
                <w:sz w:val="22"/>
                <w:szCs w:val="22"/>
                <w:lang w:val="en-US"/>
              </w:rPr>
            </w:pP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lang w:val="en-US"/>
              </w:rPr>
            </w:pPr>
            <w:r>
              <w:rPr>
                <w:rFonts w:hint="eastAsia" w:ascii="宋体" w:hAnsi="宋体" w:eastAsia="宋体" w:cs="宋体"/>
                <w:i w:val="0"/>
                <w:color w:val="000000"/>
                <w:kern w:val="0"/>
                <w:sz w:val="20"/>
                <w:szCs w:val="20"/>
                <w:u w:val="none"/>
                <w:lang w:val="en-US" w:eastAsia="zh-CN" w:bidi="ar"/>
              </w:rPr>
              <w:t xml:space="preserve">10.00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213</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02</w:t>
            </w:r>
          </w:p>
        </w:tc>
        <w:tc>
          <w:tcPr>
            <w:tcW w:w="4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01</w:t>
            </w:r>
          </w:p>
        </w:tc>
        <w:tc>
          <w:tcPr>
            <w:tcW w:w="2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行政运行（林业）</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510.43 </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510.43 </w:t>
            </w:r>
          </w:p>
        </w:tc>
        <w:tc>
          <w:tcPr>
            <w:tcW w:w="1904" w:type="dxa"/>
            <w:tcBorders>
              <w:top w:val="nil"/>
              <w:left w:val="nil"/>
              <w:bottom w:val="single" w:color="auto" w:sz="4" w:space="0"/>
              <w:right w:val="single" w:color="auto" w:sz="4" w:space="0"/>
            </w:tcBorders>
            <w:shd w:val="clear" w:color="auto" w:fill="auto"/>
            <w:vAlign w:val="center"/>
          </w:tcPr>
          <w:p>
            <w:pPr>
              <w:jc w:val="both"/>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213</w:t>
            </w:r>
          </w:p>
        </w:tc>
        <w:tc>
          <w:tcPr>
            <w:tcW w:w="4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02</w:t>
            </w:r>
          </w:p>
        </w:tc>
        <w:tc>
          <w:tcPr>
            <w:tcW w:w="4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09</w:t>
            </w:r>
          </w:p>
        </w:tc>
        <w:tc>
          <w:tcPr>
            <w:tcW w:w="2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森林生态效益补偿</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40.00 </w:t>
            </w:r>
          </w:p>
        </w:tc>
        <w:tc>
          <w:tcPr>
            <w:tcW w:w="1856" w:type="dxa"/>
            <w:tcBorders>
              <w:top w:val="nil"/>
              <w:left w:val="nil"/>
              <w:bottom w:val="single" w:color="auto" w:sz="4" w:space="0"/>
              <w:right w:val="single" w:color="auto" w:sz="4" w:space="0"/>
            </w:tcBorders>
            <w:shd w:val="clear" w:color="auto" w:fill="auto"/>
            <w:vAlign w:val="center"/>
          </w:tcPr>
          <w:p>
            <w:pPr>
              <w:jc w:val="both"/>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40.00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745.8</w:t>
            </w:r>
            <w:r>
              <w:rPr>
                <w:rFonts w:hint="eastAsia" w:ascii="宋体" w:hAnsi="宋体" w:cs="宋体"/>
                <w:i w:val="0"/>
                <w:color w:val="000000"/>
                <w:kern w:val="0"/>
                <w:sz w:val="20"/>
                <w:szCs w:val="20"/>
                <w:u w:val="none"/>
                <w:lang w:val="en-US" w:eastAsia="zh-CN" w:bidi="ar"/>
              </w:rPr>
              <w:t>6</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510.4</w:t>
            </w:r>
            <w:r>
              <w:rPr>
                <w:rFonts w:hint="eastAsia" w:ascii="宋体" w:hAnsi="宋体" w:cs="宋体"/>
                <w:i w:val="0"/>
                <w:color w:val="000000"/>
                <w:kern w:val="0"/>
                <w:sz w:val="20"/>
                <w:szCs w:val="20"/>
                <w:u w:val="none"/>
                <w:lang w:val="en-US" w:eastAsia="zh-CN" w:bidi="ar"/>
              </w:rPr>
              <w:t>3</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235.43</w:t>
            </w:r>
          </w:p>
        </w:tc>
      </w:tr>
    </w:tbl>
    <w:p>
      <w:pPr>
        <w:widowControl/>
        <w:outlineLvl w:val="1"/>
        <w:rPr>
          <w:rFonts w:hint="eastAsia" w:ascii="仿宋_GB2312" w:hAnsi="宋体" w:eastAsia="仿宋_GB2312"/>
          <w:b/>
          <w:kern w:val="0"/>
          <w:sz w:val="28"/>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hint="eastAsia" w:ascii="仿宋_GB2312" w:hAnsi="宋体" w:eastAsia="仿宋_GB2312"/>
          <w:kern w:val="0"/>
          <w:sz w:val="24"/>
          <w:lang w:eastAsia="zh-CN"/>
        </w:rPr>
      </w:pPr>
      <w:r>
        <w:rPr>
          <w:rFonts w:hint="eastAsia" w:ascii="仿宋_GB2312" w:hAnsi="宋体" w:eastAsia="仿宋_GB2312"/>
          <w:kern w:val="0"/>
          <w:sz w:val="28"/>
          <w:szCs w:val="28"/>
        </w:rPr>
        <w:t>编制部门：</w:t>
      </w:r>
      <w:r>
        <w:rPr>
          <w:rFonts w:hint="eastAsia" w:ascii="仿宋_GB2312" w:hAnsi="宋体" w:eastAsia="仿宋_GB2312"/>
          <w:kern w:val="0"/>
          <w:sz w:val="24"/>
          <w:lang w:eastAsia="zh-CN"/>
        </w:rPr>
        <w:t>克孜勒苏柯尔克孜自治州林草局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lang w:eastAsia="zh-CN"/>
        </w:rPr>
        <w:t xml:space="preserve"> 单位：万元</w:t>
      </w:r>
    </w:p>
    <w:tbl>
      <w:tblPr>
        <w:tblStyle w:val="11"/>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宋体" w:hAnsi="宋体" w:cs="宋体"/>
                <w:kern w:val="0"/>
                <w:sz w:val="18"/>
                <w:szCs w:val="18"/>
              </w:rPr>
              <w:t>558.1</w:t>
            </w:r>
            <w:r>
              <w:rPr>
                <w:rFonts w:hint="eastAsia" w:ascii="宋体" w:hAnsi="宋体" w:cs="宋体"/>
                <w:kern w:val="0"/>
                <w:sz w:val="18"/>
                <w:szCs w:val="18"/>
                <w:lang w:val="en-US" w:eastAsia="zh-CN"/>
              </w:rPr>
              <w:t>4</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宋体" w:hAnsi="宋体" w:cs="宋体"/>
                <w:kern w:val="0"/>
                <w:sz w:val="18"/>
                <w:szCs w:val="18"/>
              </w:rPr>
              <w:t>558.1</w:t>
            </w:r>
            <w:r>
              <w:rPr>
                <w:rFonts w:hint="eastAsia" w:ascii="宋体" w:hAnsi="宋体" w:cs="宋体"/>
                <w:kern w:val="0"/>
                <w:sz w:val="18"/>
                <w:szCs w:val="18"/>
                <w:lang w:val="en-US" w:eastAsia="zh-CN"/>
              </w:rPr>
              <w:t>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国有资本经营预算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r>
              <w:rPr>
                <w:rFonts w:hint="eastAsia" w:ascii="宋体" w:hAnsi="宋体" w:cs="宋体"/>
                <w:kern w:val="0"/>
                <w:sz w:val="18"/>
                <w:szCs w:val="18"/>
              </w:rPr>
              <w:t>558.1</w:t>
            </w:r>
            <w:r>
              <w:rPr>
                <w:rFonts w:hint="eastAsia" w:ascii="宋体" w:hAnsi="宋体" w:cs="宋体"/>
                <w:kern w:val="0"/>
                <w:sz w:val="18"/>
                <w:szCs w:val="18"/>
                <w:lang w:val="en-US" w:eastAsia="zh-CN"/>
              </w:rPr>
              <w:t>4</w:t>
            </w:r>
          </w:p>
        </w:tc>
        <w:tc>
          <w:tcPr>
            <w:tcW w:w="85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r>
              <w:rPr>
                <w:rFonts w:hint="eastAsia" w:ascii="宋体" w:hAnsi="宋体" w:cs="宋体"/>
                <w:kern w:val="0"/>
                <w:sz w:val="18"/>
                <w:szCs w:val="18"/>
              </w:rPr>
              <w:t>558.1</w:t>
            </w:r>
            <w:r>
              <w:rPr>
                <w:rFonts w:hint="eastAsia" w:ascii="宋体" w:hAnsi="宋体" w:cs="宋体"/>
                <w:kern w:val="0"/>
                <w:sz w:val="18"/>
                <w:szCs w:val="18"/>
                <w:lang w:val="en-US" w:eastAsia="zh-CN"/>
              </w:rPr>
              <w:t>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lang w:val="en-US" w:eastAsia="zh-CN" w:bidi="ar-SA"/>
              </w:rPr>
            </w:pPr>
            <w:r>
              <w:rPr>
                <w:rFonts w:hint="eastAsia" w:ascii="宋体" w:hAnsi="宋体" w:cs="宋体"/>
                <w:kern w:val="0"/>
                <w:sz w:val="18"/>
                <w:szCs w:val="18"/>
              </w:rPr>
              <w:t>558.1</w:t>
            </w:r>
            <w:r>
              <w:rPr>
                <w:rFonts w:hint="eastAsia" w:ascii="宋体" w:hAnsi="宋体" w:cs="宋体"/>
                <w:kern w:val="0"/>
                <w:sz w:val="18"/>
                <w:szCs w:val="18"/>
                <w:lang w:val="en-US" w:eastAsia="zh-CN"/>
              </w:rPr>
              <w:t>4</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lang w:val="en-US" w:eastAsia="zh-CN" w:bidi="ar-SA"/>
              </w:rPr>
            </w:pPr>
            <w:r>
              <w:rPr>
                <w:rFonts w:hint="eastAsia" w:ascii="仿宋_GB2312" w:hAnsi="宋体" w:eastAsia="仿宋_GB2312" w:cs="宋体"/>
                <w:kern w:val="0"/>
                <w:sz w:val="20"/>
                <w:szCs w:val="20"/>
              </w:rPr>
              <w:t>支  出  总  计</w:t>
            </w:r>
          </w:p>
        </w:tc>
        <w:tc>
          <w:tcPr>
            <w:tcW w:w="901"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r>
              <w:rPr>
                <w:rFonts w:hint="eastAsia" w:ascii="宋体" w:hAnsi="宋体" w:cs="宋体"/>
                <w:kern w:val="0"/>
                <w:sz w:val="18"/>
                <w:szCs w:val="18"/>
              </w:rPr>
              <w:t>558.1</w:t>
            </w:r>
            <w:r>
              <w:rPr>
                <w:rFonts w:hint="eastAsia" w:ascii="宋体" w:hAnsi="宋体" w:cs="宋体"/>
                <w:kern w:val="0"/>
                <w:sz w:val="18"/>
                <w:szCs w:val="18"/>
                <w:lang w:val="en-US" w:eastAsia="zh-CN"/>
              </w:rPr>
              <w:t>4</w:t>
            </w:r>
          </w:p>
        </w:tc>
        <w:tc>
          <w:tcPr>
            <w:tcW w:w="85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r>
              <w:rPr>
                <w:rFonts w:hint="eastAsia" w:ascii="宋体" w:hAnsi="宋体" w:cs="宋体"/>
                <w:kern w:val="0"/>
                <w:sz w:val="18"/>
                <w:szCs w:val="18"/>
              </w:rPr>
              <w:t>558.1</w:t>
            </w:r>
            <w:r>
              <w:rPr>
                <w:rFonts w:hint="eastAsia" w:ascii="宋体" w:hAnsi="宋体" w:cs="宋体"/>
                <w:kern w:val="0"/>
                <w:sz w:val="18"/>
                <w:szCs w:val="18"/>
                <w:lang w:val="en-US" w:eastAsia="zh-CN"/>
              </w:rPr>
              <w:t>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1"/>
        <w:tblW w:w="9214" w:type="dxa"/>
        <w:tblInd w:w="-34" w:type="dxa"/>
        <w:tblLayout w:type="fixed"/>
        <w:tblCellMar>
          <w:top w:w="0" w:type="dxa"/>
          <w:left w:w="108" w:type="dxa"/>
          <w:bottom w:w="0" w:type="dxa"/>
          <w:right w:w="108" w:type="dxa"/>
        </w:tblCellMar>
      </w:tblPr>
      <w:tblGrid>
        <w:gridCol w:w="568"/>
        <w:gridCol w:w="492"/>
        <w:gridCol w:w="564"/>
        <w:gridCol w:w="2363"/>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克孜勒苏柯尔克孜自治州林草局</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62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6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6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宋体"/>
                <w:b/>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b/>
                <w:color w:val="000000"/>
                <w:kern w:val="0"/>
                <w:sz w:val="20"/>
                <w:szCs w:val="20"/>
                <w:lang w:val="en-US" w:eastAsia="zh-CN"/>
              </w:rPr>
            </w:pPr>
          </w:p>
        </w:tc>
        <w:tc>
          <w:tcPr>
            <w:tcW w:w="5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color w:val="000000"/>
                <w:kern w:val="0"/>
                <w:sz w:val="18"/>
                <w:szCs w:val="18"/>
                <w:u w:val="none"/>
                <w:lang w:val="en-US" w:eastAsia="zh-CN" w:bidi="ar"/>
              </w:rPr>
            </w:pPr>
          </w:p>
        </w:tc>
        <w:tc>
          <w:tcPr>
            <w:tcW w:w="2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农林水支出</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558.14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450.36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107.78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564"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2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cs="宋体"/>
                <w:i w:val="0"/>
                <w:color w:val="000000"/>
                <w:kern w:val="0"/>
                <w:sz w:val="18"/>
                <w:szCs w:val="18"/>
                <w:u w:val="none"/>
                <w:lang w:val="en-US" w:eastAsia="zh-CN" w:bidi="ar"/>
              </w:rPr>
              <w:t>林业和草原</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558.14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450.36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107.78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5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行政运行（林业）</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450.3</w:t>
            </w:r>
            <w:r>
              <w:rPr>
                <w:rFonts w:hint="eastAsia" w:ascii="宋体" w:hAnsi="宋体" w:cs="宋体"/>
                <w:i w:val="0"/>
                <w:color w:val="000000"/>
                <w:kern w:val="0"/>
                <w:sz w:val="20"/>
                <w:szCs w:val="20"/>
                <w:u w:val="none"/>
                <w:lang w:val="en-US" w:eastAsia="zh-CN" w:bidi="ar"/>
              </w:rPr>
              <w:t>6</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450.3</w:t>
            </w:r>
            <w:r>
              <w:rPr>
                <w:rFonts w:hint="eastAsia" w:ascii="宋体" w:hAnsi="宋体" w:cs="宋体"/>
                <w:i w:val="0"/>
                <w:color w:val="000000"/>
                <w:kern w:val="0"/>
                <w:sz w:val="20"/>
                <w:szCs w:val="20"/>
                <w:u w:val="none"/>
                <w:lang w:val="en-US" w:eastAsia="zh-CN" w:bidi="ar"/>
              </w:rPr>
              <w:t>6</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5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lang w:val="en-US"/>
              </w:rPr>
            </w:pPr>
            <w:r>
              <w:rPr>
                <w:rFonts w:hint="eastAsia" w:ascii="宋体" w:hAnsi="宋体" w:cs="宋体"/>
                <w:i w:val="0"/>
                <w:color w:val="000000"/>
                <w:kern w:val="0"/>
                <w:sz w:val="18"/>
                <w:szCs w:val="18"/>
                <w:u w:val="none"/>
                <w:lang w:val="en-US" w:eastAsia="zh-CN" w:bidi="ar"/>
              </w:rPr>
              <w:t>99</w:t>
            </w:r>
          </w:p>
        </w:tc>
        <w:tc>
          <w:tcPr>
            <w:tcW w:w="2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其他林业和草原支出</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107.78</w:t>
            </w:r>
          </w:p>
        </w:tc>
        <w:tc>
          <w:tcPr>
            <w:tcW w:w="1842"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107.78</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36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3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cs="宋体"/>
                <w:kern w:val="0"/>
                <w:sz w:val="20"/>
                <w:szCs w:val="20"/>
              </w:rPr>
              <w:t>558.1</w:t>
            </w:r>
            <w:r>
              <w:rPr>
                <w:rFonts w:hint="eastAsia" w:ascii="宋体" w:hAnsi="宋体" w:cs="宋体"/>
                <w:kern w:val="0"/>
                <w:sz w:val="20"/>
                <w:szCs w:val="20"/>
                <w:lang w:val="en-US" w:eastAsia="zh-CN"/>
              </w:rPr>
              <w:t>4</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450.3</w:t>
            </w:r>
            <w:r>
              <w:rPr>
                <w:rFonts w:hint="eastAsia" w:ascii="宋体" w:hAnsi="宋体" w:cs="宋体"/>
                <w:i w:val="0"/>
                <w:color w:val="000000"/>
                <w:kern w:val="0"/>
                <w:sz w:val="20"/>
                <w:szCs w:val="20"/>
                <w:u w:val="none"/>
                <w:lang w:val="en-US" w:eastAsia="zh-CN" w:bidi="ar"/>
              </w:rPr>
              <w:t>6</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107.78</w:t>
            </w:r>
          </w:p>
        </w:tc>
      </w:tr>
    </w:tbl>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1"/>
        <w:tblW w:w="9328" w:type="dxa"/>
        <w:tblInd w:w="-148" w:type="dxa"/>
        <w:tblLayout w:type="fixed"/>
        <w:tblCellMar>
          <w:top w:w="0" w:type="dxa"/>
          <w:left w:w="108" w:type="dxa"/>
          <w:bottom w:w="0" w:type="dxa"/>
          <w:right w:w="108" w:type="dxa"/>
        </w:tblCellMar>
      </w:tblPr>
      <w:tblGrid>
        <w:gridCol w:w="757"/>
        <w:gridCol w:w="764"/>
        <w:gridCol w:w="2704"/>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克孜勒苏柯尔克孜自治州林草局</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521"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7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6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70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19"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4.00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4.00</w:t>
            </w:r>
          </w:p>
        </w:tc>
      </w:tr>
      <w:tr>
        <w:tblPrEx>
          <w:tblLayout w:type="fixed"/>
          <w:tblCellMar>
            <w:top w:w="0" w:type="dxa"/>
            <w:left w:w="108" w:type="dxa"/>
            <w:bottom w:w="0" w:type="dxa"/>
            <w:right w:w="108" w:type="dxa"/>
          </w:tblCellMar>
        </w:tblPrEx>
        <w:trPr>
          <w:trHeight w:val="35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15</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会议费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0.50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0.50</w:t>
            </w:r>
          </w:p>
        </w:tc>
      </w:tr>
      <w:tr>
        <w:tblPrEx>
          <w:tblLayout w:type="fixed"/>
          <w:tblCellMar>
            <w:top w:w="0" w:type="dxa"/>
            <w:left w:w="108" w:type="dxa"/>
            <w:bottom w:w="0" w:type="dxa"/>
            <w:right w:w="108" w:type="dxa"/>
          </w:tblCellMar>
        </w:tblPrEx>
        <w:trPr>
          <w:trHeight w:val="319"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28</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1.78</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1.78</w:t>
            </w:r>
          </w:p>
        </w:tc>
      </w:tr>
      <w:tr>
        <w:tblPrEx>
          <w:tblLayout w:type="fixed"/>
          <w:tblCellMar>
            <w:top w:w="0" w:type="dxa"/>
            <w:left w:w="108" w:type="dxa"/>
            <w:bottom w:w="0" w:type="dxa"/>
            <w:right w:w="108" w:type="dxa"/>
          </w:tblCellMar>
        </w:tblPrEx>
        <w:trPr>
          <w:trHeight w:val="319"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7.37</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7.37</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153.83</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153.83</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69"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10.55</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10.55</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5"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lang w:val="en-US"/>
              </w:rPr>
            </w:pPr>
            <w:r>
              <w:rPr>
                <w:rFonts w:hint="eastAsia" w:ascii="宋体" w:hAnsi="宋体" w:eastAsia="宋体" w:cs="宋体"/>
                <w:i w:val="0"/>
                <w:color w:val="000000"/>
                <w:kern w:val="0"/>
                <w:sz w:val="20"/>
                <w:szCs w:val="20"/>
                <w:u w:val="none"/>
                <w:lang w:val="en-US" w:eastAsia="zh-CN" w:bidi="ar"/>
              </w:rPr>
              <w:t>3.21</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3.21</w:t>
            </w:r>
          </w:p>
        </w:tc>
      </w:tr>
      <w:tr>
        <w:tblPrEx>
          <w:tblLayout w:type="fixed"/>
          <w:tblCellMar>
            <w:top w:w="0" w:type="dxa"/>
            <w:left w:w="108" w:type="dxa"/>
            <w:bottom w:w="0" w:type="dxa"/>
            <w:right w:w="108" w:type="dxa"/>
          </w:tblCellMar>
        </w:tblPrEx>
        <w:trPr>
          <w:trHeight w:val="286"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68"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126.62</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126.62</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18"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26.10</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26.10</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19"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29.65</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29.65</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4"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2.00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2.00</w:t>
            </w:r>
          </w:p>
        </w:tc>
      </w:tr>
      <w:tr>
        <w:tblPrEx>
          <w:tblLayout w:type="fixed"/>
          <w:tblCellMar>
            <w:top w:w="0" w:type="dxa"/>
            <w:left w:w="108" w:type="dxa"/>
            <w:bottom w:w="0" w:type="dxa"/>
            <w:right w:w="108" w:type="dxa"/>
          </w:tblCellMar>
        </w:tblPrEx>
        <w:trPr>
          <w:trHeight w:val="35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34.56</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34.56</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35"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19"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41.16</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41.16</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2.00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2.00</w:t>
            </w:r>
          </w:p>
        </w:tc>
      </w:tr>
      <w:tr>
        <w:tblPrEx>
          <w:tblLayout w:type="fixed"/>
          <w:tblCellMar>
            <w:top w:w="0" w:type="dxa"/>
            <w:left w:w="108" w:type="dxa"/>
            <w:bottom w:w="0" w:type="dxa"/>
            <w:right w:w="108" w:type="dxa"/>
          </w:tblCellMar>
        </w:tblPrEx>
        <w:trPr>
          <w:trHeight w:val="3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1.50</w:t>
            </w:r>
          </w:p>
        </w:tc>
      </w:tr>
      <w:tr>
        <w:tblPrEx>
          <w:tblLayout w:type="fixed"/>
          <w:tblCellMar>
            <w:top w:w="0" w:type="dxa"/>
            <w:left w:w="108" w:type="dxa"/>
            <w:bottom w:w="0" w:type="dxa"/>
            <w:right w:w="108" w:type="dxa"/>
          </w:tblCellMar>
        </w:tblPrEx>
        <w:trPr>
          <w:trHeight w:val="285"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07</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108" w:type="dxa"/>
            <w:bottom w:w="0" w:type="dxa"/>
            <w:right w:w="108" w:type="dxa"/>
          </w:tblCellMar>
        </w:tblPrEx>
        <w:trPr>
          <w:trHeight w:val="269"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301</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26</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0"/>
                <w:sz w:val="20"/>
                <w:szCs w:val="20"/>
                <w:u w:val="none"/>
                <w:lang w:val="en-US" w:eastAsia="zh-CN" w:bidi="ar"/>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0"/>
                <w:sz w:val="20"/>
                <w:szCs w:val="20"/>
                <w:u w:val="none"/>
                <w:lang w:val="en-US" w:eastAsia="zh-CN" w:bidi="ar"/>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68"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302</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印刷费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0"/>
                <w:sz w:val="20"/>
                <w:szCs w:val="20"/>
                <w:u w:val="none"/>
                <w:lang w:val="en-US" w:eastAsia="zh-CN" w:bidi="ar"/>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108" w:type="dxa"/>
            <w:bottom w:w="0" w:type="dxa"/>
            <w:right w:w="108" w:type="dxa"/>
          </w:tblCellMar>
        </w:tblPrEx>
        <w:trPr>
          <w:trHeight w:val="219"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303</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0.50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0"/>
                <w:sz w:val="20"/>
                <w:szCs w:val="20"/>
                <w:u w:val="none"/>
                <w:lang w:val="en-US" w:eastAsia="zh-CN" w:bidi="ar"/>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0.50</w:t>
            </w:r>
          </w:p>
        </w:tc>
      </w:tr>
      <w:tr>
        <w:tblPrEx>
          <w:tblLayout w:type="fixed"/>
          <w:tblCellMar>
            <w:top w:w="0" w:type="dxa"/>
            <w:left w:w="108" w:type="dxa"/>
            <w:bottom w:w="0" w:type="dxa"/>
            <w:right w:w="108" w:type="dxa"/>
          </w:tblCellMar>
        </w:tblPrEx>
        <w:trPr>
          <w:trHeight w:val="3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303</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0.89</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0.89</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303</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09</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1.44</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303</w:t>
            </w: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w:t>
            </w: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0.70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i w:val="0"/>
                <w:color w:val="000000"/>
                <w:kern w:val="0"/>
                <w:sz w:val="20"/>
                <w:szCs w:val="20"/>
                <w:u w:val="none"/>
                <w:lang w:val="en-US" w:eastAsia="zh-CN" w:bidi="ar"/>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0.70</w:t>
            </w:r>
          </w:p>
        </w:tc>
      </w:tr>
      <w:tr>
        <w:tblPrEx>
          <w:tblLayout w:type="fixed"/>
          <w:tblCellMar>
            <w:top w:w="0" w:type="dxa"/>
            <w:left w:w="108" w:type="dxa"/>
            <w:bottom w:w="0" w:type="dxa"/>
            <w:right w:w="108" w:type="dxa"/>
          </w:tblCellMar>
        </w:tblPrEx>
        <w:trPr>
          <w:trHeight w:val="269"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76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27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6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7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450.3</w:t>
            </w:r>
            <w:r>
              <w:rPr>
                <w:rFonts w:hint="eastAsia" w:ascii="宋体" w:hAnsi="宋体" w:cs="宋体"/>
                <w:color w:val="000000"/>
                <w:kern w:val="0"/>
                <w:sz w:val="20"/>
                <w:szCs w:val="20"/>
                <w:lang w:val="en-US" w:eastAsia="zh-CN"/>
              </w:rPr>
              <w:t>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432.17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18.18</w:t>
            </w:r>
          </w:p>
        </w:tc>
      </w:tr>
    </w:tbl>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1"/>
        <w:tblW w:w="9540" w:type="dxa"/>
        <w:tblInd w:w="-360" w:type="dxa"/>
        <w:tblLayout w:type="fixed"/>
        <w:tblCellMar>
          <w:top w:w="0" w:type="dxa"/>
          <w:left w:w="108" w:type="dxa"/>
          <w:bottom w:w="0" w:type="dxa"/>
          <w:right w:w="108" w:type="dxa"/>
        </w:tblCellMar>
      </w:tblPr>
      <w:tblGrid>
        <w:gridCol w:w="8"/>
        <w:gridCol w:w="508"/>
        <w:gridCol w:w="450"/>
        <w:gridCol w:w="434"/>
        <w:gridCol w:w="900"/>
        <w:gridCol w:w="1198"/>
        <w:gridCol w:w="860"/>
        <w:gridCol w:w="459"/>
        <w:gridCol w:w="849"/>
        <w:gridCol w:w="517"/>
        <w:gridCol w:w="474"/>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克孜勒苏柯尔克孜自治州林草局</w:t>
            </w:r>
          </w:p>
        </w:tc>
        <w:tc>
          <w:tcPr>
            <w:tcW w:w="1308"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369"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00"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0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98"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86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5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4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1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74"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3" w:hRule="atLeast"/>
        </w:trPr>
        <w:tc>
          <w:tcPr>
            <w:tcW w:w="516"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0"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4"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00"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19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86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5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84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1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74"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trPr>
        <w:tc>
          <w:tcPr>
            <w:tcW w:w="516" w:type="dxa"/>
            <w:gridSpan w:val="2"/>
            <w:shd w:val="clear" w:color="auto" w:fill="auto"/>
            <w:vAlign w:val="center"/>
          </w:tcPr>
          <w:p>
            <w:pPr>
              <w:keepNext w:val="0"/>
              <w:keepLines w:val="0"/>
              <w:widowControl/>
              <w:suppressLineNumbers w:val="0"/>
              <w:jc w:val="center"/>
              <w:textAlignment w:val="center"/>
              <w:rPr>
                <w:rFonts w:ascii="仿宋_GB2312" w:hAnsi="宋体" w:eastAsia="仿宋_GB2312"/>
                <w:kern w:val="0"/>
                <w:sz w:val="32"/>
                <w:szCs w:val="32"/>
                <w:highlight w:val="yellow"/>
              </w:rPr>
            </w:pPr>
            <w:r>
              <w:rPr>
                <w:rFonts w:hint="eastAsia" w:ascii="宋体" w:hAnsi="宋体" w:eastAsia="宋体" w:cs="宋体"/>
                <w:i w:val="0"/>
                <w:color w:val="000000"/>
                <w:kern w:val="0"/>
                <w:sz w:val="20"/>
                <w:szCs w:val="20"/>
                <w:u w:val="none"/>
                <w:lang w:val="en-US" w:eastAsia="zh-CN" w:bidi="ar"/>
              </w:rPr>
              <w:t>213</w:t>
            </w:r>
          </w:p>
        </w:tc>
        <w:tc>
          <w:tcPr>
            <w:tcW w:w="450" w:type="dxa"/>
            <w:shd w:val="clear" w:color="auto" w:fill="auto"/>
            <w:vAlign w:val="center"/>
          </w:tcPr>
          <w:p>
            <w:pPr>
              <w:jc w:val="center"/>
              <w:rPr>
                <w:rFonts w:ascii="仿宋_GB2312" w:hAnsi="宋体" w:eastAsia="仿宋_GB2312"/>
                <w:kern w:val="0"/>
                <w:sz w:val="32"/>
                <w:szCs w:val="32"/>
                <w:highlight w:val="yellow"/>
              </w:rPr>
            </w:pPr>
          </w:p>
        </w:tc>
        <w:tc>
          <w:tcPr>
            <w:tcW w:w="434" w:type="dxa"/>
            <w:shd w:val="clear" w:color="auto" w:fill="auto"/>
            <w:vAlign w:val="center"/>
          </w:tcPr>
          <w:p>
            <w:pPr>
              <w:jc w:val="center"/>
              <w:rPr>
                <w:rFonts w:ascii="仿宋_GB2312" w:hAnsi="宋体" w:eastAsia="仿宋_GB2312"/>
                <w:kern w:val="0"/>
                <w:sz w:val="32"/>
                <w:szCs w:val="32"/>
                <w:highlight w:val="yellow"/>
              </w:rPr>
            </w:pPr>
          </w:p>
        </w:tc>
        <w:tc>
          <w:tcPr>
            <w:tcW w:w="90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农林水支出</w:t>
            </w:r>
          </w:p>
        </w:tc>
        <w:tc>
          <w:tcPr>
            <w:tcW w:w="1198" w:type="dxa"/>
            <w:shd w:val="clear" w:color="auto" w:fill="auto"/>
            <w:vAlign w:val="center"/>
          </w:tcPr>
          <w:p>
            <w:pPr>
              <w:keepNext w:val="0"/>
              <w:keepLines w:val="0"/>
              <w:widowControl/>
              <w:suppressLineNumbers w:val="0"/>
              <w:jc w:val="left"/>
              <w:textAlignment w:val="center"/>
              <w:rPr>
                <w:rFonts w:hint="eastAsia" w:ascii="仿宋_GB2312" w:hAnsi="宋体" w:eastAsia="仿宋_GB2312"/>
                <w:kern w:val="0"/>
                <w:sz w:val="16"/>
                <w:szCs w:val="16"/>
                <w:lang w:val="en-US" w:eastAsia="zh-CN"/>
              </w:rPr>
            </w:pPr>
          </w:p>
        </w:tc>
        <w:tc>
          <w:tcPr>
            <w:tcW w:w="86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107.78 </w:t>
            </w:r>
          </w:p>
        </w:tc>
        <w:tc>
          <w:tcPr>
            <w:tcW w:w="4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84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107.78 </w:t>
            </w:r>
          </w:p>
        </w:tc>
        <w:tc>
          <w:tcPr>
            <w:tcW w:w="5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shd w:val="clear" w:color="auto" w:fill="auto"/>
            <w:vAlign w:val="center"/>
          </w:tcPr>
          <w:p>
            <w:pPr>
              <w:keepNext w:val="0"/>
              <w:keepLines w:val="0"/>
              <w:widowControl/>
              <w:suppressLineNumbers w:val="0"/>
              <w:jc w:val="center"/>
              <w:textAlignment w:val="center"/>
              <w:rPr>
                <w:rFonts w:ascii="仿宋_GB2312" w:hAnsi="宋体" w:eastAsia="仿宋_GB2312"/>
                <w:kern w:val="0"/>
                <w:sz w:val="32"/>
                <w:szCs w:val="32"/>
                <w:highlight w:val="yellow"/>
              </w:rPr>
            </w:pPr>
            <w:r>
              <w:rPr>
                <w:rFonts w:hint="eastAsia" w:ascii="宋体" w:hAnsi="宋体" w:eastAsia="宋体" w:cs="宋体"/>
                <w:i w:val="0"/>
                <w:color w:val="000000"/>
                <w:kern w:val="0"/>
                <w:sz w:val="20"/>
                <w:szCs w:val="20"/>
                <w:u w:val="none"/>
                <w:lang w:val="en-US" w:eastAsia="zh-CN" w:bidi="ar"/>
              </w:rPr>
              <w:t>213</w:t>
            </w:r>
          </w:p>
        </w:tc>
        <w:tc>
          <w:tcPr>
            <w:tcW w:w="450" w:type="dxa"/>
            <w:shd w:val="clear" w:color="auto" w:fill="auto"/>
            <w:vAlign w:val="center"/>
          </w:tcPr>
          <w:p>
            <w:pPr>
              <w:keepNext w:val="0"/>
              <w:keepLines w:val="0"/>
              <w:widowControl/>
              <w:suppressLineNumbers w:val="0"/>
              <w:jc w:val="center"/>
              <w:textAlignment w:val="center"/>
              <w:rPr>
                <w:rFonts w:ascii="仿宋_GB2312" w:hAnsi="宋体" w:eastAsia="仿宋_GB2312"/>
                <w:kern w:val="0"/>
                <w:sz w:val="32"/>
                <w:szCs w:val="32"/>
                <w:highlight w:val="yellow"/>
              </w:rPr>
            </w:pPr>
            <w:r>
              <w:rPr>
                <w:rFonts w:hint="eastAsia" w:ascii="宋体" w:hAnsi="宋体" w:eastAsia="宋体" w:cs="宋体"/>
                <w:i w:val="0"/>
                <w:color w:val="000000"/>
                <w:kern w:val="0"/>
                <w:sz w:val="20"/>
                <w:szCs w:val="20"/>
                <w:u w:val="none"/>
                <w:lang w:val="en-US" w:eastAsia="zh-CN" w:bidi="ar"/>
              </w:rPr>
              <w:t>02</w:t>
            </w:r>
          </w:p>
        </w:tc>
        <w:tc>
          <w:tcPr>
            <w:tcW w:w="434" w:type="dxa"/>
            <w:shd w:val="clear" w:color="auto" w:fill="auto"/>
            <w:vAlign w:val="center"/>
          </w:tcPr>
          <w:p>
            <w:pPr>
              <w:jc w:val="center"/>
              <w:rPr>
                <w:rFonts w:ascii="仿宋_GB2312" w:hAnsi="宋体" w:eastAsia="仿宋_GB2312"/>
                <w:kern w:val="0"/>
                <w:sz w:val="32"/>
                <w:szCs w:val="32"/>
                <w:highlight w:val="yellow"/>
              </w:rPr>
            </w:pPr>
          </w:p>
        </w:tc>
        <w:tc>
          <w:tcPr>
            <w:tcW w:w="90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林业和草原</w:t>
            </w:r>
          </w:p>
        </w:tc>
        <w:tc>
          <w:tcPr>
            <w:tcW w:w="1198"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16"/>
                <w:szCs w:val="16"/>
              </w:rPr>
            </w:pPr>
          </w:p>
        </w:tc>
        <w:tc>
          <w:tcPr>
            <w:tcW w:w="86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107.78 </w:t>
            </w:r>
          </w:p>
        </w:tc>
        <w:tc>
          <w:tcPr>
            <w:tcW w:w="4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84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107.78 </w:t>
            </w:r>
          </w:p>
        </w:tc>
        <w:tc>
          <w:tcPr>
            <w:tcW w:w="5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shd w:val="clear" w:color="auto" w:fill="auto"/>
            <w:vAlign w:val="center"/>
          </w:tcPr>
          <w:p>
            <w:pPr>
              <w:keepNext w:val="0"/>
              <w:keepLines w:val="0"/>
              <w:widowControl/>
              <w:suppressLineNumbers w:val="0"/>
              <w:jc w:val="center"/>
              <w:textAlignment w:val="center"/>
              <w:rPr>
                <w:rFonts w:ascii="仿宋_GB2312" w:hAnsi="宋体" w:eastAsia="仿宋_GB2312"/>
                <w:kern w:val="0"/>
                <w:sz w:val="32"/>
                <w:szCs w:val="32"/>
                <w:highlight w:val="yellow"/>
              </w:rPr>
            </w:pPr>
            <w:r>
              <w:rPr>
                <w:rFonts w:hint="eastAsia" w:ascii="宋体" w:hAnsi="宋体" w:eastAsia="宋体" w:cs="宋体"/>
                <w:i w:val="0"/>
                <w:color w:val="000000"/>
                <w:kern w:val="0"/>
                <w:sz w:val="20"/>
                <w:szCs w:val="20"/>
                <w:u w:val="none"/>
                <w:lang w:val="en-US" w:eastAsia="zh-CN" w:bidi="ar"/>
              </w:rPr>
              <w:t>213</w:t>
            </w:r>
          </w:p>
        </w:tc>
        <w:tc>
          <w:tcPr>
            <w:tcW w:w="450" w:type="dxa"/>
            <w:shd w:val="clear" w:color="auto" w:fill="auto"/>
            <w:vAlign w:val="center"/>
          </w:tcPr>
          <w:p>
            <w:pPr>
              <w:keepNext w:val="0"/>
              <w:keepLines w:val="0"/>
              <w:widowControl/>
              <w:suppressLineNumbers w:val="0"/>
              <w:jc w:val="center"/>
              <w:textAlignment w:val="center"/>
              <w:rPr>
                <w:rFonts w:ascii="仿宋_GB2312" w:hAnsi="宋体" w:eastAsia="仿宋_GB2312"/>
                <w:kern w:val="0"/>
                <w:sz w:val="32"/>
                <w:szCs w:val="32"/>
                <w:highlight w:val="yellow"/>
              </w:rPr>
            </w:pPr>
            <w:r>
              <w:rPr>
                <w:rFonts w:hint="eastAsia" w:ascii="宋体" w:hAnsi="宋体" w:eastAsia="宋体" w:cs="宋体"/>
                <w:i w:val="0"/>
                <w:color w:val="000000"/>
                <w:kern w:val="0"/>
                <w:sz w:val="20"/>
                <w:szCs w:val="20"/>
                <w:u w:val="none"/>
                <w:lang w:val="en-US" w:eastAsia="zh-CN" w:bidi="ar"/>
              </w:rPr>
              <w:t>02</w:t>
            </w:r>
          </w:p>
        </w:tc>
        <w:tc>
          <w:tcPr>
            <w:tcW w:w="434" w:type="dxa"/>
            <w:shd w:val="clear" w:color="auto" w:fill="auto"/>
            <w:vAlign w:val="center"/>
          </w:tcPr>
          <w:p>
            <w:pPr>
              <w:keepNext w:val="0"/>
              <w:keepLines w:val="0"/>
              <w:widowControl/>
              <w:suppressLineNumbers w:val="0"/>
              <w:jc w:val="center"/>
              <w:textAlignment w:val="center"/>
              <w:rPr>
                <w:rFonts w:ascii="仿宋_GB2312" w:hAnsi="宋体" w:eastAsia="仿宋_GB2312"/>
                <w:kern w:val="0"/>
                <w:sz w:val="32"/>
                <w:szCs w:val="32"/>
                <w:highlight w:val="yellow"/>
              </w:rPr>
            </w:pPr>
            <w:r>
              <w:rPr>
                <w:rFonts w:hint="eastAsia" w:ascii="宋体" w:hAnsi="宋体" w:eastAsia="宋体" w:cs="宋体"/>
                <w:i w:val="0"/>
                <w:color w:val="000000"/>
                <w:kern w:val="0"/>
                <w:sz w:val="20"/>
                <w:szCs w:val="20"/>
                <w:u w:val="none"/>
                <w:lang w:val="en-US" w:eastAsia="zh-CN" w:bidi="ar"/>
              </w:rPr>
              <w:t>99</w:t>
            </w:r>
          </w:p>
        </w:tc>
        <w:tc>
          <w:tcPr>
            <w:tcW w:w="900"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16"/>
                <w:szCs w:val="16"/>
              </w:rPr>
            </w:pPr>
            <w:r>
              <w:rPr>
                <w:rFonts w:hint="eastAsia" w:ascii="宋体" w:hAnsi="宋体" w:eastAsia="宋体" w:cs="宋体"/>
                <w:i w:val="0"/>
                <w:color w:val="000000"/>
                <w:kern w:val="0"/>
                <w:sz w:val="16"/>
                <w:szCs w:val="16"/>
                <w:u w:val="none"/>
                <w:lang w:val="en-US" w:eastAsia="zh-CN" w:bidi="ar"/>
              </w:rPr>
              <w:t>其他林业和草原支出</w:t>
            </w:r>
          </w:p>
        </w:tc>
        <w:tc>
          <w:tcPr>
            <w:tcW w:w="1198"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16"/>
                <w:szCs w:val="16"/>
              </w:rPr>
            </w:pPr>
            <w:r>
              <w:rPr>
                <w:rFonts w:hint="eastAsia" w:ascii="宋体" w:hAnsi="宋体" w:cs="宋体"/>
                <w:i w:val="0"/>
                <w:color w:val="000000"/>
                <w:kern w:val="0"/>
                <w:sz w:val="16"/>
                <w:szCs w:val="16"/>
                <w:u w:val="none"/>
                <w:lang w:val="en-US" w:eastAsia="zh-CN" w:bidi="ar"/>
              </w:rPr>
              <w:t>植被恢复费</w:t>
            </w:r>
          </w:p>
        </w:tc>
        <w:tc>
          <w:tcPr>
            <w:tcW w:w="86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93.78 </w:t>
            </w:r>
          </w:p>
        </w:tc>
        <w:tc>
          <w:tcPr>
            <w:tcW w:w="4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84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93.78 </w:t>
            </w:r>
          </w:p>
        </w:tc>
        <w:tc>
          <w:tcPr>
            <w:tcW w:w="517" w:type="dxa"/>
            <w:shd w:val="clear" w:color="auto" w:fill="auto"/>
          </w:tcPr>
          <w:p>
            <w:pPr>
              <w:keepNext w:val="0"/>
              <w:keepLines w:val="0"/>
              <w:widowControl/>
              <w:suppressLineNumbers w:val="0"/>
              <w:jc w:val="righ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　</w:t>
            </w:r>
          </w:p>
        </w:tc>
        <w:tc>
          <w:tcPr>
            <w:tcW w:w="47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shd w:val="clear" w:color="auto" w:fill="auto"/>
            <w:vAlign w:val="center"/>
          </w:tcPr>
          <w:p>
            <w:pPr>
              <w:keepNext w:val="0"/>
              <w:keepLines w:val="0"/>
              <w:widowControl/>
              <w:suppressLineNumbers w:val="0"/>
              <w:jc w:val="center"/>
              <w:textAlignment w:val="center"/>
              <w:rPr>
                <w:rFonts w:ascii="仿宋_GB2312" w:hAnsi="宋体" w:eastAsia="仿宋_GB2312"/>
                <w:kern w:val="0"/>
                <w:sz w:val="32"/>
                <w:szCs w:val="32"/>
                <w:highlight w:val="yellow"/>
              </w:rPr>
            </w:pPr>
            <w:r>
              <w:rPr>
                <w:rFonts w:hint="eastAsia" w:ascii="宋体" w:hAnsi="宋体" w:eastAsia="宋体" w:cs="宋体"/>
                <w:i w:val="0"/>
                <w:color w:val="000000"/>
                <w:kern w:val="0"/>
                <w:sz w:val="20"/>
                <w:szCs w:val="20"/>
                <w:u w:val="none"/>
                <w:lang w:val="en-US" w:eastAsia="zh-CN" w:bidi="ar"/>
              </w:rPr>
              <w:t>213</w:t>
            </w:r>
          </w:p>
        </w:tc>
        <w:tc>
          <w:tcPr>
            <w:tcW w:w="450" w:type="dxa"/>
            <w:shd w:val="clear" w:color="auto" w:fill="auto"/>
            <w:vAlign w:val="center"/>
          </w:tcPr>
          <w:p>
            <w:pPr>
              <w:keepNext w:val="0"/>
              <w:keepLines w:val="0"/>
              <w:widowControl/>
              <w:suppressLineNumbers w:val="0"/>
              <w:jc w:val="center"/>
              <w:textAlignment w:val="center"/>
              <w:rPr>
                <w:rFonts w:ascii="仿宋_GB2312" w:hAnsi="宋体" w:eastAsia="仿宋_GB2312"/>
                <w:kern w:val="0"/>
                <w:sz w:val="32"/>
                <w:szCs w:val="32"/>
                <w:highlight w:val="yellow"/>
              </w:rPr>
            </w:pPr>
            <w:r>
              <w:rPr>
                <w:rFonts w:hint="eastAsia" w:ascii="宋体" w:hAnsi="宋体" w:eastAsia="宋体" w:cs="宋体"/>
                <w:i w:val="0"/>
                <w:color w:val="000000"/>
                <w:kern w:val="0"/>
                <w:sz w:val="20"/>
                <w:szCs w:val="20"/>
                <w:u w:val="none"/>
                <w:lang w:val="en-US" w:eastAsia="zh-CN" w:bidi="ar"/>
              </w:rPr>
              <w:t>02</w:t>
            </w:r>
          </w:p>
        </w:tc>
        <w:tc>
          <w:tcPr>
            <w:tcW w:w="434" w:type="dxa"/>
            <w:shd w:val="clear" w:color="auto" w:fill="auto"/>
            <w:vAlign w:val="center"/>
          </w:tcPr>
          <w:p>
            <w:pPr>
              <w:keepNext w:val="0"/>
              <w:keepLines w:val="0"/>
              <w:widowControl/>
              <w:suppressLineNumbers w:val="0"/>
              <w:jc w:val="center"/>
              <w:textAlignment w:val="center"/>
              <w:rPr>
                <w:rFonts w:ascii="仿宋_GB2312" w:hAnsi="宋体" w:eastAsia="仿宋_GB2312"/>
                <w:kern w:val="0"/>
                <w:sz w:val="32"/>
                <w:szCs w:val="32"/>
                <w:highlight w:val="yellow"/>
              </w:rPr>
            </w:pPr>
            <w:r>
              <w:rPr>
                <w:rFonts w:hint="eastAsia" w:ascii="宋体" w:hAnsi="宋体" w:eastAsia="宋体" w:cs="宋体"/>
                <w:i w:val="0"/>
                <w:color w:val="000000"/>
                <w:kern w:val="0"/>
                <w:sz w:val="20"/>
                <w:szCs w:val="20"/>
                <w:u w:val="none"/>
                <w:lang w:val="en-US" w:eastAsia="zh-CN" w:bidi="ar"/>
              </w:rPr>
              <w:t>99</w:t>
            </w:r>
          </w:p>
        </w:tc>
        <w:tc>
          <w:tcPr>
            <w:tcW w:w="900"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16"/>
                <w:szCs w:val="16"/>
              </w:rPr>
            </w:pPr>
            <w:r>
              <w:rPr>
                <w:rFonts w:hint="eastAsia" w:ascii="宋体" w:hAnsi="宋体" w:eastAsia="宋体" w:cs="宋体"/>
                <w:i w:val="0"/>
                <w:color w:val="000000"/>
                <w:kern w:val="0"/>
                <w:sz w:val="16"/>
                <w:szCs w:val="16"/>
                <w:u w:val="none"/>
                <w:lang w:val="en-US" w:eastAsia="zh-CN" w:bidi="ar"/>
              </w:rPr>
              <w:t>其他林业和草原支出</w:t>
            </w:r>
          </w:p>
        </w:tc>
        <w:tc>
          <w:tcPr>
            <w:tcW w:w="1198"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16"/>
                <w:szCs w:val="16"/>
              </w:rPr>
            </w:pPr>
            <w:r>
              <w:rPr>
                <w:rFonts w:hint="eastAsia" w:ascii="宋体" w:hAnsi="宋体" w:cs="宋体"/>
                <w:i w:val="0"/>
                <w:color w:val="000000"/>
                <w:kern w:val="0"/>
                <w:sz w:val="16"/>
                <w:szCs w:val="16"/>
                <w:u w:val="none"/>
                <w:lang w:val="en-US" w:eastAsia="zh-CN" w:bidi="ar"/>
              </w:rPr>
              <w:t>群众</w:t>
            </w:r>
            <w:r>
              <w:rPr>
                <w:rFonts w:hint="eastAsia" w:ascii="宋体" w:hAnsi="宋体" w:eastAsia="宋体" w:cs="宋体"/>
                <w:i w:val="0"/>
                <w:color w:val="000000"/>
                <w:kern w:val="0"/>
                <w:sz w:val="16"/>
                <w:szCs w:val="16"/>
                <w:u w:val="none"/>
                <w:lang w:val="en-US" w:eastAsia="zh-CN" w:bidi="ar"/>
              </w:rPr>
              <w:t>工作经费</w:t>
            </w:r>
          </w:p>
        </w:tc>
        <w:tc>
          <w:tcPr>
            <w:tcW w:w="86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14.00 </w:t>
            </w:r>
          </w:p>
        </w:tc>
        <w:tc>
          <w:tcPr>
            <w:tcW w:w="45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84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14.00 </w:t>
            </w:r>
          </w:p>
        </w:tc>
        <w:tc>
          <w:tcPr>
            <w:tcW w:w="5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shd w:val="clear" w:color="auto" w:fill="auto"/>
            <w:vAlign w:val="center"/>
          </w:tcPr>
          <w:p>
            <w:pPr>
              <w:keepNext w:val="0"/>
              <w:keepLines w:val="0"/>
              <w:widowControl/>
              <w:suppressLineNumbers w:val="0"/>
              <w:jc w:val="left"/>
              <w:textAlignment w:val="center"/>
              <w:rPr>
                <w:rFonts w:ascii="仿宋_GB2312" w:hAnsi="宋体" w:eastAsia="仿宋_GB2312"/>
                <w:kern w:val="0"/>
                <w:sz w:val="32"/>
                <w:szCs w:val="32"/>
                <w:highlight w:val="yellow"/>
              </w:rPr>
            </w:pPr>
          </w:p>
        </w:tc>
        <w:tc>
          <w:tcPr>
            <w:tcW w:w="450"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32"/>
                <w:szCs w:val="32"/>
                <w:highlight w:val="yellow"/>
              </w:rPr>
            </w:pPr>
          </w:p>
        </w:tc>
        <w:tc>
          <w:tcPr>
            <w:tcW w:w="434"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32"/>
                <w:szCs w:val="32"/>
                <w:highlight w:val="yellow"/>
              </w:rPr>
            </w:pPr>
          </w:p>
        </w:tc>
        <w:tc>
          <w:tcPr>
            <w:tcW w:w="900"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16"/>
                <w:szCs w:val="16"/>
              </w:rPr>
            </w:pPr>
          </w:p>
        </w:tc>
        <w:tc>
          <w:tcPr>
            <w:tcW w:w="1198"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16"/>
                <w:szCs w:val="16"/>
                <w:lang w:val="en-US"/>
              </w:rPr>
            </w:pPr>
          </w:p>
        </w:tc>
        <w:tc>
          <w:tcPr>
            <w:tcW w:w="860" w:type="dxa"/>
            <w:shd w:val="clear" w:color="auto" w:fill="auto"/>
            <w:vAlign w:val="center"/>
          </w:tcPr>
          <w:p>
            <w:pPr>
              <w:keepNext w:val="0"/>
              <w:keepLines w:val="0"/>
              <w:widowControl/>
              <w:suppressLineNumbers w:val="0"/>
              <w:jc w:val="right"/>
              <w:textAlignment w:val="center"/>
              <w:rPr>
                <w:rFonts w:ascii="仿宋_GB2312" w:hAnsi="宋体" w:eastAsia="仿宋_GB2312"/>
                <w:kern w:val="0"/>
                <w:sz w:val="16"/>
                <w:szCs w:val="16"/>
              </w:rPr>
            </w:pPr>
          </w:p>
        </w:tc>
        <w:tc>
          <w:tcPr>
            <w:tcW w:w="459" w:type="dxa"/>
            <w:shd w:val="clear" w:color="auto" w:fill="auto"/>
            <w:vAlign w:val="center"/>
          </w:tcPr>
          <w:p>
            <w:pPr>
              <w:jc w:val="right"/>
              <w:rPr>
                <w:rFonts w:ascii="仿宋_GB2312" w:hAnsi="宋体" w:eastAsia="仿宋_GB2312"/>
                <w:kern w:val="0"/>
                <w:sz w:val="16"/>
                <w:szCs w:val="16"/>
              </w:rPr>
            </w:pPr>
          </w:p>
        </w:tc>
        <w:tc>
          <w:tcPr>
            <w:tcW w:w="849" w:type="dxa"/>
            <w:shd w:val="clear" w:color="auto" w:fill="auto"/>
            <w:vAlign w:val="center"/>
          </w:tcPr>
          <w:p>
            <w:pPr>
              <w:keepNext w:val="0"/>
              <w:keepLines w:val="0"/>
              <w:widowControl/>
              <w:suppressLineNumbers w:val="0"/>
              <w:jc w:val="right"/>
              <w:textAlignment w:val="center"/>
              <w:rPr>
                <w:rFonts w:ascii="仿宋_GB2312" w:hAnsi="宋体" w:eastAsia="仿宋_GB2312"/>
                <w:kern w:val="0"/>
                <w:sz w:val="16"/>
                <w:szCs w:val="16"/>
              </w:rPr>
            </w:pPr>
          </w:p>
        </w:tc>
        <w:tc>
          <w:tcPr>
            <w:tcW w:w="5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shd w:val="clear" w:color="auto" w:fill="auto"/>
            <w:vAlign w:val="center"/>
          </w:tcPr>
          <w:p>
            <w:pPr>
              <w:keepNext w:val="0"/>
              <w:keepLines w:val="0"/>
              <w:widowControl/>
              <w:suppressLineNumbers w:val="0"/>
              <w:jc w:val="left"/>
              <w:textAlignment w:val="center"/>
              <w:rPr>
                <w:rFonts w:ascii="仿宋_GB2312" w:hAnsi="宋体" w:eastAsia="仿宋_GB2312"/>
                <w:kern w:val="0"/>
                <w:sz w:val="32"/>
                <w:szCs w:val="32"/>
                <w:highlight w:val="yellow"/>
              </w:rPr>
            </w:pPr>
          </w:p>
        </w:tc>
        <w:tc>
          <w:tcPr>
            <w:tcW w:w="450"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32"/>
                <w:szCs w:val="32"/>
                <w:highlight w:val="yellow"/>
              </w:rPr>
            </w:pPr>
          </w:p>
        </w:tc>
        <w:tc>
          <w:tcPr>
            <w:tcW w:w="434"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32"/>
                <w:szCs w:val="32"/>
                <w:highlight w:val="yellow"/>
              </w:rPr>
            </w:pPr>
          </w:p>
        </w:tc>
        <w:tc>
          <w:tcPr>
            <w:tcW w:w="900"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16"/>
                <w:szCs w:val="16"/>
              </w:rPr>
            </w:pPr>
          </w:p>
        </w:tc>
        <w:tc>
          <w:tcPr>
            <w:tcW w:w="1198"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16"/>
                <w:szCs w:val="16"/>
              </w:rPr>
            </w:pPr>
          </w:p>
        </w:tc>
        <w:tc>
          <w:tcPr>
            <w:tcW w:w="860" w:type="dxa"/>
            <w:shd w:val="clear" w:color="auto" w:fill="auto"/>
            <w:vAlign w:val="center"/>
          </w:tcPr>
          <w:p>
            <w:pPr>
              <w:keepNext w:val="0"/>
              <w:keepLines w:val="0"/>
              <w:widowControl/>
              <w:suppressLineNumbers w:val="0"/>
              <w:jc w:val="right"/>
              <w:textAlignment w:val="center"/>
              <w:rPr>
                <w:rFonts w:ascii="仿宋_GB2312" w:hAnsi="宋体" w:eastAsia="仿宋_GB2312"/>
                <w:kern w:val="0"/>
                <w:sz w:val="16"/>
                <w:szCs w:val="16"/>
              </w:rPr>
            </w:pPr>
          </w:p>
        </w:tc>
        <w:tc>
          <w:tcPr>
            <w:tcW w:w="459" w:type="dxa"/>
            <w:shd w:val="clear" w:color="auto" w:fill="auto"/>
            <w:vAlign w:val="center"/>
          </w:tcPr>
          <w:p>
            <w:pPr>
              <w:jc w:val="right"/>
              <w:rPr>
                <w:rFonts w:ascii="仿宋_GB2312" w:hAnsi="宋体" w:eastAsia="仿宋_GB2312"/>
                <w:kern w:val="0"/>
                <w:sz w:val="16"/>
                <w:szCs w:val="16"/>
              </w:rPr>
            </w:pPr>
          </w:p>
        </w:tc>
        <w:tc>
          <w:tcPr>
            <w:tcW w:w="849" w:type="dxa"/>
            <w:shd w:val="clear" w:color="auto" w:fill="auto"/>
            <w:vAlign w:val="center"/>
          </w:tcPr>
          <w:p>
            <w:pPr>
              <w:keepNext w:val="0"/>
              <w:keepLines w:val="0"/>
              <w:widowControl/>
              <w:suppressLineNumbers w:val="0"/>
              <w:jc w:val="right"/>
              <w:textAlignment w:val="center"/>
              <w:rPr>
                <w:rFonts w:ascii="仿宋_GB2312" w:hAnsi="宋体" w:eastAsia="仿宋_GB2312"/>
                <w:kern w:val="0"/>
                <w:sz w:val="16"/>
                <w:szCs w:val="16"/>
              </w:rPr>
            </w:pPr>
          </w:p>
        </w:tc>
        <w:tc>
          <w:tcPr>
            <w:tcW w:w="5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rPr>
            </w:pPr>
          </w:p>
        </w:tc>
        <w:tc>
          <w:tcPr>
            <w:tcW w:w="450" w:type="dxa"/>
            <w:shd w:val="clear" w:color="auto" w:fill="auto"/>
          </w:tcPr>
          <w:p>
            <w:pPr>
              <w:widowControl/>
              <w:jc w:val="left"/>
              <w:outlineLvl w:val="1"/>
              <w:rPr>
                <w:rFonts w:ascii="仿宋_GB2312" w:hAnsi="宋体" w:eastAsia="仿宋_GB2312"/>
                <w:kern w:val="0"/>
                <w:sz w:val="32"/>
                <w:szCs w:val="32"/>
              </w:rPr>
            </w:pPr>
          </w:p>
        </w:tc>
        <w:tc>
          <w:tcPr>
            <w:tcW w:w="434" w:type="dxa"/>
            <w:shd w:val="clear" w:color="auto" w:fill="auto"/>
          </w:tcPr>
          <w:p>
            <w:pPr>
              <w:widowControl/>
              <w:jc w:val="left"/>
              <w:outlineLvl w:val="1"/>
              <w:rPr>
                <w:rFonts w:ascii="仿宋_GB2312" w:hAnsi="宋体" w:eastAsia="仿宋_GB2312"/>
                <w:kern w:val="0"/>
                <w:sz w:val="32"/>
                <w:szCs w:val="32"/>
              </w:rPr>
            </w:pPr>
          </w:p>
        </w:tc>
        <w:tc>
          <w:tcPr>
            <w:tcW w:w="900" w:type="dxa"/>
            <w:shd w:val="clear" w:color="auto" w:fill="auto"/>
          </w:tcPr>
          <w:p>
            <w:pPr>
              <w:widowControl/>
              <w:jc w:val="left"/>
              <w:outlineLvl w:val="1"/>
              <w:rPr>
                <w:rFonts w:ascii="仿宋_GB2312" w:hAnsi="宋体" w:eastAsia="仿宋_GB2312"/>
                <w:kern w:val="0"/>
                <w:sz w:val="32"/>
                <w:szCs w:val="32"/>
              </w:rPr>
            </w:pPr>
          </w:p>
        </w:tc>
        <w:tc>
          <w:tcPr>
            <w:tcW w:w="1198" w:type="dxa"/>
            <w:shd w:val="clear" w:color="auto" w:fill="auto"/>
          </w:tcPr>
          <w:p>
            <w:pPr>
              <w:widowControl/>
              <w:jc w:val="left"/>
              <w:outlineLvl w:val="1"/>
              <w:rPr>
                <w:rFonts w:ascii="仿宋_GB2312" w:hAnsi="宋体" w:eastAsia="仿宋_GB2312"/>
                <w:kern w:val="0"/>
                <w:sz w:val="32"/>
                <w:szCs w:val="32"/>
              </w:rPr>
            </w:pPr>
          </w:p>
        </w:tc>
        <w:tc>
          <w:tcPr>
            <w:tcW w:w="860" w:type="dxa"/>
            <w:shd w:val="clear" w:color="auto" w:fill="auto"/>
          </w:tcPr>
          <w:p>
            <w:pPr>
              <w:widowControl/>
              <w:jc w:val="left"/>
              <w:outlineLvl w:val="1"/>
              <w:rPr>
                <w:rFonts w:ascii="仿宋_GB2312" w:hAnsi="宋体" w:eastAsia="仿宋_GB2312"/>
                <w:kern w:val="0"/>
                <w:sz w:val="32"/>
                <w:szCs w:val="32"/>
              </w:rPr>
            </w:pPr>
          </w:p>
        </w:tc>
        <w:tc>
          <w:tcPr>
            <w:tcW w:w="459" w:type="dxa"/>
            <w:shd w:val="clear" w:color="auto" w:fill="auto"/>
          </w:tcPr>
          <w:p>
            <w:pPr>
              <w:widowControl/>
              <w:jc w:val="left"/>
              <w:outlineLvl w:val="1"/>
              <w:rPr>
                <w:rFonts w:ascii="仿宋_GB2312" w:hAnsi="宋体" w:eastAsia="仿宋_GB2312"/>
                <w:kern w:val="0"/>
                <w:sz w:val="32"/>
                <w:szCs w:val="32"/>
              </w:rPr>
            </w:pPr>
          </w:p>
        </w:tc>
        <w:tc>
          <w:tcPr>
            <w:tcW w:w="849" w:type="dxa"/>
            <w:shd w:val="clear" w:color="auto" w:fill="auto"/>
          </w:tcPr>
          <w:p>
            <w:pPr>
              <w:widowControl/>
              <w:jc w:val="left"/>
              <w:outlineLvl w:val="1"/>
              <w:rPr>
                <w:rFonts w:ascii="仿宋_GB2312" w:hAnsi="宋体" w:eastAsia="仿宋_GB2312"/>
                <w:kern w:val="0"/>
                <w:sz w:val="32"/>
                <w:szCs w:val="32"/>
              </w:rPr>
            </w:pPr>
          </w:p>
        </w:tc>
        <w:tc>
          <w:tcPr>
            <w:tcW w:w="517" w:type="dxa"/>
            <w:shd w:val="clear" w:color="auto" w:fill="auto"/>
          </w:tcPr>
          <w:p>
            <w:pPr>
              <w:widowControl/>
              <w:jc w:val="left"/>
              <w:outlineLvl w:val="1"/>
              <w:rPr>
                <w:rFonts w:ascii="仿宋_GB2312" w:hAnsi="宋体" w:eastAsia="仿宋_GB2312"/>
                <w:kern w:val="0"/>
                <w:sz w:val="32"/>
                <w:szCs w:val="32"/>
              </w:rPr>
            </w:pPr>
          </w:p>
        </w:tc>
        <w:tc>
          <w:tcPr>
            <w:tcW w:w="474"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1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7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4"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0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98"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86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107.78</w:t>
            </w:r>
          </w:p>
        </w:tc>
        <w:tc>
          <w:tcPr>
            <w:tcW w:w="459" w:type="dxa"/>
            <w:shd w:val="clear" w:color="auto" w:fill="auto"/>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84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107.78</w:t>
            </w:r>
          </w:p>
        </w:tc>
        <w:tc>
          <w:tcPr>
            <w:tcW w:w="51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74" w:type="dxa"/>
            <w:shd w:val="clear" w:color="auto" w:fill="auto"/>
            <w:vAlign w:val="center"/>
          </w:tcPr>
          <w:p>
            <w:pPr>
              <w:widowControl/>
              <w:jc w:val="center"/>
              <w:outlineLvl w:val="1"/>
              <w:rPr>
                <w:rFonts w:ascii="仿宋_GB2312" w:hAnsi="宋体" w:eastAsia="仿宋_GB2312"/>
                <w:kern w:val="0"/>
                <w:sz w:val="21"/>
                <w:szCs w:val="21"/>
              </w:rPr>
            </w:pPr>
          </w:p>
        </w:tc>
        <w:tc>
          <w:tcPr>
            <w:tcW w:w="578" w:type="dxa"/>
            <w:gridSpan w:val="2"/>
            <w:shd w:val="clear" w:color="auto" w:fill="auto"/>
            <w:vAlign w:val="center"/>
          </w:tcPr>
          <w:p>
            <w:pPr>
              <w:widowControl/>
              <w:jc w:val="center"/>
              <w:outlineLvl w:val="1"/>
              <w:rPr>
                <w:rFonts w:ascii="仿宋_GB2312" w:hAnsi="宋体" w:eastAsia="仿宋_GB2312"/>
                <w:kern w:val="0"/>
                <w:sz w:val="21"/>
                <w:szCs w:val="21"/>
              </w:rPr>
            </w:pPr>
          </w:p>
        </w:tc>
        <w:tc>
          <w:tcPr>
            <w:tcW w:w="419" w:type="dxa"/>
            <w:shd w:val="clear" w:color="auto" w:fill="auto"/>
            <w:vAlign w:val="center"/>
          </w:tcPr>
          <w:p>
            <w:pPr>
              <w:widowControl/>
              <w:jc w:val="center"/>
              <w:outlineLvl w:val="1"/>
              <w:rPr>
                <w:rFonts w:ascii="仿宋_GB2312" w:hAnsi="宋体" w:eastAsia="仿宋_GB2312"/>
                <w:kern w:val="0"/>
                <w:sz w:val="21"/>
                <w:szCs w:val="21"/>
              </w:rPr>
            </w:pPr>
          </w:p>
        </w:tc>
        <w:tc>
          <w:tcPr>
            <w:tcW w:w="578" w:type="dxa"/>
            <w:shd w:val="clear" w:color="auto" w:fill="auto"/>
            <w:vAlign w:val="center"/>
          </w:tcPr>
          <w:p>
            <w:pPr>
              <w:widowControl/>
              <w:jc w:val="center"/>
              <w:outlineLvl w:val="1"/>
              <w:rPr>
                <w:rFonts w:ascii="仿宋_GB2312" w:hAnsi="宋体" w:eastAsia="仿宋_GB2312"/>
                <w:kern w:val="0"/>
                <w:sz w:val="21"/>
                <w:szCs w:val="21"/>
              </w:rPr>
            </w:pPr>
          </w:p>
        </w:tc>
        <w:tc>
          <w:tcPr>
            <w:tcW w:w="420" w:type="dxa"/>
            <w:shd w:val="clear" w:color="auto" w:fill="auto"/>
            <w:vAlign w:val="center"/>
          </w:tcPr>
          <w:p>
            <w:pPr>
              <w:widowControl/>
              <w:jc w:val="center"/>
              <w:outlineLvl w:val="1"/>
              <w:rPr>
                <w:rFonts w:ascii="仿宋_GB2312" w:hAnsi="宋体" w:eastAsia="仿宋_GB2312"/>
                <w:kern w:val="0"/>
                <w:sz w:val="21"/>
                <w:szCs w:val="21"/>
              </w:rPr>
            </w:pP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克孜勒苏柯尔克孜自治州林草局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11"/>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lang w:val="en-US"/>
              </w:rPr>
            </w:pPr>
            <w:r>
              <w:rPr>
                <w:rFonts w:hint="eastAsia" w:ascii="宋体" w:hAnsi="宋体" w:cs="宋体"/>
                <w:i w:val="0"/>
                <w:color w:val="000000"/>
                <w:kern w:val="0"/>
                <w:sz w:val="18"/>
                <w:szCs w:val="18"/>
                <w:u w:val="none"/>
                <w:lang w:val="en-US" w:eastAsia="zh-CN" w:bidi="ar"/>
              </w:rPr>
              <w:t>4.00</w:t>
            </w:r>
          </w:p>
        </w:tc>
        <w:tc>
          <w:tcPr>
            <w:tcW w:w="141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cs="宋体"/>
                <w:i w:val="0"/>
                <w:color w:val="000000"/>
                <w:kern w:val="0"/>
                <w:sz w:val="18"/>
                <w:szCs w:val="18"/>
                <w:u w:val="none"/>
                <w:lang w:val="en-US" w:eastAsia="zh-CN" w:bidi="ar"/>
              </w:rPr>
              <w:t>4.00</w:t>
            </w:r>
          </w:p>
        </w:tc>
        <w:tc>
          <w:tcPr>
            <w:tcW w:w="1418"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cs="宋体"/>
                <w:i w:val="0"/>
                <w:color w:val="000000"/>
                <w:kern w:val="0"/>
                <w:sz w:val="18"/>
                <w:szCs w:val="18"/>
                <w:u w:val="none"/>
                <w:lang w:val="en-US" w:eastAsia="zh-CN" w:bidi="ar"/>
              </w:rPr>
              <w:t>4.00</w:t>
            </w:r>
          </w:p>
        </w:tc>
        <w:tc>
          <w:tcPr>
            <w:tcW w:w="171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hint="eastAsia" w:ascii="仿宋_GB2312" w:hAnsi="宋体" w:eastAsia="仿宋_GB2312"/>
          <w:kern w:val="0"/>
          <w:sz w:val="32"/>
          <w:szCs w:val="32"/>
          <w:lang w:eastAsia="zh-CN"/>
        </w:rPr>
      </w:pPr>
    </w:p>
    <w:p>
      <w:pPr>
        <w:widowControl/>
        <w:outlineLvl w:val="1"/>
        <w:rPr>
          <w:rFonts w:hint="eastAsia" w:ascii="仿宋_GB2312" w:hAnsi="宋体" w:eastAsia="仿宋_GB2312"/>
          <w:kern w:val="0"/>
          <w:sz w:val="32"/>
          <w:szCs w:val="32"/>
          <w:lang w:eastAsia="zh-CN"/>
        </w:rPr>
      </w:pPr>
    </w:p>
    <w:p>
      <w:pPr>
        <w:widowControl/>
        <w:outlineLvl w:val="1"/>
        <w:rPr>
          <w:rFonts w:hint="eastAsia" w:ascii="仿宋_GB2312" w:hAnsi="宋体" w:eastAsia="仿宋_GB2312"/>
          <w:kern w:val="0"/>
          <w:sz w:val="32"/>
          <w:szCs w:val="32"/>
          <w:lang w:eastAsia="zh-CN"/>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克孜勒苏柯尔克孜自治州林草局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11"/>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hint="eastAsia" w:ascii="仿宋_GB2312" w:hAnsi="宋体" w:eastAsia="仿宋_GB2312"/>
          <w:kern w:val="0"/>
          <w:sz w:val="28"/>
          <w:szCs w:val="28"/>
          <w:lang w:eastAsia="zh-CN"/>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克孜勒苏柯尔克孜自治州草局</w:t>
      </w:r>
      <w:r>
        <w:rPr>
          <w:rFonts w:hint="eastAsia" w:ascii="仿宋_GB2312" w:hAnsi="宋体" w:eastAsia="仿宋_GB2312"/>
          <w:b/>
          <w:kern w:val="0"/>
          <w:sz w:val="28"/>
          <w:szCs w:val="32"/>
          <w:lang w:val="en-US" w:eastAsia="zh-CN"/>
        </w:rPr>
        <w:t>2021年未安排</w:t>
      </w:r>
      <w:r>
        <w:rPr>
          <w:rFonts w:hint="eastAsia" w:ascii="仿宋_GB2312" w:hAnsi="宋体" w:eastAsia="仿宋_GB2312"/>
          <w:b/>
          <w:kern w:val="0"/>
          <w:sz w:val="28"/>
          <w:szCs w:val="28"/>
        </w:rPr>
        <w:t>政府性基金预算</w:t>
      </w:r>
      <w:r>
        <w:rPr>
          <w:rFonts w:hint="eastAsia" w:ascii="仿宋_GB2312" w:hAnsi="宋体" w:eastAsia="仿宋_GB2312"/>
          <w:b/>
          <w:kern w:val="0"/>
          <w:sz w:val="28"/>
          <w:szCs w:val="28"/>
          <w:lang w:eastAsia="zh-CN"/>
        </w:rPr>
        <w:t>支出，故此表为空。</w:t>
      </w:r>
    </w:p>
    <w:p>
      <w:pPr>
        <w:spacing w:line="560" w:lineRule="exact"/>
        <w:jc w:val="center"/>
        <w:rPr>
          <w:rFonts w:ascii="黑体" w:hAnsi="黑体" w:eastAsia="黑体"/>
          <w:b/>
          <w:bCs/>
          <w:kern w:val="0"/>
          <w:sz w:val="32"/>
          <w:szCs w:val="32"/>
        </w:rPr>
      </w:pPr>
      <w:r>
        <w:rPr>
          <w:rFonts w:hint="eastAsia" w:ascii="黑体" w:hAnsi="黑体" w:eastAsia="黑体"/>
          <w:b/>
          <w:bCs/>
          <w:kern w:val="0"/>
          <w:sz w:val="32"/>
          <w:szCs w:val="32"/>
        </w:rPr>
        <w:t xml:space="preserve">第三部分  </w:t>
      </w:r>
      <w:r>
        <w:rPr>
          <w:rFonts w:hint="eastAsia" w:ascii="黑体" w:hAnsi="黑体" w:eastAsia="黑体"/>
          <w:b/>
          <w:bCs/>
          <w:kern w:val="0"/>
          <w:sz w:val="32"/>
          <w:szCs w:val="32"/>
          <w:lang w:val="en-US" w:eastAsia="zh-CN"/>
        </w:rPr>
        <w:t>2021</w:t>
      </w:r>
      <w:r>
        <w:rPr>
          <w:rFonts w:hint="eastAsia" w:ascii="黑体" w:hAnsi="黑体" w:eastAsia="黑体"/>
          <w:b/>
          <w:bCs/>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克州林草局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克州林草局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年所有收入和支出均纳入部门预算管理。收支总预算745.86万元。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558.14万元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上级补助收入</w:t>
      </w:r>
      <w:r>
        <w:rPr>
          <w:rFonts w:hint="eastAsia" w:ascii="仿宋_GB2312" w:hAnsi="宋体" w:eastAsia="仿宋_GB2312" w:cs="宋体"/>
          <w:kern w:val="0"/>
          <w:sz w:val="32"/>
          <w:szCs w:val="32"/>
          <w:lang w:val="en-US" w:eastAsia="zh-CN"/>
        </w:rPr>
        <w:t>163.72万元、上级专项收入24万元</w:t>
      </w:r>
      <w:r>
        <w:rPr>
          <w:rFonts w:hint="eastAsia" w:ascii="仿宋_GB2312" w:hAnsi="宋体" w:eastAsia="仿宋_GB2312" w:cs="宋体"/>
          <w:kern w:val="0"/>
          <w:sz w:val="32"/>
          <w:szCs w:val="32"/>
        </w:rPr>
        <w:t>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支出预算包括：农林水支出745.8</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克州林草局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克州林草局</w:t>
      </w:r>
      <w:r>
        <w:rPr>
          <w:rFonts w:hint="eastAsia" w:ascii="仿宋_GB2312" w:hAnsi="宋体" w:eastAsia="仿宋_GB2312" w:cs="宋体"/>
          <w:kern w:val="0"/>
          <w:sz w:val="32"/>
          <w:szCs w:val="32"/>
        </w:rPr>
        <w:t>收入预算745.8</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558.14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74.83</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预算增加</w:t>
      </w:r>
      <w:r>
        <w:rPr>
          <w:rFonts w:hint="eastAsia" w:ascii="仿宋_GB2312" w:hAnsi="宋体" w:eastAsia="仿宋_GB2312" w:cs="宋体"/>
          <w:kern w:val="0"/>
          <w:sz w:val="32"/>
          <w:szCs w:val="32"/>
          <w:lang w:val="en-US" w:eastAsia="zh-CN"/>
        </w:rPr>
        <w:t>10.69</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：单位事业人员减少</w:t>
      </w:r>
      <w:r>
        <w:rPr>
          <w:rFonts w:hint="eastAsia" w:ascii="仿宋_GB2312" w:hAnsi="宋体" w:eastAsia="仿宋_GB2312" w:cs="宋体"/>
          <w:kern w:val="0"/>
          <w:sz w:val="32"/>
          <w:szCs w:val="32"/>
          <w:lang w:val="en-US" w:eastAsia="zh-CN"/>
        </w:rPr>
        <w:t>7人和上年植被恢复费未列为一般公共预算拨款</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：单位未安排政府性基金</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：单位未安排</w:t>
      </w:r>
      <w:r>
        <w:rPr>
          <w:rFonts w:hint="eastAsia" w:ascii="仿宋_GB2312" w:hAnsi="宋体" w:eastAsia="仿宋_GB2312" w:cs="宋体"/>
          <w:kern w:val="0"/>
          <w:sz w:val="32"/>
          <w:szCs w:val="32"/>
        </w:rPr>
        <w:t>国有资本经营；</w:t>
      </w:r>
      <w:bookmarkStart w:id="0" w:name="_GoBack"/>
      <w:bookmarkEnd w:id="0"/>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上级补助收入资金</w:t>
      </w:r>
      <w:r>
        <w:rPr>
          <w:rFonts w:hint="eastAsia" w:ascii="仿宋_GB2312" w:hAnsi="宋体" w:eastAsia="仿宋_GB2312" w:cs="宋体"/>
          <w:kern w:val="0"/>
          <w:sz w:val="32"/>
          <w:szCs w:val="32"/>
          <w:lang w:val="en-US" w:eastAsia="zh-CN"/>
        </w:rPr>
        <w:t>163.72万元，占21.95</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43.72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：自治区林业和草原局安排森林生态效益补偿—检查验收费、林业有害生物防治经费增加</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上级专项收入24万元，占3.21</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为民办实事经费</w:t>
      </w:r>
      <w:r>
        <w:rPr>
          <w:rFonts w:hint="eastAsia" w:ascii="仿宋_GB2312" w:hAnsi="宋体" w:eastAsia="仿宋_GB2312" w:cs="宋体"/>
          <w:kern w:val="0"/>
          <w:sz w:val="32"/>
          <w:szCs w:val="32"/>
          <w:lang w:eastAsia="zh-CN"/>
        </w:rPr>
        <w:t>和第一书记工作经费列为上级专项收入。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克州林草局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克州林草局</w:t>
      </w:r>
      <w:r>
        <w:rPr>
          <w:rFonts w:hint="eastAsia" w:ascii="仿宋_GB2312" w:hAnsi="宋体" w:eastAsia="仿宋_GB2312" w:cs="宋体"/>
          <w:kern w:val="0"/>
          <w:sz w:val="32"/>
          <w:szCs w:val="32"/>
        </w:rPr>
        <w:t>单位</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年支出预算745.8</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万元，其中：</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基本支出510.4</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68.43</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预算减少</w:t>
      </w:r>
      <w:r>
        <w:rPr>
          <w:rFonts w:hint="eastAsia" w:ascii="仿宋_GB2312" w:hAnsi="宋体" w:eastAsia="仿宋_GB2312" w:cs="宋体"/>
          <w:kern w:val="0"/>
          <w:sz w:val="32"/>
          <w:szCs w:val="32"/>
          <w:lang w:val="en-US" w:eastAsia="zh-CN"/>
        </w:rPr>
        <w:t>23.02</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eastAsia="zh-CN"/>
        </w:rPr>
        <w:t>：单位事业人员减少</w:t>
      </w:r>
      <w:r>
        <w:rPr>
          <w:rFonts w:hint="eastAsia" w:ascii="仿宋_GB2312" w:hAnsi="宋体" w:eastAsia="仿宋_GB2312" w:cs="宋体"/>
          <w:kern w:val="0"/>
          <w:sz w:val="32"/>
          <w:szCs w:val="32"/>
          <w:lang w:val="en-US" w:eastAsia="zh-CN"/>
        </w:rPr>
        <w:t>7人</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项目支出 </w:t>
      </w:r>
      <w:r>
        <w:rPr>
          <w:rFonts w:hint="eastAsia" w:ascii="仿宋_GB2312" w:hAnsi="宋体" w:eastAsia="仿宋_GB2312" w:cs="宋体"/>
          <w:kern w:val="0"/>
          <w:sz w:val="32"/>
          <w:szCs w:val="32"/>
          <w:lang w:val="en-US" w:eastAsia="zh-CN"/>
        </w:rPr>
        <w:t>235.43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31.56</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25.43</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预算项目支出</w:t>
      </w:r>
      <w:r>
        <w:rPr>
          <w:rFonts w:hint="eastAsia" w:ascii="仿宋_GB2312" w:hAnsi="宋体" w:eastAsia="仿宋_GB2312" w:cs="宋体"/>
          <w:kern w:val="0"/>
          <w:sz w:val="32"/>
          <w:szCs w:val="32"/>
          <w:lang w:eastAsia="zh-CN"/>
        </w:rPr>
        <w:t>增加了自治州森林植被恢复费用于异地造林。</w:t>
      </w:r>
      <w:r>
        <w:rPr>
          <w:rFonts w:hint="eastAsia" w:ascii="仿宋_GB2312" w:hAnsi="宋体" w:eastAsia="仿宋_GB2312" w:cs="宋体"/>
          <w:kern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林草局</w:t>
      </w:r>
      <w:r>
        <w:rPr>
          <w:rFonts w:hint="eastAsia" w:ascii="黑体" w:hAnsi="黑体" w:eastAsia="黑体" w:cs="宋体"/>
          <w:bCs/>
          <w:kern w:val="0"/>
          <w:sz w:val="32"/>
          <w:szCs w:val="32"/>
          <w:lang w:val="en-US" w:eastAsia="zh-CN"/>
        </w:rPr>
        <w:t>2021</w:t>
      </w:r>
      <w:r>
        <w:rPr>
          <w:rFonts w:hint="eastAsia" w:ascii="黑体" w:hAnsi="黑体" w:eastAsia="黑体" w:cs="宋体"/>
          <w:bCs/>
          <w:kern w:val="0"/>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年财政拨款收支总预算558.14万元。</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收入预算包括：一般公共预算拨款558.14万元。全部为一般公共预算拨款，无政府性基金预算拨款</w:t>
      </w:r>
      <w:r>
        <w:rPr>
          <w:rFonts w:hint="eastAsia" w:ascii="仿宋_GB2312" w:hAnsi="宋体" w:eastAsia="仿宋_GB2312" w:cs="宋体"/>
          <w:spacing w:val="-6"/>
          <w:kern w:val="0"/>
          <w:sz w:val="32"/>
          <w:szCs w:val="32"/>
        </w:rPr>
        <w:t>和</w:t>
      </w:r>
      <w:r>
        <w:rPr>
          <w:rFonts w:hint="eastAsia" w:ascii="仿宋_GB2312" w:hAnsi="宋体" w:eastAsia="仿宋_GB2312" w:cs="宋体"/>
          <w:kern w:val="0"/>
          <w:sz w:val="32"/>
          <w:szCs w:val="32"/>
        </w:rPr>
        <w:t>国有资本经营预算。</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一般公共预算支出预算包括：一般公共服务支出558.14万元，主要用于农林水支出。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林草局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color w:val="auto"/>
          <w:kern w:val="0"/>
          <w:sz w:val="32"/>
          <w:szCs w:val="32"/>
        </w:rPr>
      </w:pPr>
      <w:r>
        <w:rPr>
          <w:rFonts w:hint="eastAsia" w:ascii="楷体_GB2312" w:hAnsi="宋体" w:eastAsia="楷体_GB2312" w:cs="宋体"/>
          <w:b/>
          <w:color w:val="auto"/>
          <w:kern w:val="0"/>
          <w:sz w:val="32"/>
          <w:szCs w:val="32"/>
        </w:rPr>
        <w:t>（一）一般公用预算当年拨款规模变化情况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克州林草局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年一般公共预算拨款</w:t>
      </w:r>
      <w:r>
        <w:rPr>
          <w:rFonts w:hint="eastAsia" w:ascii="仿宋_GB2312" w:hAnsi="宋体" w:eastAsia="仿宋_GB2312" w:cs="宋体"/>
          <w:kern w:val="0"/>
          <w:sz w:val="32"/>
          <w:szCs w:val="32"/>
          <w:lang w:eastAsia="zh-CN"/>
        </w:rPr>
        <w:t>合计</w:t>
      </w:r>
      <w:r>
        <w:rPr>
          <w:rFonts w:hint="eastAsia" w:ascii="仿宋_GB2312" w:hAnsi="宋体" w:eastAsia="仿宋_GB2312" w:cs="宋体"/>
          <w:kern w:val="0"/>
          <w:sz w:val="32"/>
          <w:szCs w:val="32"/>
        </w:rPr>
        <w:t>450.3</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数减少</w:t>
      </w:r>
      <w:r>
        <w:rPr>
          <w:rFonts w:hint="eastAsia" w:ascii="仿宋_GB2312" w:hAnsi="宋体" w:eastAsia="仿宋_GB2312" w:cs="宋体"/>
          <w:kern w:val="0"/>
          <w:sz w:val="32"/>
          <w:szCs w:val="32"/>
          <w:lang w:val="en-US" w:eastAsia="zh-CN"/>
        </w:rPr>
        <w:t>83.09</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15.57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上年财政拨入各类专项经费较多，专项支出经费较高</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eastAsia="zh-CN"/>
        </w:rPr>
        <w:t>而</w:t>
      </w:r>
      <w:r>
        <w:rPr>
          <w:rFonts w:hint="eastAsia" w:ascii="仿宋_GB2312" w:hAnsi="宋体" w:eastAsia="仿宋_GB2312" w:cs="宋体"/>
          <w:kern w:val="0"/>
          <w:sz w:val="32"/>
          <w:szCs w:val="32"/>
          <w:lang w:val="en-US" w:eastAsia="zh-CN"/>
        </w:rPr>
        <w:t>2021年预算中事业人员减少7人所以支出下降。</w:t>
      </w:r>
      <w:r>
        <w:rPr>
          <w:rFonts w:hint="eastAsia" w:ascii="仿宋_GB2312" w:hAnsi="宋体" w:eastAsia="仿宋_GB2312" w:cs="宋体"/>
          <w:kern w:val="0"/>
          <w:sz w:val="32"/>
          <w:szCs w:val="32"/>
          <w:lang w:eastAsia="zh-CN"/>
        </w:rPr>
        <w:t>项目支出</w:t>
      </w:r>
      <w:r>
        <w:rPr>
          <w:rFonts w:hint="eastAsia" w:ascii="仿宋_GB2312" w:hAnsi="宋体" w:eastAsia="仿宋_GB2312" w:cs="宋体"/>
          <w:kern w:val="0"/>
          <w:sz w:val="32"/>
          <w:szCs w:val="32"/>
          <w:lang w:val="en-US" w:eastAsia="zh-CN"/>
        </w:rPr>
        <w:t>107.78</w:t>
      </w:r>
      <w:r>
        <w:rPr>
          <w:rFonts w:hint="eastAsia" w:ascii="仿宋_GB2312" w:hAnsi="宋体" w:eastAsia="仿宋_GB2312" w:cs="宋体"/>
          <w:kern w:val="0"/>
          <w:sz w:val="32"/>
          <w:szCs w:val="32"/>
          <w:lang w:eastAsia="zh-CN"/>
        </w:rPr>
        <w:t>万元，比上年预算增加</w:t>
      </w:r>
      <w:r>
        <w:rPr>
          <w:rFonts w:hint="eastAsia" w:ascii="仿宋_GB2312" w:hAnsi="宋体" w:eastAsia="仿宋_GB2312" w:cs="宋体"/>
          <w:kern w:val="0"/>
          <w:sz w:val="32"/>
          <w:szCs w:val="32"/>
          <w:lang w:val="en-US" w:eastAsia="zh-CN"/>
        </w:rPr>
        <w:t>93.78</w:t>
      </w:r>
      <w:r>
        <w:rPr>
          <w:rFonts w:hint="eastAsia" w:ascii="仿宋_GB2312" w:hAnsi="宋体" w:eastAsia="仿宋_GB2312" w:cs="宋体"/>
          <w:kern w:val="0"/>
          <w:sz w:val="32"/>
          <w:szCs w:val="32"/>
          <w:lang w:eastAsia="zh-CN"/>
        </w:rPr>
        <w:t>万元，增长</w:t>
      </w:r>
      <w:r>
        <w:rPr>
          <w:rFonts w:hint="eastAsia" w:ascii="仿宋_GB2312" w:hAnsi="宋体" w:eastAsia="仿宋_GB2312" w:cs="宋体"/>
          <w:kern w:val="0"/>
          <w:sz w:val="32"/>
          <w:szCs w:val="32"/>
          <w:lang w:val="en-US" w:eastAsia="zh-CN"/>
        </w:rPr>
        <w:t>87.01%。</w:t>
      </w:r>
      <w:r>
        <w:rPr>
          <w:rFonts w:hint="eastAsia" w:ascii="仿宋_GB2312" w:hAnsi="宋体" w:eastAsia="仿宋_GB2312" w:cs="宋体"/>
          <w:kern w:val="0"/>
          <w:sz w:val="32"/>
          <w:szCs w:val="32"/>
          <w:lang w:eastAsia="zh-CN"/>
        </w:rPr>
        <w:t>主要原因是：项目增加了自治州森林植被恢复费用于异地造林。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eastAsia="仿宋_GB2312"/>
          <w:color w:val="auto"/>
          <w:sz w:val="32"/>
          <w:szCs w:val="32"/>
        </w:rPr>
        <w:t>1.</w:t>
      </w:r>
      <w:r>
        <w:rPr>
          <w:rFonts w:hint="eastAsia" w:ascii="仿宋_GB2312" w:hAnsi="宋体" w:eastAsia="仿宋_GB2312" w:cs="宋体"/>
          <w:color w:val="auto"/>
          <w:kern w:val="0"/>
          <w:sz w:val="32"/>
          <w:szCs w:val="32"/>
          <w:lang w:eastAsia="zh-CN"/>
        </w:rPr>
        <w:t>农林水支出</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213</w:t>
      </w:r>
      <w:r>
        <w:rPr>
          <w:rFonts w:hint="eastAsia" w:ascii="仿宋_GB2312" w:eastAsia="仿宋_GB2312"/>
          <w:color w:val="auto"/>
          <w:sz w:val="32"/>
          <w:szCs w:val="32"/>
        </w:rPr>
        <w:t>）558.1</w:t>
      </w:r>
      <w:r>
        <w:rPr>
          <w:rFonts w:hint="eastAsia" w:ascii="仿宋_GB2312" w:eastAsia="仿宋_GB2312"/>
          <w:color w:val="auto"/>
          <w:sz w:val="32"/>
          <w:szCs w:val="32"/>
          <w:lang w:val="en-US" w:eastAsia="zh-CN"/>
        </w:rPr>
        <w:t>4</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100</w:t>
      </w:r>
      <w:r>
        <w:rPr>
          <w:rFonts w:hint="eastAsia" w:ascii="仿宋_GB2312" w:hAnsi="宋体" w:eastAsia="仿宋_GB2312" w:cs="宋体"/>
          <w:color w:val="auto"/>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eastAsia="zh-CN"/>
        </w:rPr>
        <w:t>类农林水支出</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林业和草原</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年预算数为450.3</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数减少</w:t>
      </w:r>
      <w:r>
        <w:rPr>
          <w:rFonts w:hint="eastAsia" w:ascii="仿宋_GB2312" w:hAnsi="宋体" w:eastAsia="仿宋_GB2312" w:cs="宋体"/>
          <w:kern w:val="0"/>
          <w:sz w:val="32"/>
          <w:szCs w:val="32"/>
          <w:lang w:val="en-US" w:eastAsia="zh-CN"/>
        </w:rPr>
        <w:t>83.09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下降</w:t>
      </w:r>
      <w:r>
        <w:rPr>
          <w:rFonts w:hint="eastAsia" w:ascii="仿宋_GB2312" w:hAnsi="宋体" w:eastAsia="仿宋_GB2312" w:cs="宋体"/>
          <w:kern w:val="0"/>
          <w:sz w:val="32"/>
          <w:szCs w:val="32"/>
          <w:lang w:val="en-US" w:eastAsia="zh-CN"/>
        </w:rPr>
        <w:t>15.57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上年财政拨入各类专项经费较多，专项支出经费较高</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eastAsia="zh-CN"/>
        </w:rPr>
        <w:t>而</w:t>
      </w:r>
      <w:r>
        <w:rPr>
          <w:rFonts w:hint="eastAsia" w:ascii="仿宋_GB2312" w:hAnsi="宋体" w:eastAsia="仿宋_GB2312" w:cs="宋体"/>
          <w:kern w:val="0"/>
          <w:sz w:val="32"/>
          <w:szCs w:val="32"/>
          <w:lang w:val="en-US" w:eastAsia="zh-CN"/>
        </w:rPr>
        <w:t>2021年预算中事业人员减少7人所以支出下降。</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eastAsia="zh-CN"/>
        </w:rPr>
        <w:t>类项目支出</w:t>
      </w:r>
      <w:r>
        <w:rPr>
          <w:rFonts w:hint="eastAsia" w:ascii="仿宋_GB2312" w:hAnsi="宋体" w:eastAsia="仿宋_GB2312" w:cs="宋体"/>
          <w:kern w:val="0"/>
          <w:sz w:val="32"/>
          <w:szCs w:val="32"/>
          <w:lang w:val="en-US" w:eastAsia="zh-CN"/>
        </w:rPr>
        <w:t>107.78</w:t>
      </w:r>
      <w:r>
        <w:rPr>
          <w:rFonts w:hint="eastAsia" w:ascii="仿宋_GB2312" w:hAnsi="宋体" w:eastAsia="仿宋_GB2312" w:cs="宋体"/>
          <w:kern w:val="0"/>
          <w:sz w:val="32"/>
          <w:szCs w:val="32"/>
          <w:lang w:eastAsia="zh-CN"/>
        </w:rPr>
        <w:t>万元，比上年预算增加</w:t>
      </w:r>
      <w:r>
        <w:rPr>
          <w:rFonts w:hint="eastAsia" w:ascii="仿宋_GB2312" w:hAnsi="宋体" w:eastAsia="仿宋_GB2312" w:cs="宋体"/>
          <w:kern w:val="0"/>
          <w:sz w:val="32"/>
          <w:szCs w:val="32"/>
          <w:lang w:val="en-US" w:eastAsia="zh-CN"/>
        </w:rPr>
        <w:t>93.78</w:t>
      </w:r>
      <w:r>
        <w:rPr>
          <w:rFonts w:hint="eastAsia" w:ascii="仿宋_GB2312" w:hAnsi="宋体" w:eastAsia="仿宋_GB2312" w:cs="宋体"/>
          <w:kern w:val="0"/>
          <w:sz w:val="32"/>
          <w:szCs w:val="32"/>
          <w:lang w:eastAsia="zh-CN"/>
        </w:rPr>
        <w:t>万元，增长</w:t>
      </w:r>
      <w:r>
        <w:rPr>
          <w:rFonts w:hint="eastAsia" w:ascii="仿宋_GB2312" w:hAnsi="宋体" w:eastAsia="仿宋_GB2312" w:cs="宋体"/>
          <w:kern w:val="0"/>
          <w:sz w:val="32"/>
          <w:szCs w:val="32"/>
          <w:lang w:val="en-US" w:eastAsia="zh-CN"/>
        </w:rPr>
        <w:t>87.01%。</w:t>
      </w:r>
      <w:r>
        <w:rPr>
          <w:rFonts w:hint="eastAsia" w:ascii="仿宋_GB2312" w:hAnsi="宋体" w:eastAsia="仿宋_GB2312" w:cs="宋体"/>
          <w:kern w:val="0"/>
          <w:sz w:val="32"/>
          <w:szCs w:val="32"/>
          <w:lang w:eastAsia="zh-CN"/>
        </w:rPr>
        <w:t>主要原因是：项目增加了自治州森林植被恢复费用于异地造林。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克州林草局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克州林草局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年一般公共预算基本支出450.3</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 432.17万元，主要包括：基本工资</w:t>
      </w:r>
      <w:r>
        <w:rPr>
          <w:rFonts w:hint="eastAsia" w:ascii="仿宋_GB2312" w:hAnsi="宋体" w:eastAsia="仿宋_GB2312" w:cs="宋体"/>
          <w:kern w:val="0"/>
          <w:sz w:val="32"/>
          <w:szCs w:val="32"/>
          <w:lang w:val="en-US" w:eastAsia="zh-CN"/>
        </w:rPr>
        <w:t>126.62万元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153.83万元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10.55万元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41.16万元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26.10万元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29.65万元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7.37万元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0.89万元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1.44万</w:t>
      </w:r>
      <w:r>
        <w:rPr>
          <w:rFonts w:hint="eastAsia" w:ascii="仿宋_GB2312" w:hAnsi="宋体" w:eastAsia="仿宋_GB2312" w:cs="宋体"/>
          <w:kern w:val="0"/>
          <w:sz w:val="32"/>
          <w:szCs w:val="32"/>
        </w:rPr>
        <w:t>、其他对个人和家庭的补助等</w:t>
      </w:r>
      <w:r>
        <w:rPr>
          <w:rFonts w:hint="eastAsia" w:ascii="仿宋_GB2312" w:hAnsi="宋体" w:eastAsia="仿宋_GB2312" w:cs="宋体"/>
          <w:kern w:val="0"/>
          <w:sz w:val="32"/>
          <w:szCs w:val="32"/>
          <w:lang w:val="en-US" w:eastAsia="zh-CN"/>
        </w:rPr>
        <w:t>34.56万元</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18.18</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0.7万元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、会议费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1.78万元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3.21万元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4万元</w:t>
      </w:r>
      <w:r>
        <w:rPr>
          <w:rFonts w:hint="eastAsia" w:ascii="仿宋_GB2312" w:hAnsi="宋体" w:eastAsia="仿宋_GB2312" w:cs="宋体"/>
          <w:kern w:val="0"/>
          <w:sz w:val="32"/>
          <w:szCs w:val="32"/>
        </w:rPr>
        <w:t>、办公设备购置</w:t>
      </w:r>
      <w:r>
        <w:rPr>
          <w:rFonts w:hint="eastAsia" w:ascii="仿宋_GB2312" w:hAnsi="宋体" w:eastAsia="仿宋_GB2312" w:cs="宋体"/>
          <w:kern w:val="0"/>
          <w:sz w:val="32"/>
          <w:szCs w:val="32"/>
          <w:lang w:val="en-US" w:eastAsia="zh-CN"/>
        </w:rPr>
        <w:t>1.5万元</w:t>
      </w:r>
      <w:r>
        <w:rPr>
          <w:rFonts w:hint="eastAsia" w:ascii="仿宋_GB2312" w:hAnsi="宋体" w:eastAsia="仿宋_GB2312" w:cs="宋体"/>
          <w:kern w:val="0"/>
          <w:sz w:val="32"/>
          <w:szCs w:val="32"/>
        </w:rPr>
        <w:t>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克州林草局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年项目支出情况说明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b/>
          <w:bCs/>
          <w:sz w:val="32"/>
          <w:szCs w:val="32"/>
          <w:lang w:eastAsia="zh-CN"/>
        </w:rPr>
      </w:pPr>
      <w:r>
        <w:rPr>
          <w:rFonts w:hint="eastAsia" w:ascii="仿宋_GB2312" w:hAnsi="黑体" w:eastAsia="仿宋_GB2312"/>
          <w:b/>
          <w:sz w:val="32"/>
          <w:szCs w:val="32"/>
        </w:rPr>
        <w:t>情况一：（项目支出、专项业务费按下列内容说明）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b/>
          <w:bCs/>
          <w:sz w:val="32"/>
          <w:szCs w:val="32"/>
          <w:lang w:eastAsia="zh-CN"/>
        </w:rPr>
      </w:pPr>
      <w:r>
        <w:rPr>
          <w:rFonts w:hint="eastAsia" w:ascii="仿宋_GB2312" w:hAnsi="黑体" w:eastAsia="仿宋_GB2312"/>
          <w:b/>
          <w:bCs/>
          <w:sz w:val="32"/>
          <w:szCs w:val="32"/>
          <w:lang w:eastAsia="zh-CN"/>
        </w:rPr>
        <w:t>（一）群众工作经费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群众工作经费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：根据州财政</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年预算编制内容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eastAsia="zh-CN"/>
        </w:rPr>
        <w:t>中</w:t>
      </w:r>
      <w:r>
        <w:rPr>
          <w:rFonts w:hint="eastAsia" w:ascii="仿宋_GB2312" w:hAnsi="黑体" w:eastAsia="仿宋_GB2312"/>
          <w:sz w:val="32"/>
          <w:szCs w:val="32"/>
        </w:rPr>
        <w:t>村</w:t>
      </w:r>
      <w:r>
        <w:rPr>
          <w:rFonts w:hint="eastAsia" w:ascii="仿宋_GB2312" w:hAnsi="黑体" w:eastAsia="仿宋_GB2312"/>
          <w:sz w:val="32"/>
          <w:szCs w:val="32"/>
          <w:lang w:val="en-US" w:eastAsia="zh-CN"/>
        </w:rPr>
        <w:t>7</w:t>
      </w:r>
      <w:r>
        <w:rPr>
          <w:rFonts w:hint="eastAsia" w:ascii="仿宋_GB2312" w:hAnsi="黑体" w:eastAsia="仿宋_GB2312"/>
          <w:sz w:val="32"/>
          <w:szCs w:val="32"/>
        </w:rPr>
        <w:t>万元</w:t>
      </w:r>
      <w:r>
        <w:rPr>
          <w:rFonts w:hint="eastAsia" w:ascii="仿宋_GB2312" w:hAnsi="黑体" w:eastAsia="仿宋_GB2312"/>
          <w:sz w:val="32"/>
          <w:szCs w:val="32"/>
          <w:lang w:eastAsia="zh-CN"/>
        </w:rPr>
        <w:t>（州林草局</w:t>
      </w:r>
      <w:r>
        <w:rPr>
          <w:rFonts w:hint="eastAsia" w:ascii="仿宋_GB2312" w:hAnsi="黑体" w:eastAsia="仿宋_GB2312"/>
          <w:sz w:val="32"/>
          <w:szCs w:val="32"/>
          <w:lang w:val="en-US" w:eastAsia="zh-CN"/>
        </w:rPr>
        <w:t>2个中村）</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克孜勒苏柯尔克</w:t>
      </w:r>
      <w:r>
        <w:rPr>
          <w:rFonts w:hint="eastAsia" w:ascii="仿宋_GB2312" w:hAnsi="宋体" w:eastAsia="仿宋_GB2312" w:cs="宋体"/>
          <w:kern w:val="0"/>
          <w:sz w:val="32"/>
          <w:szCs w:val="32"/>
          <w:lang w:eastAsia="zh-CN"/>
        </w:rPr>
        <w:t>孜自治州林草局</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办公费</w:t>
      </w:r>
      <w:r>
        <w:rPr>
          <w:rFonts w:hint="eastAsia" w:ascii="仿宋_GB2312" w:hAnsi="黑体" w:eastAsia="仿宋_GB2312"/>
          <w:sz w:val="32"/>
          <w:szCs w:val="32"/>
          <w:lang w:val="en-US" w:eastAsia="zh-CN"/>
        </w:rPr>
        <w:t>3万元、水费1万元、电费1万元、邮电费1万元、取暖费1万元、办公用品及设备采购6万元、其他商品和服务支出1万元。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2021</w:t>
      </w:r>
      <w:r>
        <w:rPr>
          <w:rFonts w:hint="eastAsia" w:ascii="仿宋_GB2312" w:hAnsi="宋体" w:eastAsia="仿宋_GB2312" w:cs="宋体"/>
          <w:kern w:val="0"/>
          <w:sz w:val="32"/>
          <w:szCs w:val="32"/>
        </w:rPr>
        <w:t>年1月1日—12月31日</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b/>
          <w:bCs/>
          <w:kern w:val="0"/>
          <w:sz w:val="32"/>
          <w:szCs w:val="32"/>
          <w:lang w:eastAsia="zh-CN"/>
        </w:rPr>
      </w:pPr>
      <w:r>
        <w:rPr>
          <w:rFonts w:hint="eastAsia" w:ascii="仿宋_GB2312" w:hAnsi="宋体" w:eastAsia="仿宋_GB2312" w:cs="宋体"/>
          <w:b/>
          <w:bCs/>
          <w:kern w:val="0"/>
          <w:sz w:val="32"/>
          <w:szCs w:val="32"/>
          <w:lang w:eastAsia="zh-CN"/>
        </w:rPr>
        <w:t>（二）森林植被恢复费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森林植被恢复费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eastAsia="zh-CN"/>
        </w:rPr>
        <w:t>财综</w:t>
      </w:r>
      <w:r>
        <w:rPr>
          <w:rFonts w:hint="eastAsia" w:ascii="仿宋_GB2312" w:hAnsi="仿宋_GB2312" w:eastAsia="仿宋_GB2312" w:cs="仿宋_GB2312"/>
          <w:kern w:val="0"/>
          <w:sz w:val="32"/>
          <w:szCs w:val="32"/>
          <w:lang w:val="en-US" w:eastAsia="zh-CN"/>
        </w:rPr>
        <w:t>[2002]73号文件</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93.78万元，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克孜勒苏柯尔克孜自治州林草局</w:t>
      </w:r>
    </w:p>
    <w:p>
      <w:pPr>
        <w:widowControl/>
        <w:spacing w:line="540" w:lineRule="exact"/>
        <w:ind w:firstLine="640" w:firstLineChars="200"/>
        <w:jc w:val="left"/>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阿克陶县植被恢复费</w:t>
      </w:r>
      <w:r>
        <w:rPr>
          <w:rFonts w:hint="eastAsia" w:ascii="仿宋_GB2312" w:hAnsi="宋体" w:eastAsia="仿宋_GB2312" w:cs="宋体"/>
          <w:kern w:val="0"/>
          <w:sz w:val="32"/>
          <w:szCs w:val="32"/>
          <w:lang w:val="en-US" w:eastAsia="zh-CN"/>
        </w:rPr>
        <w:t>89.77万元、乌恰县植被恢复费4.01万元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-2021年6月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林草局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黑体" w:eastAsia="仿宋_GB2312"/>
          <w:sz w:val="32"/>
          <w:szCs w:val="32"/>
        </w:rPr>
      </w:pPr>
      <w:r>
        <w:rPr>
          <w:rFonts w:hint="eastAsia" w:ascii="仿宋_GB2312" w:hAnsi="黑体" w:eastAsia="仿宋_GB2312"/>
          <w:sz w:val="32"/>
          <w:szCs w:val="32"/>
          <w:lang w:eastAsia="zh-CN"/>
        </w:rPr>
        <w:t>克州林草局</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年“三公”经费财政拨款预算数为</w:t>
      </w:r>
      <w:r>
        <w:rPr>
          <w:rFonts w:hint="eastAsia" w:ascii="仿宋_GB2312" w:hAnsi="黑体" w:eastAsia="仿宋_GB2312"/>
          <w:sz w:val="32"/>
          <w:szCs w:val="32"/>
          <w:lang w:val="en-US" w:eastAsia="zh-CN"/>
        </w:rPr>
        <w:t>4</w:t>
      </w:r>
      <w:r>
        <w:rPr>
          <w:rFonts w:hint="eastAsia" w:ascii="仿宋_GB2312" w:hAnsi="黑体" w:eastAsia="仿宋_GB2312"/>
          <w:sz w:val="32"/>
          <w:szCs w:val="32"/>
        </w:rPr>
        <w:t>万元，其中：因公出国（境）费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万元，公务用车购置</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万元，公务用车运行费</w:t>
      </w:r>
      <w:r>
        <w:rPr>
          <w:rFonts w:hint="eastAsia" w:ascii="仿宋_GB2312" w:hAnsi="黑体" w:eastAsia="仿宋_GB2312"/>
          <w:sz w:val="32"/>
          <w:szCs w:val="32"/>
          <w:lang w:val="en-US" w:eastAsia="zh-CN"/>
        </w:rPr>
        <w:t>4</w:t>
      </w:r>
      <w:r>
        <w:rPr>
          <w:rFonts w:hint="eastAsia" w:ascii="仿宋_GB2312" w:hAnsi="黑体" w:eastAsia="仿宋_GB2312"/>
          <w:sz w:val="32"/>
          <w:szCs w:val="32"/>
        </w:rPr>
        <w:t>万元，公务接待费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年“三公”经费财政拨款预算比上年减少</w:t>
      </w:r>
      <w:r>
        <w:rPr>
          <w:rFonts w:hint="eastAsia" w:ascii="仿宋_GB2312" w:hAnsi="黑体" w:eastAsia="仿宋_GB2312"/>
          <w:sz w:val="32"/>
          <w:szCs w:val="32"/>
          <w:lang w:val="en-US" w:eastAsia="zh-CN"/>
        </w:rPr>
        <w:t>1.5</w:t>
      </w:r>
      <w:r>
        <w:rPr>
          <w:rFonts w:hint="eastAsia" w:ascii="仿宋_GB2312" w:hAnsi="黑体" w:eastAsia="仿宋_GB2312"/>
          <w:sz w:val="32"/>
          <w:szCs w:val="32"/>
        </w:rPr>
        <w:t>万元，其中：因公出国（境）费增加</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万元，主要原因是</w:t>
      </w:r>
      <w:r>
        <w:rPr>
          <w:rFonts w:hint="eastAsia" w:ascii="仿宋_GB2312" w:hAnsi="黑体" w:eastAsia="仿宋_GB2312"/>
          <w:sz w:val="32"/>
          <w:szCs w:val="32"/>
          <w:lang w:eastAsia="zh-CN"/>
        </w:rPr>
        <w:t>：</w:t>
      </w:r>
      <w:r>
        <w:rPr>
          <w:rFonts w:hint="eastAsia" w:ascii="仿宋_GB2312" w:hAnsi="黑体" w:eastAsia="仿宋_GB2312"/>
          <w:sz w:val="32"/>
          <w:szCs w:val="32"/>
        </w:rPr>
        <w:t>未安排因公出国预算；公务用车购置费为0，未安排公务用车购置费预算。公务用车运行费减少</w:t>
      </w:r>
      <w:r>
        <w:rPr>
          <w:rFonts w:hint="eastAsia" w:ascii="仿宋_GB2312" w:hAnsi="黑体" w:eastAsia="仿宋_GB2312"/>
          <w:sz w:val="32"/>
          <w:szCs w:val="32"/>
          <w:lang w:val="en-US" w:eastAsia="zh-CN"/>
        </w:rPr>
        <w:t>0.5</w:t>
      </w:r>
      <w:r>
        <w:rPr>
          <w:rFonts w:hint="eastAsia" w:ascii="仿宋_GB2312" w:hAnsi="黑体" w:eastAsia="仿宋_GB2312"/>
          <w:sz w:val="32"/>
          <w:szCs w:val="32"/>
        </w:rPr>
        <w:t>万元，主要原因是</w:t>
      </w:r>
      <w:r>
        <w:rPr>
          <w:rFonts w:hint="eastAsia" w:ascii="仿宋_GB2312" w:hAnsi="黑体" w:eastAsia="仿宋_GB2312"/>
          <w:sz w:val="32"/>
          <w:szCs w:val="32"/>
          <w:lang w:eastAsia="zh-CN"/>
        </w:rPr>
        <w:t>按照“三公”经费只减不增的原则</w:t>
      </w:r>
      <w:r>
        <w:rPr>
          <w:rFonts w:hint="eastAsia" w:ascii="仿宋_GB2312" w:hAnsi="黑体" w:eastAsia="仿宋_GB2312"/>
          <w:sz w:val="32"/>
          <w:szCs w:val="32"/>
        </w:rPr>
        <w:t>；公务接待费比上年减少</w:t>
      </w:r>
      <w:r>
        <w:rPr>
          <w:rFonts w:hint="eastAsia" w:ascii="仿宋_GB2312" w:hAnsi="黑体" w:eastAsia="仿宋_GB2312"/>
          <w:sz w:val="32"/>
          <w:szCs w:val="32"/>
          <w:lang w:val="en-US" w:eastAsia="zh-CN"/>
        </w:rPr>
        <w:t>1</w:t>
      </w:r>
      <w:r>
        <w:rPr>
          <w:rFonts w:hint="eastAsia" w:ascii="仿宋_GB2312" w:hAnsi="黑体" w:eastAsia="仿宋_GB2312"/>
          <w:sz w:val="32"/>
          <w:szCs w:val="32"/>
        </w:rPr>
        <w:t>万元，主要原因是</w:t>
      </w:r>
      <w:r>
        <w:rPr>
          <w:rFonts w:hint="eastAsia" w:ascii="仿宋_GB2312" w:hAnsi="黑体" w:eastAsia="仿宋_GB2312"/>
          <w:sz w:val="32"/>
          <w:szCs w:val="32"/>
          <w:lang w:eastAsia="zh-CN"/>
        </w:rPr>
        <w:t>公用经费不足未安排公务接待。</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克州林草局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克州林草局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lang w:val="en-US"/>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克州林草</w:t>
      </w:r>
      <w:r>
        <w:rPr>
          <w:rFonts w:hint="eastAsia" w:ascii="仿宋_GB2312" w:hAnsi="宋体" w:eastAsia="仿宋_GB2312" w:cs="宋体"/>
          <w:color w:val="auto"/>
          <w:kern w:val="0"/>
          <w:sz w:val="32"/>
          <w:szCs w:val="32"/>
          <w:lang w:eastAsia="zh-CN"/>
        </w:rPr>
        <w:t>局</w:t>
      </w:r>
      <w:r>
        <w:rPr>
          <w:rFonts w:hint="eastAsia" w:ascii="仿宋_GB2312" w:hAnsi="宋体" w:eastAsia="仿宋_GB2312" w:cs="宋体"/>
          <w:color w:val="auto"/>
          <w:kern w:val="0"/>
          <w:sz w:val="32"/>
          <w:szCs w:val="32"/>
        </w:rPr>
        <w:t>本级及下属</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家行政单位和</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家事</w:t>
      </w:r>
      <w:r>
        <w:rPr>
          <w:rFonts w:hint="eastAsia" w:ascii="仿宋_GB2312" w:hAnsi="宋体" w:eastAsia="仿宋_GB2312" w:cs="宋体"/>
          <w:kern w:val="0"/>
          <w:sz w:val="32"/>
          <w:szCs w:val="32"/>
        </w:rPr>
        <w:t>业单位的机关运行经费财政拨款预算</w:t>
      </w:r>
      <w:r>
        <w:rPr>
          <w:rFonts w:hint="eastAsia" w:ascii="仿宋_GB2312" w:hAnsi="宋体" w:eastAsia="仿宋_GB2312" w:cs="宋体"/>
          <w:kern w:val="0"/>
          <w:sz w:val="32"/>
          <w:szCs w:val="32"/>
          <w:lang w:val="en-US" w:eastAsia="zh-CN"/>
        </w:rPr>
        <w:t>18.18</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4.72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人员减少</w:t>
      </w:r>
      <w:r>
        <w:rPr>
          <w:rFonts w:hint="eastAsia" w:ascii="仿宋_GB2312" w:hAnsi="宋体" w:eastAsia="仿宋_GB2312" w:cs="宋体"/>
          <w:kern w:val="0"/>
          <w:sz w:val="32"/>
          <w:szCs w:val="32"/>
          <w:lang w:val="en-US" w:eastAsia="zh-CN"/>
        </w:rPr>
        <w:t>7人后机关运行经费减少。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克州林草局</w:t>
      </w:r>
      <w:r>
        <w:rPr>
          <w:rFonts w:hint="eastAsia" w:ascii="仿宋_GB2312" w:hAnsi="宋体" w:eastAsia="仿宋_GB2312" w:cs="宋体"/>
          <w:kern w:val="0"/>
          <w:sz w:val="32"/>
          <w:szCs w:val="32"/>
        </w:rPr>
        <w:t>及下属单位政府采购预算</w:t>
      </w:r>
      <w:r>
        <w:rPr>
          <w:rFonts w:hint="eastAsia" w:ascii="仿宋_GB2312" w:hAnsi="宋体" w:eastAsia="仿宋_GB2312" w:cs="宋体"/>
          <w:kern w:val="0"/>
          <w:sz w:val="32"/>
          <w:szCs w:val="32"/>
          <w:lang w:val="en-US" w:eastAsia="zh-CN"/>
        </w:rPr>
        <w:t>60.07</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53.87</w:t>
      </w:r>
      <w:r>
        <w:rPr>
          <w:rFonts w:hint="eastAsia" w:ascii="仿宋_GB2312" w:hAnsi="宋体" w:eastAsia="仿宋_GB2312" w:cs="宋体"/>
          <w:kern w:val="0"/>
          <w:sz w:val="32"/>
          <w:szCs w:val="32"/>
        </w:rPr>
        <w:t xml:space="preserve">万元，政府采购工程预算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6.2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年度本部门面向中小企业预留政府采购项目预算金额</w:t>
      </w:r>
      <w:r>
        <w:rPr>
          <w:rFonts w:hint="eastAsia" w:ascii="仿宋_GB2312" w:hAnsi="宋体" w:eastAsia="仿宋_GB2312" w:cs="宋体"/>
          <w:kern w:val="0"/>
          <w:sz w:val="32"/>
          <w:szCs w:val="32"/>
          <w:lang w:val="en-US" w:eastAsia="zh-CN"/>
        </w:rPr>
        <w:t>61.2</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color w:val="auto"/>
          <w:kern w:val="0"/>
          <w:sz w:val="32"/>
          <w:szCs w:val="32"/>
        </w:rPr>
        <w:t>年底，</w:t>
      </w:r>
      <w:r>
        <w:rPr>
          <w:rFonts w:hint="eastAsia" w:ascii="仿宋_GB2312" w:hAnsi="宋体" w:eastAsia="仿宋_GB2312"/>
          <w:color w:val="auto"/>
          <w:kern w:val="0"/>
          <w:sz w:val="32"/>
          <w:szCs w:val="32"/>
          <w:lang w:eastAsia="zh-CN"/>
        </w:rPr>
        <w:t>克州林草局</w:t>
      </w:r>
      <w:r>
        <w:rPr>
          <w:rFonts w:hint="eastAsia" w:ascii="仿宋_GB2312" w:hAnsi="宋体" w:eastAsia="仿宋_GB2312" w:cs="宋体"/>
          <w:color w:val="auto"/>
          <w:kern w:val="0"/>
          <w:sz w:val="32"/>
          <w:szCs w:val="32"/>
        </w:rPr>
        <w:t>及下属各预</w:t>
      </w:r>
      <w:r>
        <w:rPr>
          <w:rFonts w:hint="eastAsia" w:ascii="仿宋_GB2312" w:hAnsi="宋体" w:eastAsia="仿宋_GB2312" w:cs="宋体"/>
          <w:kern w:val="0"/>
          <w:sz w:val="32"/>
          <w:szCs w:val="32"/>
        </w:rPr>
        <w:t>算单位占用使用国有资产总体情况为</w:t>
      </w:r>
      <w:r>
        <w:rPr>
          <w:rFonts w:hint="eastAsia" w:ascii="仿宋_GB2312" w:hAnsi="宋体" w:eastAsia="仿宋_GB2312" w:cs="宋体"/>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350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51.29</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82.29</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82.29</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186.3</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年部门预算未安排购置车辆经费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960" w:firstLineChars="3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107.78</w:t>
      </w:r>
      <w:r>
        <w:rPr>
          <w:rFonts w:hint="eastAsia" w:ascii="仿宋_GB2312" w:hAnsi="宋体" w:eastAsia="仿宋_GB2312" w:cs="宋体"/>
          <w:kern w:val="0"/>
          <w:sz w:val="32"/>
          <w:szCs w:val="32"/>
        </w:rPr>
        <w:t>万元。具体情况见下表：</w:t>
      </w:r>
    </w:p>
    <w:p>
      <w:pPr>
        <w:spacing w:line="500" w:lineRule="exact"/>
        <w:ind w:firstLine="2249" w:firstLineChars="700"/>
        <w:jc w:val="both"/>
        <w:rPr>
          <w:rFonts w:hint="eastAsia" w:ascii="仿宋_GB2312" w:hAnsi="宋体" w:eastAsia="仿宋_GB2312" w:cs="宋体"/>
          <w:b/>
          <w:bCs/>
          <w:kern w:val="0"/>
          <w:sz w:val="32"/>
          <w:szCs w:val="32"/>
          <w:lang w:val="en-US" w:eastAsia="zh-CN"/>
        </w:rPr>
      </w:pPr>
      <w:r>
        <w:rPr>
          <w:rFonts w:hint="eastAsia" w:ascii="仿宋_GB2312" w:hAnsi="宋体" w:eastAsia="仿宋_GB2312" w:cs="宋体"/>
          <w:b/>
          <w:bCs/>
          <w:kern w:val="0"/>
          <w:sz w:val="32"/>
          <w:szCs w:val="32"/>
          <w:lang w:val="en-US" w:eastAsia="zh-CN"/>
        </w:rPr>
        <w:t>项 目 支 出 绩 效 目 标 表</w:t>
      </w:r>
    </w:p>
    <w:tbl>
      <w:tblPr>
        <w:tblStyle w:val="11"/>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Layout w:type="fixed"/>
          <w:tblCellMar>
            <w:top w:w="0" w:type="dxa"/>
            <w:left w:w="108" w:type="dxa"/>
            <w:bottom w:w="0" w:type="dxa"/>
            <w:right w:w="108" w:type="dxa"/>
          </w:tblCellMar>
        </w:tblPrEx>
        <w:trPr>
          <w:trHeight w:val="501" w:hRule="atLeast"/>
        </w:trPr>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克孜勒苏柯尔克孜自治州林草局</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eastAsia="zh-CN"/>
              </w:rPr>
              <w:t>森林植被恢复费</w:t>
            </w:r>
          </w:p>
        </w:tc>
      </w:tr>
      <w:tr>
        <w:tblPrEx>
          <w:tblLayout w:type="fixed"/>
          <w:tblCellMar>
            <w:top w:w="0" w:type="dxa"/>
            <w:left w:w="108" w:type="dxa"/>
            <w:bottom w:w="0" w:type="dxa"/>
            <w:right w:w="108" w:type="dxa"/>
          </w:tblCellMar>
        </w:tblPrEx>
        <w:trPr>
          <w:trHeight w:val="778" w:hRule="atLeast"/>
        </w:trPr>
        <w:tc>
          <w:tcPr>
            <w:tcW w:w="16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93.78万元</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93.78万元</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b w:val="0"/>
                <w:bCs w:val="0"/>
                <w:kern w:val="0"/>
                <w:sz w:val="20"/>
                <w:szCs w:val="20"/>
              </w:rPr>
              <w:t>通过天保工程二期检查验收，天保工程区的生态状况从逐步好转，生物多样性明显增加，森林生态功能明显增强；</w:t>
            </w:r>
          </w:p>
        </w:tc>
      </w:tr>
      <w:tr>
        <w:tblPrEx>
          <w:tblLayout w:type="fixed"/>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50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both"/>
              <w:rPr>
                <w:rFonts w:ascii="宋体" w:hAnsi="宋体" w:cs="宋体"/>
                <w:kern w:val="0"/>
                <w:sz w:val="18"/>
                <w:szCs w:val="18"/>
              </w:rPr>
            </w:pPr>
            <w:r>
              <w:rPr>
                <w:rFonts w:hint="eastAsia" w:ascii="宋体" w:hAnsi="宋体" w:cs="宋体"/>
                <w:kern w:val="0"/>
                <w:sz w:val="20"/>
                <w:szCs w:val="20"/>
              </w:rPr>
              <w:t>克州</w:t>
            </w:r>
            <w:r>
              <w:rPr>
                <w:rFonts w:hint="eastAsia" w:ascii="宋体" w:hAnsi="宋体" w:cs="宋体"/>
                <w:kern w:val="0"/>
                <w:sz w:val="20"/>
                <w:szCs w:val="20"/>
                <w:lang w:eastAsia="zh-CN"/>
              </w:rPr>
              <w:t>阿克陶和乌恰县植被恢复费</w:t>
            </w: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93.78万元</w:t>
            </w:r>
          </w:p>
        </w:tc>
      </w:tr>
      <w:tr>
        <w:tblPrEx>
          <w:tblLayout w:type="fixed"/>
        </w:tblPrEx>
        <w:trPr>
          <w:trHeight w:val="674"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lang w:eastAsia="zh-CN"/>
              </w:rPr>
              <w:t>异地造林</w:t>
            </w:r>
            <w:r>
              <w:rPr>
                <w:rFonts w:hint="eastAsia" w:ascii="宋体" w:hAnsi="宋体" w:cs="宋体"/>
                <w:kern w:val="0"/>
                <w:sz w:val="20"/>
                <w:szCs w:val="20"/>
              </w:rPr>
              <w:t>检查验收任务完成时限</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20"/>
                <w:szCs w:val="20"/>
                <w:lang w:val="en-US" w:eastAsia="zh-CN"/>
              </w:rPr>
              <w:t>2021年12月31日前</w:t>
            </w:r>
          </w:p>
        </w:tc>
      </w:tr>
      <w:tr>
        <w:tblPrEx>
          <w:tblLayout w:type="fixed"/>
          <w:tblCellMar>
            <w:top w:w="0" w:type="dxa"/>
            <w:left w:w="108" w:type="dxa"/>
            <w:bottom w:w="0" w:type="dxa"/>
            <w:right w:w="108" w:type="dxa"/>
          </w:tblCellMar>
        </w:tblPrEx>
        <w:trPr>
          <w:trHeight w:val="31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lang w:eastAsia="zh-CN"/>
              </w:rPr>
              <w:t>异地造林</w:t>
            </w:r>
            <w:r>
              <w:rPr>
                <w:rFonts w:hint="eastAsia" w:ascii="宋体" w:hAnsi="宋体" w:cs="宋体"/>
                <w:kern w:val="0"/>
                <w:sz w:val="20"/>
                <w:szCs w:val="20"/>
              </w:rPr>
              <w:t>工程的面积</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20"/>
                <w:szCs w:val="20"/>
                <w:lang w:val="en-US" w:eastAsia="zh-CN"/>
              </w:rPr>
              <w:t>521亩</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eastAsia="zh-CN"/>
              </w:rPr>
              <w:t>造林面积</w:t>
            </w:r>
            <w:r>
              <w:rPr>
                <w:rFonts w:hint="eastAsia" w:ascii="宋体" w:hAnsi="宋体" w:cs="宋体"/>
                <w:kern w:val="0"/>
                <w:sz w:val="18"/>
                <w:szCs w:val="18"/>
                <w:lang w:val="en-US" w:eastAsia="zh-CN"/>
              </w:rPr>
              <w:t>/亩（元）</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1800元</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lang w:eastAsia="zh-CN"/>
              </w:rPr>
              <w:t>异地造林</w:t>
            </w:r>
            <w:r>
              <w:rPr>
                <w:rFonts w:hint="eastAsia" w:ascii="宋体" w:hAnsi="宋体" w:cs="宋体"/>
                <w:kern w:val="0"/>
                <w:sz w:val="20"/>
                <w:szCs w:val="20"/>
              </w:rPr>
              <w:t>工程检查验收任务完成率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20"/>
                <w:szCs w:val="20"/>
              </w:rPr>
              <w:t>≥95%</w:t>
            </w:r>
          </w:p>
        </w:tc>
      </w:tr>
      <w:tr>
        <w:tblPrEx>
          <w:tblLayout w:type="fixed"/>
          <w:tblCellMar>
            <w:top w:w="0" w:type="dxa"/>
            <w:left w:w="108" w:type="dxa"/>
            <w:bottom w:w="0" w:type="dxa"/>
            <w:right w:w="108" w:type="dxa"/>
          </w:tblCellMar>
        </w:tblPrEx>
        <w:trPr>
          <w:trHeight w:val="32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PrEx>
        <w:trPr>
          <w:trHeight w:val="4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50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95"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61"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rPr>
              <w:t>通过检查验收使国家级公益林得到保护，恢复地表植被，林地质量得到提高</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20"/>
                <w:szCs w:val="20"/>
              </w:rPr>
              <w:t>≥95%</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9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rPr>
              <w:t>森林覆盖率的影响</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20"/>
                <w:szCs w:val="20"/>
              </w:rPr>
              <w:t>≧0.01%</w:t>
            </w:r>
          </w:p>
        </w:tc>
      </w:tr>
      <w:tr>
        <w:tblPrEx>
          <w:tblLayout w:type="fixed"/>
        </w:tblPrEx>
        <w:trPr>
          <w:trHeight w:val="36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lang w:eastAsia="zh-CN"/>
              </w:rPr>
              <w:t>国家级公益林实施单位管护</w:t>
            </w:r>
            <w:r>
              <w:rPr>
                <w:rFonts w:hint="eastAsia" w:ascii="宋体" w:hAnsi="宋体" w:cs="宋体"/>
                <w:kern w:val="0"/>
                <w:sz w:val="20"/>
                <w:szCs w:val="20"/>
              </w:rPr>
              <w:t>人员满意度</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20"/>
                <w:szCs w:val="20"/>
              </w:rPr>
              <w:t>≥95%</w:t>
            </w:r>
          </w:p>
        </w:tc>
      </w:tr>
      <w:tr>
        <w:tblPrEx>
          <w:tblLayout w:type="fixed"/>
          <w:tblCellMar>
            <w:top w:w="0" w:type="dxa"/>
            <w:left w:w="108" w:type="dxa"/>
            <w:bottom w:w="0" w:type="dxa"/>
            <w:right w:w="108" w:type="dxa"/>
          </w:tblCellMar>
        </w:tblPrEx>
        <w:trPr>
          <w:trHeight w:val="397"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spacing w:line="500" w:lineRule="exact"/>
        <w:ind w:firstLine="2249" w:firstLineChars="700"/>
        <w:jc w:val="both"/>
        <w:rPr>
          <w:rFonts w:hint="eastAsia" w:ascii="仿宋_GB2312" w:hAnsi="宋体" w:eastAsia="仿宋_GB2312" w:cs="宋体"/>
          <w:b/>
          <w:bCs/>
          <w:kern w:val="0"/>
          <w:sz w:val="32"/>
          <w:szCs w:val="32"/>
          <w:lang w:val="en-US" w:eastAsia="zh-CN"/>
        </w:rPr>
      </w:pPr>
    </w:p>
    <w:p>
      <w:pPr>
        <w:spacing w:line="500" w:lineRule="exact"/>
        <w:ind w:firstLine="2249" w:firstLineChars="700"/>
        <w:jc w:val="both"/>
        <w:rPr>
          <w:rFonts w:hint="eastAsia" w:ascii="仿宋_GB2312" w:hAnsi="宋体" w:eastAsia="仿宋_GB2312" w:cs="宋体"/>
          <w:b/>
          <w:bCs/>
          <w:kern w:val="0"/>
          <w:sz w:val="32"/>
          <w:szCs w:val="32"/>
          <w:lang w:val="en-US" w:eastAsia="zh-CN"/>
        </w:rPr>
      </w:pPr>
      <w:r>
        <w:rPr>
          <w:rFonts w:hint="eastAsia" w:ascii="仿宋_GB2312" w:hAnsi="宋体" w:eastAsia="仿宋_GB2312" w:cs="宋体"/>
          <w:b/>
          <w:bCs/>
          <w:kern w:val="0"/>
          <w:sz w:val="32"/>
          <w:szCs w:val="32"/>
          <w:lang w:val="en-US" w:eastAsia="zh-CN"/>
        </w:rPr>
        <w:t>项 目 支 出 绩 效 目 标 表</w:t>
      </w:r>
    </w:p>
    <w:tbl>
      <w:tblPr>
        <w:tblStyle w:val="11"/>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Layout w:type="fixed"/>
          <w:tblCellMar>
            <w:top w:w="0" w:type="dxa"/>
            <w:left w:w="108" w:type="dxa"/>
            <w:bottom w:w="0" w:type="dxa"/>
            <w:right w:w="108" w:type="dxa"/>
          </w:tblCellMar>
        </w:tblPrEx>
        <w:trPr>
          <w:trHeight w:val="468" w:hRule="atLeast"/>
        </w:trPr>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克孜勒苏柯尔克孜自治州林草局</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群众工作经费</w:t>
            </w:r>
          </w:p>
        </w:tc>
      </w:tr>
      <w:tr>
        <w:tblPrEx>
          <w:tblLayout w:type="fixed"/>
          <w:tblCellMar>
            <w:top w:w="0" w:type="dxa"/>
            <w:left w:w="108" w:type="dxa"/>
            <w:bottom w:w="0" w:type="dxa"/>
            <w:right w:w="108" w:type="dxa"/>
          </w:tblCellMar>
        </w:tblPrEx>
        <w:trPr>
          <w:trHeight w:val="1005" w:hRule="atLeast"/>
        </w:trPr>
        <w:tc>
          <w:tcPr>
            <w:tcW w:w="16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14万元</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14万元</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因</w:t>
            </w:r>
            <w:r>
              <w:rPr>
                <w:rFonts w:hint="eastAsia" w:ascii="宋体" w:hAnsi="宋体" w:cs="宋体"/>
                <w:kern w:val="0"/>
                <w:sz w:val="18"/>
                <w:szCs w:val="18"/>
                <w:lang w:eastAsia="zh-CN"/>
              </w:rPr>
              <w:t>联建</w:t>
            </w:r>
            <w:r>
              <w:rPr>
                <w:rFonts w:hint="eastAsia" w:ascii="宋体" w:hAnsi="宋体" w:cs="宋体"/>
                <w:kern w:val="0"/>
                <w:sz w:val="18"/>
                <w:szCs w:val="18"/>
              </w:rPr>
              <w:t>工作需要而产生的经费主要日常工作产生办公用品、访贫问苦、为群众送服务、送温暖、开展各项活动。</w:t>
            </w:r>
          </w:p>
        </w:tc>
      </w:tr>
      <w:tr>
        <w:tblPrEx>
          <w:tblLayout w:type="fixed"/>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508"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20"/>
                <w:szCs w:val="20"/>
                <w:lang w:eastAsia="zh-CN"/>
              </w:rPr>
            </w:pPr>
            <w:r>
              <w:rPr>
                <w:rFonts w:hint="eastAsia" w:ascii="宋体" w:hAnsi="宋体" w:cs="宋体"/>
                <w:kern w:val="0"/>
                <w:sz w:val="20"/>
                <w:szCs w:val="20"/>
                <w:lang w:val="en-US" w:eastAsia="zh-CN"/>
              </w:rPr>
              <w:t>用于办公费等开支</w:t>
            </w:r>
            <w:r>
              <w:rPr>
                <w:rFonts w:hint="eastAsia" w:ascii="宋体" w:hAnsi="宋体" w:cs="宋体"/>
                <w:kern w:val="0"/>
                <w:sz w:val="20"/>
                <w:szCs w:val="20"/>
                <w:lang w:eastAsia="zh-CN"/>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4万元</w:t>
            </w:r>
            <w:r>
              <w:rPr>
                <w:rFonts w:hint="eastAsia" w:ascii="宋体" w:hAnsi="宋体" w:cs="宋体"/>
                <w:kern w:val="0"/>
                <w:sz w:val="18"/>
                <w:szCs w:val="18"/>
              </w:rPr>
              <w:t>　</w:t>
            </w:r>
          </w:p>
        </w:tc>
      </w:tr>
      <w:tr>
        <w:tblPrEx>
          <w:tblLayout w:type="fixed"/>
        </w:tblPrEx>
        <w:trPr>
          <w:trHeight w:val="578" w:hRule="atLeast"/>
        </w:trPr>
        <w:tc>
          <w:tcPr>
            <w:tcW w:w="1664"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1508"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20"/>
                <w:szCs w:val="20"/>
                <w:lang w:val="en-US" w:eastAsia="zh-CN"/>
              </w:rPr>
            </w:pPr>
            <w:r>
              <w:rPr>
                <w:rFonts w:hint="eastAsia" w:ascii="宋体" w:hAnsi="宋体" w:cs="宋体"/>
                <w:kern w:val="0"/>
                <w:sz w:val="20"/>
                <w:szCs w:val="20"/>
                <w:lang w:val="en-US" w:eastAsia="zh-CN"/>
              </w:rPr>
              <w:t>开展各类宣传、节日活动</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6万元</w:t>
            </w:r>
          </w:p>
        </w:tc>
      </w:tr>
      <w:tr>
        <w:tblPrEx>
          <w:tblLayout w:type="fixed"/>
          <w:tblCellMar>
            <w:top w:w="0" w:type="dxa"/>
            <w:left w:w="108" w:type="dxa"/>
            <w:bottom w:w="0" w:type="dxa"/>
            <w:right w:w="108" w:type="dxa"/>
          </w:tblCellMar>
        </w:tblPrEx>
        <w:trPr>
          <w:trHeight w:val="578" w:hRule="atLeast"/>
        </w:trPr>
        <w:tc>
          <w:tcPr>
            <w:tcW w:w="1664"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1508"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20"/>
                <w:szCs w:val="20"/>
                <w:lang w:val="en-US" w:eastAsia="zh-CN"/>
              </w:rPr>
            </w:pPr>
            <w:r>
              <w:rPr>
                <w:rFonts w:hint="eastAsia" w:ascii="宋体" w:hAnsi="宋体" w:cs="宋体"/>
                <w:kern w:val="0"/>
                <w:sz w:val="20"/>
                <w:szCs w:val="20"/>
                <w:lang w:val="en-US" w:eastAsia="zh-CN"/>
              </w:rPr>
              <w:t>购买办公用品慰问品等</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4万元</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20"/>
                <w:szCs w:val="20"/>
                <w:lang w:eastAsia="zh-CN"/>
              </w:rPr>
            </w:pPr>
            <w:r>
              <w:rPr>
                <w:rFonts w:hint="eastAsia" w:ascii="宋体" w:hAnsi="宋体" w:cs="宋体"/>
                <w:kern w:val="0"/>
                <w:sz w:val="20"/>
                <w:szCs w:val="20"/>
                <w:lang w:eastAsia="zh-CN"/>
              </w:rPr>
              <w:t>完成时限</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2021年1月-12月</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20"/>
                <w:szCs w:val="20"/>
                <w:lang w:eastAsia="zh-CN"/>
              </w:rPr>
            </w:pPr>
            <w:r>
              <w:rPr>
                <w:rFonts w:hint="eastAsia" w:ascii="宋体" w:hAnsi="宋体" w:cs="宋体"/>
                <w:kern w:val="0"/>
                <w:sz w:val="20"/>
                <w:szCs w:val="20"/>
                <w:lang w:eastAsia="zh-CN"/>
              </w:rPr>
              <w:t>帮助他们解决生产生活中的实际困难</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95%</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20"/>
                <w:szCs w:val="20"/>
                <w:lang w:eastAsia="zh-CN"/>
              </w:rPr>
            </w:pPr>
            <w:r>
              <w:rPr>
                <w:rFonts w:hint="eastAsia" w:ascii="宋体" w:hAnsi="宋体" w:cs="宋体"/>
                <w:kern w:val="0"/>
                <w:sz w:val="20"/>
                <w:szCs w:val="20"/>
                <w:lang w:eastAsia="zh-CN"/>
              </w:rPr>
              <w:t>到2021年1</w:t>
            </w:r>
            <w:r>
              <w:rPr>
                <w:rFonts w:hint="eastAsia" w:ascii="宋体" w:hAnsi="宋体" w:cs="宋体"/>
                <w:kern w:val="0"/>
                <w:sz w:val="20"/>
                <w:szCs w:val="20"/>
                <w:lang w:val="en-US" w:eastAsia="zh-CN"/>
              </w:rPr>
              <w:t>2</w:t>
            </w:r>
            <w:r>
              <w:rPr>
                <w:rFonts w:hint="eastAsia" w:ascii="宋体" w:hAnsi="宋体" w:cs="宋体"/>
                <w:kern w:val="0"/>
                <w:sz w:val="20"/>
                <w:szCs w:val="20"/>
                <w:lang w:eastAsia="zh-CN"/>
              </w:rPr>
              <w:t>月项目资金使用1</w:t>
            </w:r>
            <w:r>
              <w:rPr>
                <w:rFonts w:hint="eastAsia" w:ascii="宋体" w:hAnsi="宋体" w:cs="宋体"/>
                <w:kern w:val="0"/>
                <w:sz w:val="20"/>
                <w:szCs w:val="20"/>
                <w:lang w:val="en-US" w:eastAsia="zh-CN"/>
              </w:rPr>
              <w:t>4</w:t>
            </w:r>
            <w:r>
              <w:rPr>
                <w:rFonts w:hint="eastAsia" w:ascii="宋体" w:hAnsi="宋体" w:cs="宋体"/>
                <w:kern w:val="0"/>
                <w:sz w:val="20"/>
                <w:szCs w:val="20"/>
                <w:lang w:eastAsia="zh-CN"/>
              </w:rPr>
              <w:t>万元</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95%</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6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lang w:eastAsia="zh-CN"/>
              </w:rPr>
              <w:t>解决群众生产生活困难、举办各类活动</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95%</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6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lang w:eastAsia="zh-CN"/>
              </w:rPr>
              <w:t>通过开展群众工作解决困难</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20"/>
                <w:szCs w:val="20"/>
              </w:rPr>
              <w:t>≥</w:t>
            </w:r>
            <w:r>
              <w:rPr>
                <w:rFonts w:hint="eastAsia" w:ascii="宋体" w:hAnsi="宋体" w:cs="宋体"/>
                <w:kern w:val="0"/>
                <w:sz w:val="20"/>
                <w:szCs w:val="20"/>
                <w:lang w:val="en-US" w:eastAsia="zh-CN"/>
              </w:rPr>
              <w:t>75</w:t>
            </w:r>
            <w:r>
              <w:rPr>
                <w:rFonts w:hint="eastAsia" w:ascii="宋体" w:hAnsi="宋体" w:cs="宋体"/>
                <w:kern w:val="0"/>
                <w:sz w:val="20"/>
                <w:szCs w:val="20"/>
              </w:rPr>
              <w:t>%</w:t>
            </w:r>
          </w:p>
        </w:tc>
      </w:tr>
      <w:tr>
        <w:tblPrEx>
          <w:tblLayout w:type="fixed"/>
          <w:tblCellMar>
            <w:top w:w="0" w:type="dxa"/>
            <w:left w:w="108" w:type="dxa"/>
            <w:bottom w:w="0" w:type="dxa"/>
            <w:right w:w="108" w:type="dxa"/>
          </w:tblCellMar>
        </w:tblPrEx>
        <w:trPr>
          <w:trHeight w:val="3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20"/>
                <w:szCs w:val="20"/>
                <w:lang w:eastAsia="zh-CN"/>
              </w:rPr>
              <w:t>帮助群众解决生产生活困难</w:t>
            </w: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2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受益人员满意度</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95%</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97"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spacing w:line="500" w:lineRule="exact"/>
        <w:ind w:firstLine="2249" w:firstLineChars="700"/>
        <w:jc w:val="both"/>
        <w:rPr>
          <w:rFonts w:hint="eastAsia" w:ascii="仿宋_GB2312" w:hAnsi="宋体" w:eastAsia="仿宋_GB2312" w:cs="宋体"/>
          <w:b/>
          <w:bCs/>
          <w:kern w:val="0"/>
          <w:sz w:val="32"/>
          <w:szCs w:val="32"/>
          <w:lang w:val="en-US" w:eastAsia="zh-CN"/>
        </w:r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1280" w:firstLineChars="4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克州林业和草原局无其他需说明的事项。</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hint="eastAsia"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七</w:t>
      </w:r>
      <w:r>
        <w:rPr>
          <w:rFonts w:hint="eastAsia" w:ascii="黑体" w:hAnsi="黑体" w:eastAsia="黑体"/>
          <w:sz w:val="32"/>
          <w:szCs w:val="32"/>
        </w:rPr>
        <w:t>、机关运行经费：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克州林草局</w:t>
      </w:r>
    </w:p>
    <w:p>
      <w:pPr>
        <w:widowControl/>
        <w:spacing w:line="520" w:lineRule="exact"/>
        <w:jc w:val="left"/>
        <w:rPr>
          <w:rFonts w:ascii="仿宋_GB2312" w:hAnsi="宋体" w:eastAsia="仿宋_GB2312" w:cs="宋体"/>
          <w:b w:val="0"/>
          <w:bCs w:val="0"/>
          <w:color w:val="auto"/>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b w:val="0"/>
          <w:bCs w:val="0"/>
          <w:color w:val="auto"/>
          <w:kern w:val="0"/>
          <w:sz w:val="32"/>
          <w:szCs w:val="32"/>
          <w:lang w:val="en-US" w:eastAsia="zh-CN"/>
        </w:rPr>
        <w:t xml:space="preserve">     2021</w:t>
      </w:r>
      <w:r>
        <w:rPr>
          <w:rFonts w:ascii="仿宋_GB2312" w:hAnsi="宋体" w:eastAsia="仿宋_GB2312" w:cs="宋体"/>
          <w:b w:val="0"/>
          <w:bCs w:val="0"/>
          <w:color w:val="auto"/>
          <w:kern w:val="0"/>
          <w:sz w:val="32"/>
          <w:szCs w:val="32"/>
        </w:rPr>
        <w:t>年</w:t>
      </w:r>
      <w:r>
        <w:rPr>
          <w:rFonts w:hint="eastAsia" w:ascii="仿宋_GB2312" w:hAnsi="宋体" w:eastAsia="仿宋_GB2312" w:cs="宋体"/>
          <w:b w:val="0"/>
          <w:bCs w:val="0"/>
          <w:color w:val="auto"/>
          <w:kern w:val="0"/>
          <w:sz w:val="32"/>
          <w:szCs w:val="32"/>
          <w:lang w:val="en-US" w:eastAsia="zh-CN"/>
        </w:rPr>
        <w:t>2</w:t>
      </w:r>
      <w:r>
        <w:rPr>
          <w:rFonts w:ascii="仿宋_GB2312" w:hAnsi="宋体" w:eastAsia="仿宋_GB2312" w:cs="宋体"/>
          <w:b w:val="0"/>
          <w:bCs w:val="0"/>
          <w:color w:val="auto"/>
          <w:kern w:val="0"/>
          <w:sz w:val="32"/>
          <w:szCs w:val="32"/>
        </w:rPr>
        <w:t>月</w:t>
      </w:r>
      <w:r>
        <w:rPr>
          <w:rFonts w:hint="eastAsia" w:ascii="仿宋_GB2312" w:hAnsi="宋体" w:eastAsia="仿宋_GB2312" w:cs="宋体"/>
          <w:b w:val="0"/>
          <w:bCs w:val="0"/>
          <w:color w:val="auto"/>
          <w:kern w:val="0"/>
          <w:sz w:val="32"/>
          <w:szCs w:val="32"/>
          <w:lang w:val="en-US" w:eastAsia="zh-CN"/>
        </w:rPr>
        <w:t>5</w:t>
      </w:r>
      <w:r>
        <w:rPr>
          <w:rFonts w:ascii="仿宋_GB2312" w:hAnsi="宋体" w:eastAsia="仿宋_GB2312" w:cs="宋体"/>
          <w:b w:val="0"/>
          <w:bCs w:val="0"/>
          <w:color w:val="auto"/>
          <w:kern w:val="0"/>
          <w:sz w:val="32"/>
          <w:szCs w:val="32"/>
        </w:rPr>
        <w:t>日</w:t>
      </w:r>
    </w:p>
    <w:p>
      <w:pPr>
        <w:rPr>
          <w:b w:val="0"/>
          <w:bCs w:val="0"/>
          <w:color w:val="auto"/>
        </w:rPr>
      </w:pPr>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altName w:val="微软雅黑"/>
    <w:panose1 w:val="02010609060101010101"/>
    <w:charset w:val="86"/>
    <w:family w:val="roma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1A0F3C52" w:usb2="00000010"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70D5CA"/>
    <w:multiLevelType w:val="singleLevel"/>
    <w:tmpl w:val="CE70D5CA"/>
    <w:lvl w:ilvl="0" w:tentative="0">
      <w:start w:val="1"/>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270507"/>
    <w:rsid w:val="00324290"/>
    <w:rsid w:val="00387451"/>
    <w:rsid w:val="00432267"/>
    <w:rsid w:val="00481CD5"/>
    <w:rsid w:val="005C42E0"/>
    <w:rsid w:val="006C0DFD"/>
    <w:rsid w:val="008160EE"/>
    <w:rsid w:val="009D0AA2"/>
    <w:rsid w:val="00B22D8A"/>
    <w:rsid w:val="00D06D6F"/>
    <w:rsid w:val="00E469CA"/>
    <w:rsid w:val="00E7167C"/>
    <w:rsid w:val="01641B6A"/>
    <w:rsid w:val="016D167E"/>
    <w:rsid w:val="033D7D22"/>
    <w:rsid w:val="0364112C"/>
    <w:rsid w:val="03673470"/>
    <w:rsid w:val="039448E5"/>
    <w:rsid w:val="04673730"/>
    <w:rsid w:val="06520440"/>
    <w:rsid w:val="06F62466"/>
    <w:rsid w:val="07125E51"/>
    <w:rsid w:val="08F9164D"/>
    <w:rsid w:val="09362CB8"/>
    <w:rsid w:val="0AEB6558"/>
    <w:rsid w:val="0AF74734"/>
    <w:rsid w:val="0D9E3A2C"/>
    <w:rsid w:val="0DD067F1"/>
    <w:rsid w:val="0DF45DC9"/>
    <w:rsid w:val="0EE53E52"/>
    <w:rsid w:val="0F085BC3"/>
    <w:rsid w:val="0F0B0C60"/>
    <w:rsid w:val="10A83D19"/>
    <w:rsid w:val="11C94F87"/>
    <w:rsid w:val="11CA7A1A"/>
    <w:rsid w:val="14BC7C12"/>
    <w:rsid w:val="15A4749C"/>
    <w:rsid w:val="16E35045"/>
    <w:rsid w:val="16FB7436"/>
    <w:rsid w:val="17956412"/>
    <w:rsid w:val="1819272A"/>
    <w:rsid w:val="199C142E"/>
    <w:rsid w:val="1B697EB4"/>
    <w:rsid w:val="1B8E3C03"/>
    <w:rsid w:val="1CF2145D"/>
    <w:rsid w:val="1D3A7205"/>
    <w:rsid w:val="1E464C64"/>
    <w:rsid w:val="1E5C0CD7"/>
    <w:rsid w:val="20806B21"/>
    <w:rsid w:val="20A03F93"/>
    <w:rsid w:val="23893979"/>
    <w:rsid w:val="2429421D"/>
    <w:rsid w:val="245533C2"/>
    <w:rsid w:val="24744E34"/>
    <w:rsid w:val="25F66DC7"/>
    <w:rsid w:val="269475AF"/>
    <w:rsid w:val="26D3427A"/>
    <w:rsid w:val="26F50A43"/>
    <w:rsid w:val="28FE516D"/>
    <w:rsid w:val="29905E51"/>
    <w:rsid w:val="2BF52DCA"/>
    <w:rsid w:val="2CD66FCC"/>
    <w:rsid w:val="2CE95BB8"/>
    <w:rsid w:val="2D07431E"/>
    <w:rsid w:val="2D9775DE"/>
    <w:rsid w:val="2DD307F1"/>
    <w:rsid w:val="2EA3017F"/>
    <w:rsid w:val="2EAA7E13"/>
    <w:rsid w:val="2EC70AF4"/>
    <w:rsid w:val="309377CB"/>
    <w:rsid w:val="328251AB"/>
    <w:rsid w:val="35062432"/>
    <w:rsid w:val="3953403D"/>
    <w:rsid w:val="399F7324"/>
    <w:rsid w:val="39BA4101"/>
    <w:rsid w:val="3A25472B"/>
    <w:rsid w:val="3A98240E"/>
    <w:rsid w:val="3C120170"/>
    <w:rsid w:val="3CCD79C3"/>
    <w:rsid w:val="426473DD"/>
    <w:rsid w:val="43E42707"/>
    <w:rsid w:val="43EB3217"/>
    <w:rsid w:val="43ED0132"/>
    <w:rsid w:val="44947B3B"/>
    <w:rsid w:val="45874CC2"/>
    <w:rsid w:val="46CC4EB1"/>
    <w:rsid w:val="478C495B"/>
    <w:rsid w:val="48D027E4"/>
    <w:rsid w:val="497829C2"/>
    <w:rsid w:val="4B7C7D6E"/>
    <w:rsid w:val="4CFA3412"/>
    <w:rsid w:val="4F1D2B0A"/>
    <w:rsid w:val="4F1E3375"/>
    <w:rsid w:val="4F88300C"/>
    <w:rsid w:val="4FB82C8D"/>
    <w:rsid w:val="4FC64EB9"/>
    <w:rsid w:val="50820599"/>
    <w:rsid w:val="50F13BB0"/>
    <w:rsid w:val="516F2CCC"/>
    <w:rsid w:val="51B721A5"/>
    <w:rsid w:val="52CE7E31"/>
    <w:rsid w:val="530C0E03"/>
    <w:rsid w:val="53F0796A"/>
    <w:rsid w:val="549C1382"/>
    <w:rsid w:val="54CD6FD6"/>
    <w:rsid w:val="54E6787A"/>
    <w:rsid w:val="54FC64C5"/>
    <w:rsid w:val="553D676E"/>
    <w:rsid w:val="57DA5ECB"/>
    <w:rsid w:val="591E6701"/>
    <w:rsid w:val="593B25F9"/>
    <w:rsid w:val="59C17B70"/>
    <w:rsid w:val="5A05066B"/>
    <w:rsid w:val="5B616201"/>
    <w:rsid w:val="5B8073CE"/>
    <w:rsid w:val="5BE3599C"/>
    <w:rsid w:val="5BF15F33"/>
    <w:rsid w:val="5CAF3049"/>
    <w:rsid w:val="5CBA5CAA"/>
    <w:rsid w:val="5E325486"/>
    <w:rsid w:val="5E6F5A5E"/>
    <w:rsid w:val="5EB9699D"/>
    <w:rsid w:val="5F3B1BAC"/>
    <w:rsid w:val="5FC91ED7"/>
    <w:rsid w:val="5FD25A39"/>
    <w:rsid w:val="60AE3042"/>
    <w:rsid w:val="613F0C5D"/>
    <w:rsid w:val="62400397"/>
    <w:rsid w:val="62965729"/>
    <w:rsid w:val="62FA2E34"/>
    <w:rsid w:val="631A58D3"/>
    <w:rsid w:val="64D848CB"/>
    <w:rsid w:val="66067953"/>
    <w:rsid w:val="67843446"/>
    <w:rsid w:val="680E0BE3"/>
    <w:rsid w:val="69C41F23"/>
    <w:rsid w:val="6B137DBB"/>
    <w:rsid w:val="6B413614"/>
    <w:rsid w:val="6BEB6E68"/>
    <w:rsid w:val="6DCD46DE"/>
    <w:rsid w:val="6DEB6136"/>
    <w:rsid w:val="6E175543"/>
    <w:rsid w:val="6F163651"/>
    <w:rsid w:val="6F1850DA"/>
    <w:rsid w:val="71952808"/>
    <w:rsid w:val="72845497"/>
    <w:rsid w:val="72C067E8"/>
    <w:rsid w:val="737A58AA"/>
    <w:rsid w:val="7392331D"/>
    <w:rsid w:val="73A449FF"/>
    <w:rsid w:val="7450620D"/>
    <w:rsid w:val="750C73AB"/>
    <w:rsid w:val="75C14311"/>
    <w:rsid w:val="767E2261"/>
    <w:rsid w:val="777575CD"/>
    <w:rsid w:val="787D2A87"/>
    <w:rsid w:val="7BC6703A"/>
    <w:rsid w:val="7E37395C"/>
    <w:rsid w:val="7F290EA9"/>
    <w:rsid w:val="7FE54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ind w:firstLine="200" w:firstLineChars="200"/>
      <w:outlineLvl w:val="2"/>
    </w:pPr>
    <w:rPr>
      <w:rFonts w:ascii="仿宋" w:hAnsi="仿宋" w:cs="宋体"/>
      <w:color w:val="FF0000"/>
      <w:sz w:val="32"/>
      <w:szCs w:val="32"/>
    </w:rPr>
  </w:style>
  <w:style w:type="character" w:default="1" w:styleId="8">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9"/>
    <w:semiHidden/>
    <w:qFormat/>
    <w:uiPriority w:val="0"/>
    <w:rPr>
      <w:sz w:val="18"/>
      <w:szCs w:val="18"/>
      <w:lang w:val="zh-CN" w:eastAsia="zh-CN"/>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21"/>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9">
    <w:name w:val="Strong"/>
    <w:qFormat/>
    <w:uiPriority w:val="0"/>
    <w:rPr>
      <w:rFonts w:cs="Times New Roman"/>
      <w:b/>
      <w:bCs/>
    </w:rPr>
  </w:style>
  <w:style w:type="character" w:styleId="10">
    <w:name w:val="page number"/>
    <w:basedOn w:val="8"/>
    <w:qFormat/>
    <w:uiPriority w:val="0"/>
  </w:style>
  <w:style w:type="table" w:styleId="12">
    <w:name w:val="Table Grid"/>
    <w:basedOn w:val="11"/>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页眉 字符"/>
    <w:basedOn w:val="8"/>
    <w:link w:val="5"/>
    <w:qFormat/>
    <w:uiPriority w:val="99"/>
    <w:rPr>
      <w:sz w:val="18"/>
      <w:szCs w:val="18"/>
    </w:rPr>
  </w:style>
  <w:style w:type="character" w:customStyle="1" w:styleId="14">
    <w:name w:val="页脚 字符"/>
    <w:basedOn w:val="8"/>
    <w:link w:val="4"/>
    <w:qFormat/>
    <w:uiPriority w:val="99"/>
    <w:rPr>
      <w:sz w:val="18"/>
      <w:szCs w:val="18"/>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6">
    <w:name w:val="批注框文本 字符"/>
    <w:basedOn w:val="8"/>
    <w:semiHidden/>
    <w:qFormat/>
    <w:uiPriority w:val="99"/>
    <w:rPr>
      <w:rFonts w:ascii="Times New Roman" w:hAnsi="Times New Roman" w:eastAsia="宋体" w:cs="Times New Roman"/>
      <w:sz w:val="18"/>
      <w:szCs w:val="18"/>
    </w:rPr>
  </w:style>
  <w:style w:type="character" w:customStyle="1" w:styleId="17">
    <w:name w:val="正文文本缩进 3 字符"/>
    <w:basedOn w:val="8"/>
    <w:semiHidden/>
    <w:qFormat/>
    <w:uiPriority w:val="99"/>
    <w:rPr>
      <w:rFonts w:ascii="Times New Roman" w:hAnsi="Times New Roman" w:eastAsia="宋体" w:cs="Times New Roman"/>
      <w:sz w:val="16"/>
      <w:szCs w:val="16"/>
    </w:rPr>
  </w:style>
  <w:style w:type="character" w:customStyle="1" w:styleId="18">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9">
    <w:name w:val="批注框文本 字符1"/>
    <w:link w:val="3"/>
    <w:semiHidden/>
    <w:qFormat/>
    <w:uiPriority w:val="0"/>
    <w:rPr>
      <w:rFonts w:ascii="Times New Roman" w:hAnsi="Times New Roman" w:eastAsia="宋体" w:cs="Times New Roman"/>
      <w:sz w:val="18"/>
      <w:szCs w:val="18"/>
      <w:lang w:val="zh-CN" w:eastAsia="zh-CN"/>
    </w:rPr>
  </w:style>
  <w:style w:type="character" w:customStyle="1" w:styleId="20">
    <w:name w:val="页眉 字符1"/>
    <w:qFormat/>
    <w:uiPriority w:val="0"/>
    <w:rPr>
      <w:rFonts w:ascii="Times New Roman" w:hAnsi="Times New Roman" w:eastAsia="宋体" w:cs="Times New Roman"/>
      <w:sz w:val="18"/>
      <w:szCs w:val="18"/>
      <w:lang w:val="zh-CN" w:eastAsia="zh-CN"/>
    </w:rPr>
  </w:style>
  <w:style w:type="character" w:customStyle="1" w:styleId="21">
    <w:name w:val="正文文本缩进 3 字符1"/>
    <w:link w:val="6"/>
    <w:qFormat/>
    <w:uiPriority w:val="0"/>
    <w:rPr>
      <w:rFonts w:ascii="Times New Roman" w:hAnsi="Times New Roman" w:eastAsia="仿宋_GB2312" w:cs="Times New Roman"/>
      <w:sz w:val="32"/>
      <w:szCs w:val="24"/>
      <w:lang w:val="zh-CN" w:eastAsia="zh-CN"/>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普通(网站)1"/>
    <w:basedOn w:val="1"/>
    <w:qFormat/>
    <w:uiPriority w:val="0"/>
    <w:rPr>
      <w:rFonts w:ascii="Calibri" w:hAnsi="Calibri" w:cs="黑体"/>
      <w:sz w:val="24"/>
    </w:rPr>
  </w:style>
  <w:style w:type="paragraph" w:customStyle="1" w:styleId="24">
    <w:name w:val="普通(网站)2"/>
    <w:basedOn w:val="1"/>
    <w:qFormat/>
    <w:uiPriority w:val="0"/>
    <w:rPr>
      <w:rFonts w:ascii="Calibri" w:hAnsi="Calibri" w:cs="黑体"/>
      <w:sz w:val="24"/>
    </w:rPr>
  </w:style>
  <w:style w:type="paragraph" w:customStyle="1" w:styleId="25">
    <w:name w:val="普通(网站)3"/>
    <w:basedOn w:val="1"/>
    <w:qFormat/>
    <w:uiPriority w:val="0"/>
    <w:rPr>
      <w:rFonts w:ascii="Calibri" w:hAnsi="Calibri" w:cs="黑体"/>
      <w:sz w:val="24"/>
    </w:rPr>
  </w:style>
  <w:style w:type="character" w:customStyle="1" w:styleId="26">
    <w:name w:val="font91"/>
    <w:basedOn w:val="8"/>
    <w:qFormat/>
    <w:uiPriority w:val="0"/>
    <w:rPr>
      <w:rFonts w:hint="eastAsia" w:ascii="宋体" w:hAnsi="宋体" w:eastAsia="宋体" w:cs="宋体"/>
      <w:color w:val="000000"/>
      <w:sz w:val="20"/>
      <w:szCs w:val="20"/>
      <w:u w:val="none"/>
    </w:rPr>
  </w:style>
  <w:style w:type="character" w:customStyle="1" w:styleId="27">
    <w:name w:val="font112"/>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7499</Words>
  <Characters>8603</Characters>
  <Lines>74</Lines>
  <Paragraphs>21</Paragraphs>
  <TotalTime>7</TotalTime>
  <ScaleCrop>false</ScaleCrop>
  <LinksUpToDate>false</LinksUpToDate>
  <CharactersWithSpaces>9848</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lenovo</cp:lastModifiedBy>
  <cp:lastPrinted>2021-02-03T03:39:00Z</cp:lastPrinted>
  <dcterms:modified xsi:type="dcterms:W3CDTF">2021-03-01T10:57:43Z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