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社会主义学院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详细介绍本部门（单位）工作职能。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从预算单位构成看，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的预算包括：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本级预算及下属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家预算单位在内的汇总预算。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室，分别是：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办公室、教研室、总务科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人，其中：在职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pStyle w:val="2"/>
        <w:ind w:firstLine="640"/>
      </w:pPr>
    </w:p>
    <w:p/>
    <w:p>
      <w:pPr>
        <w:pStyle w:val="2"/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克州社会主义学院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单位：万元</w:t>
      </w:r>
    </w:p>
    <w:tbl>
      <w:tblPr>
        <w:tblStyle w:val="11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  <w:t>366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  <w:t>277.7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299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  <w:t>21.3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  <w:t>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  <w:t>366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克州社会主义学院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Style w:val="11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331"/>
        <w:gridCol w:w="331"/>
        <w:gridCol w:w="1295"/>
        <w:gridCol w:w="992"/>
        <w:gridCol w:w="851"/>
        <w:gridCol w:w="850"/>
        <w:gridCol w:w="709"/>
        <w:gridCol w:w="709"/>
        <w:gridCol w:w="567"/>
        <w:gridCol w:w="567"/>
        <w:gridCol w:w="567"/>
        <w:gridCol w:w="567"/>
        <w:gridCol w:w="425"/>
        <w:gridCol w:w="709"/>
        <w:gridCol w:w="8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0" w:rightChars="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（统战事务）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277.7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277.7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  <w:t>205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  <w:t>08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  <w:t>08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21.3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21.3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0" w:rightChars="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（统战事务）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其他统战事务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366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pStyle w:val="2"/>
      </w:pPr>
    </w:p>
    <w:p>
      <w:pPr>
        <w:widowControl/>
        <w:spacing w:line="280" w:lineRule="exact"/>
        <w:jc w:val="left"/>
        <w:outlineLvl w:val="1"/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                                            单位：万元</w:t>
      </w:r>
    </w:p>
    <w:tbl>
      <w:tblPr>
        <w:tblStyle w:val="11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行政运行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（统战事务）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277.7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277.7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宋体" w:hAnsi="宋体" w:cs="宋体"/>
                <w:bCs/>
                <w:color w:val="000000"/>
                <w:kern w:val="0"/>
                <w:sz w:val="16"/>
                <w:szCs w:val="16"/>
                <w:lang w:val="en-US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宋体" w:hAnsi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宋体" w:hAnsi="宋体" w:cs="宋体"/>
                <w:bCs/>
                <w:color w:val="000000"/>
                <w:kern w:val="0"/>
                <w:sz w:val="16"/>
                <w:szCs w:val="16"/>
                <w:lang w:val="en-US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21.3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Cs/>
                <w:color w:val="000000"/>
                <w:kern w:val="0"/>
                <w:sz w:val="22"/>
                <w:szCs w:val="22"/>
                <w:lang w:val="en-US"/>
              </w:rPr>
              <w:t>21.3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行政运行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（统战事务）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　其他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统战事务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  <w:t>366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  <w:t>50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                                                         单位：万元</w:t>
      </w:r>
    </w:p>
    <w:tbl>
      <w:tblPr>
        <w:tblStyle w:val="11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277.7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277.7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/>
              </w:rPr>
              <w:t>299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21.3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21.3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299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299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299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1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行政运行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（统战事务）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277.7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/>
              </w:rPr>
              <w:t>277.7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1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52.79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  <w:t>499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其他维修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80.04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  <w:t>80.04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277.7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139.36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138.34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1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　其他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统战事务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                                             单位：万元</w:t>
      </w:r>
    </w:p>
    <w:tbl>
      <w:tblPr>
        <w:tblStyle w:val="11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                                            单位：万元</w:t>
      </w:r>
    </w:p>
    <w:tbl>
      <w:tblPr>
        <w:tblStyle w:val="11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无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年所有收入和支出均纳入部门（单位）预算管理。收支总预算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299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元、政府性基金预算0万元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、固有资金经营预算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277.7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上级专项收入支出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17万元等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40.29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增加人员、人员经费也相应的增加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政府性基金预算未安排。 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17万元，占5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比上年预算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增加</w:t>
      </w:r>
      <w:r>
        <w:rPr>
          <w:rFonts w:hint="eastAsia" w:ascii="Times New Roman" w:hAnsi="Times New Roman" w:cs="Times New Roman"/>
          <w:color w:val="000000"/>
          <w:kern w:val="0"/>
          <w:sz w:val="31"/>
          <w:szCs w:val="31"/>
          <w:lang w:val="en-US" w:eastAsia="zh-CN" w:bidi="ar"/>
        </w:rPr>
        <w:t>17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万元，主要今年增加了人员。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277.7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人员增加。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148.02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           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299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公共预算支出包括：一般公共服务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277.7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，主要用于一般公共服务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支出。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万元，政府性基金预算拨款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公共服务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366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366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107.29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人员增加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148.02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压缩培训经费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277.7</w:t>
      </w:r>
      <w:r>
        <w:rPr>
          <w:rFonts w:hint="eastAsia" w:ascii="楷体_GB2312" w:eastAsia="楷体_GB2312"/>
          <w:b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按照部门（单位）预算公开表五  一般公共预算支出情况表“一般公共预算支出”功能分类科目类级科目</w:t>
      </w:r>
      <w:r>
        <w:rPr>
          <w:rFonts w:hint="eastAsia" w:ascii="仿宋_GB2312" w:eastAsia="仿宋_GB2312"/>
          <w:b/>
          <w:sz w:val="32"/>
          <w:szCs w:val="32"/>
        </w:rPr>
        <w:t>逐项说明。）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1.例：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统战事务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  <w:lang w:eastAsia="zh-CN"/>
        </w:rPr>
        <w:t>运行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  <w:lang w:val="en-US" w:eastAsia="zh-CN"/>
        </w:rPr>
        <w:t>01（项）</w:t>
      </w:r>
      <w:r>
        <w:rPr>
          <w:rFonts w:ascii="仿宋_GB2312" w:hAnsi="宋体" w:eastAsia="仿宋_GB2312" w:cs="宋体"/>
          <w:kern w:val="0"/>
          <w:sz w:val="32"/>
          <w:szCs w:val="32"/>
          <w:shd w:val="clear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  <w:shd w:val="clear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  <w:lang w:val="en-US" w:eastAsia="zh-CN"/>
        </w:rPr>
        <w:t>277.7</w:t>
      </w:r>
      <w:r>
        <w:rPr>
          <w:rFonts w:ascii="仿宋_GB2312" w:hAnsi="宋体" w:eastAsia="仿宋_GB2312" w:cs="宋体"/>
          <w:kern w:val="0"/>
          <w:sz w:val="32"/>
          <w:szCs w:val="32"/>
          <w:shd w:val="clear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  <w:lang w:val="en-US" w:eastAsia="zh-CN"/>
        </w:rPr>
        <w:t>18.99万元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  <w:lang w:val="en-US" w:eastAsia="zh-CN"/>
        </w:rPr>
        <w:t>93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</w:rPr>
        <w:t xml:space="preserve"> 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  <w:lang w:eastAsia="zh-CN"/>
        </w:rPr>
        <w:t>人员增加</w:t>
      </w:r>
      <w:r>
        <w:rPr>
          <w:rFonts w:hint="eastAsia" w:ascii="仿宋_GB2312" w:hAnsi="宋体" w:eastAsia="仿宋_GB2312" w:cs="宋体"/>
          <w:kern w:val="0"/>
          <w:sz w:val="32"/>
          <w:szCs w:val="32"/>
          <w:shd w:val="clear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      万元， 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办公用品及设备采购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3.50万元、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21.3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16.58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、工会费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、基本工资52.79万元、奖励金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138.34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其他维修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80.04万元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  <w:r>
        <w:rPr>
          <w:rFonts w:hint="eastAsia" w:ascii="仿宋_GB2312" w:eastAsia="仿宋_GB2312"/>
          <w:b/>
          <w:sz w:val="32"/>
          <w:szCs w:val="32"/>
        </w:rPr>
        <w:t>（按部门（单位）预算公开表六  一般公共预算基本支出表中实际发生经济分类科目名称填写，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多余科目应删除）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widowControl/>
        <w:spacing w:line="560" w:lineRule="exact"/>
        <w:ind w:firstLine="320" w:firstLineChars="100"/>
        <w:jc w:val="lef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（一）</w:t>
      </w:r>
      <w:r>
        <w:rPr>
          <w:rFonts w:hint="eastAsia" w:ascii="仿宋_GB2312" w:hAnsi="宋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工勤人员工资</w:t>
      </w:r>
    </w:p>
    <w:p>
      <w:pPr>
        <w:widowControl/>
        <w:spacing w:line="560" w:lineRule="exact"/>
        <w:ind w:firstLine="320" w:firstLineChars="100"/>
        <w:jc w:val="lef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根据工作需要州领导审批</w:t>
      </w:r>
    </w:p>
    <w:p>
      <w:pPr>
        <w:widowControl/>
        <w:spacing w:line="560" w:lineRule="exact"/>
        <w:ind w:firstLine="320" w:firstLineChars="10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outlineLvl w:val="9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项目承担单位：克州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社会主义学院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outlineLvl w:val="9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每月每人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3名工勤人员发放工资均3450元，保障食堂正常运行，为培训人员提高优质的伙食服务。</w:t>
      </w:r>
      <w:r>
        <w:rPr>
          <w:rFonts w:ascii="仿宋_GB2312" w:hAnsi="宋体" w:eastAsia="仿宋_GB2312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资金执行时间：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/>
          <w:sz w:val="32"/>
          <w:szCs w:val="32"/>
        </w:rPr>
        <w:t>年1月至12月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(二)项目名称:运行经费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设立政策依据: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根据工作需要州领导审批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预算安排规模：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40万元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项目承担单位：克州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社会主义学院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。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资金分配情况:主要用于两院运行保障,用于水电暖、绿化、劳务、维修等服务。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资金执行时间：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全年</w:t>
      </w:r>
      <w:r>
        <w:rPr>
          <w:rFonts w:hint="eastAsia" w:ascii="仿宋_GB2312" w:hAnsi="宋体" w:eastAsia="仿宋_GB2312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资金执行时间：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/>
          <w:sz w:val="32"/>
          <w:szCs w:val="32"/>
        </w:rPr>
        <w:t>年1月至12月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line="580" w:lineRule="exact"/>
        <w:ind w:firstLine="707" w:firstLineChars="221"/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三</w:t>
      </w:r>
      <w:r>
        <w:rPr>
          <w:rFonts w:hint="eastAsia" w:ascii="仿宋_GB2312" w:eastAsia="仿宋_GB2312" w:hAnsiTheme="minorEastAsia"/>
          <w:sz w:val="32"/>
          <w:szCs w:val="32"/>
        </w:rPr>
        <w:t>）项目名称：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联建</w:t>
      </w:r>
      <w:r>
        <w:rPr>
          <w:rFonts w:hint="eastAsia" w:ascii="仿宋_GB2312" w:eastAsia="仿宋_GB2312" w:hAnsiTheme="minorEastAsia"/>
          <w:sz w:val="32"/>
          <w:szCs w:val="32"/>
        </w:rPr>
        <w:t>工作经费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 w:hAnsiTheme="minorEastAsia"/>
          <w:sz w:val="32"/>
          <w:szCs w:val="32"/>
        </w:rPr>
        <w:t>设立的政策依据：根据自治区、自治州相关会议重要指示精神预算安排规模：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万元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>.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eastAsia="仿宋_GB2312" w:hAnsiTheme="minorEastAsia"/>
          <w:sz w:val="32"/>
          <w:szCs w:val="32"/>
          <w:lang w:eastAsia="zh-CN"/>
        </w:rPr>
      </w:pPr>
      <w:r>
        <w:rPr>
          <w:rFonts w:hint="eastAsia" w:ascii="仿宋_GB2312" w:eastAsia="仿宋_GB2312" w:hAnsiTheme="minorEastAsia"/>
          <w:sz w:val="32"/>
          <w:szCs w:val="32"/>
        </w:rPr>
        <w:t>项目承担单位：克州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社会主义学院</w:t>
      </w:r>
    </w:p>
    <w:p>
      <w:pPr>
        <w:widowControl/>
        <w:spacing w:line="580" w:lineRule="exact"/>
        <w:ind w:firstLine="707" w:firstLineChars="221"/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资金分配情况：其他商品和服务支出</w:t>
      </w:r>
    </w:p>
    <w:p>
      <w:pPr>
        <w:widowControl/>
        <w:spacing w:line="580" w:lineRule="exact"/>
        <w:ind w:firstLine="707" w:firstLineChars="221"/>
        <w:jc w:val="left"/>
        <w:rPr>
          <w:rFonts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资金执行时间：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eastAsia="zh-CN"/>
        </w:rPr>
        <w:t>2021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年1月至12月</w:t>
      </w:r>
    </w:p>
    <w:p>
      <w:pPr>
        <w:widowControl/>
        <w:spacing w:line="580" w:lineRule="exact"/>
        <w:ind w:firstLine="707" w:firstLineChars="221"/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四</w:t>
      </w:r>
      <w:r>
        <w:rPr>
          <w:rFonts w:hint="eastAsia" w:ascii="仿宋_GB2312" w:eastAsia="仿宋_GB2312" w:hAnsiTheme="minorEastAsia"/>
          <w:sz w:val="32"/>
          <w:szCs w:val="32"/>
        </w:rPr>
        <w:t>）项目名称：访惠聚为民办实事经费</w:t>
      </w:r>
      <w:r>
        <w:rPr>
          <w:rFonts w:ascii="仿宋_GB2312" w:eastAsia="仿宋_GB2312" w:hAnsiTheme="minorEastAsia"/>
          <w:sz w:val="32"/>
          <w:szCs w:val="32"/>
        </w:rPr>
        <w:t xml:space="preserve"> 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</w:rPr>
        <w:t>设立的政策依据：根据自治区、自治州相关会议重要指示精神预算安排规模：1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7万元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>.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eastAsia="仿宋_GB2312" w:hAnsiTheme="minorEastAsia"/>
          <w:sz w:val="32"/>
          <w:szCs w:val="32"/>
          <w:lang w:eastAsia="zh-CN"/>
        </w:rPr>
      </w:pPr>
      <w:r>
        <w:rPr>
          <w:rFonts w:hint="eastAsia" w:ascii="仿宋_GB2312" w:eastAsia="仿宋_GB2312" w:hAnsiTheme="minorEastAsia"/>
          <w:sz w:val="32"/>
          <w:szCs w:val="32"/>
        </w:rPr>
        <w:t>项目承担单位：克州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社会主义学院</w:t>
      </w:r>
    </w:p>
    <w:p>
      <w:pPr>
        <w:widowControl/>
        <w:spacing w:line="580" w:lineRule="exact"/>
        <w:ind w:firstLine="707" w:firstLineChars="221"/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资金分配情况：其他商品和服务支出17万元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资金执行时间：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eastAsia="zh-CN"/>
        </w:rPr>
        <w:t>2021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年1月至12月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eastAsia="仿宋_GB2312" w:hAnsiTheme="minorEastAsia"/>
          <w:sz w:val="32"/>
          <w:szCs w:val="32"/>
          <w:lang w:eastAsia="zh-CN"/>
        </w:rPr>
      </w:pPr>
      <w:r>
        <w:rPr>
          <w:rFonts w:hint="eastAsia" w:ascii="仿宋_GB2312" w:eastAsia="仿宋_GB2312" w:hAnsiTheme="minorEastAsia"/>
          <w:sz w:val="32"/>
          <w:szCs w:val="32"/>
        </w:rPr>
        <w:t>（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五</w:t>
      </w:r>
      <w:r>
        <w:rPr>
          <w:rFonts w:hint="eastAsia" w:ascii="仿宋_GB2312" w:eastAsia="仿宋_GB2312" w:hAnsiTheme="minorEastAsia"/>
          <w:sz w:val="32"/>
          <w:szCs w:val="32"/>
        </w:rPr>
        <w:t>）项目名称：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访惠聚工作队人员经费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</w:rPr>
        <w:t>设立的政策依据：根据自治区、自治州相关会议重要指示精神预算安排规模：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28.08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万元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>.</w:t>
      </w:r>
    </w:p>
    <w:p>
      <w:pPr>
        <w:widowControl/>
        <w:spacing w:line="580" w:lineRule="exact"/>
        <w:ind w:firstLine="707" w:firstLineChars="221"/>
        <w:jc w:val="left"/>
        <w:rPr>
          <w:rFonts w:hint="eastAsia" w:ascii="仿宋_GB2312" w:eastAsia="仿宋_GB2312" w:hAnsiTheme="minorEastAsia"/>
          <w:sz w:val="32"/>
          <w:szCs w:val="32"/>
          <w:lang w:eastAsia="zh-CN"/>
        </w:rPr>
      </w:pPr>
      <w:r>
        <w:rPr>
          <w:rFonts w:hint="eastAsia" w:ascii="仿宋_GB2312" w:eastAsia="仿宋_GB2312" w:hAnsiTheme="minorEastAsia"/>
          <w:sz w:val="32"/>
          <w:szCs w:val="32"/>
        </w:rPr>
        <w:t>项目承担单位：克州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社会主义学院</w:t>
      </w:r>
    </w:p>
    <w:p>
      <w:pPr>
        <w:widowControl/>
        <w:spacing w:line="580" w:lineRule="exact"/>
        <w:ind w:firstLine="707" w:firstLineChars="221"/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资金分配情况：其他商品和服务支出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资金执行时间：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eastAsia="zh-CN"/>
        </w:rPr>
        <w:t>2021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年1月至12月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社会主义学院2021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万元，其中：因公出国（境）费0万元，公务用车购置 0万元，公务用车运行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维护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年一般公共预算“三公”经费比上年增加（减少）   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：未安排因公出国（境）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；公务用车购置费为0，未安排预算。[或公务用车购置费增加（减少）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未安排预算]；公务用车运行费增加（减少）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经费压缩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与上年持平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。</w:t>
      </w: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社会主义学院2021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年，*本级及下属  家行政单位和  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万元，比上年预算增加（减少）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万元，增长（下降）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在职人员增加，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年在职人员较20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年增加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人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工资福利支出增长。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11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克孜勒苏柯尔克孜自治州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社会主义学院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工勤人员工资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12.42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12.42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每月每人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3名工勤人员发放工资均3450元，保障食堂正常运行，为培训人员提高优质的伙食服务。</w:t>
            </w:r>
            <w:r>
              <w:rPr>
                <w:rFonts w:hint="eastAsia" w:ascii="Times New Roman" w:hAnsi="Times New Roman" w:cs="Times New Roman"/>
                <w:lang w:eastAsia="zh-CN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每月每人，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3名工勤人员</w:t>
            </w:r>
          </w:p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发放工资均3450元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发放率</w:t>
            </w:r>
            <w:r>
              <w:rPr>
                <w:rFonts w:hint="eastAsi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工作经费（万元）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>12.42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保障</w:t>
            </w:r>
            <w:r>
              <w:rPr>
                <w:rFonts w:hint="eastAsia"/>
                <w:lang w:eastAsia="zh-CN"/>
              </w:rPr>
              <w:t>后勤</w:t>
            </w:r>
            <w:r>
              <w:rPr>
                <w:rFonts w:hint="eastAsia"/>
              </w:rPr>
              <w:t>工作情况需要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维护社会稳定和长治久安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长期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both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11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克孜勒苏柯尔克孜自治州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社会主义学院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运行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主要用于两院运行保障,用于水电暖、绿化、劳务、维修等服务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主要用于两院运行保障,用于水电暖、</w:t>
            </w:r>
          </w:p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绿化、劳务、维修等服务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发放率</w:t>
            </w:r>
            <w:r>
              <w:rPr>
                <w:rFonts w:hint="eastAsi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运行</w:t>
            </w:r>
            <w:r>
              <w:rPr>
                <w:rFonts w:hint="eastAsia"/>
              </w:rPr>
              <w:t>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两院运行保障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pStyle w:val="2"/>
      </w:pPr>
    </w:p>
    <w:p/>
    <w:tbl>
      <w:tblPr>
        <w:tblStyle w:val="11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克孜勒苏柯尔克孜自治州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社会主义学院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联建工作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加强基层组织建设，发挥单位后盾作用。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加强基层组织建设，</w:t>
            </w:r>
          </w:p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发挥单位后盾作用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发放率</w:t>
            </w:r>
            <w:r>
              <w:rPr>
                <w:rFonts w:hint="eastAsi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运行</w:t>
            </w:r>
            <w:r>
              <w:rPr>
                <w:rFonts w:hint="eastAsia"/>
              </w:rPr>
              <w:t>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pStyle w:val="2"/>
      </w:pPr>
    </w:p>
    <w:p/>
    <w:tbl>
      <w:tblPr>
        <w:tblStyle w:val="11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克孜勒苏柯尔克孜自治州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社会主义学院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访惠聚为民办实事经费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访惠聚为民办事好事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访惠聚为民办事好事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发放率</w:t>
            </w:r>
            <w:r>
              <w:rPr>
                <w:rFonts w:hint="eastAsi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运行</w:t>
            </w:r>
            <w:r>
              <w:rPr>
                <w:rFonts w:hint="eastAsia"/>
              </w:rPr>
              <w:t>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>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访惠聚为民办实事</w:t>
            </w:r>
            <w:r>
              <w:rPr>
                <w:rFonts w:hint="eastAsia"/>
                <w:lang w:eastAsia="zh-CN"/>
              </w:rPr>
              <w:t>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pStyle w:val="2"/>
      </w:pPr>
    </w:p>
    <w:p/>
    <w:p>
      <w:pPr>
        <w:pStyle w:val="2"/>
      </w:pPr>
    </w:p>
    <w:tbl>
      <w:tblPr>
        <w:tblStyle w:val="11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克孜勒苏柯尔克孜自治州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社会主义学院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tbl>
            <w:tblPr>
              <w:tblStyle w:val="11"/>
              <w:tblW w:w="2664" w:type="dxa"/>
              <w:jc w:val="center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664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26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>
                  <w:pPr>
                    <w:widowControl/>
                    <w:spacing w:line="480" w:lineRule="exac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sz w:val="18"/>
                      <w:szCs w:val="18"/>
                      <w:lang w:eastAsia="zh-CN"/>
                    </w:rPr>
                    <w:t>访惠聚工作队人员</w:t>
                  </w: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经费</w:t>
                  </w:r>
                </w:p>
              </w:tc>
            </w:tr>
          </w:tbl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28.08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28.08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访惠聚人员补助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访惠聚人员补助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发放率</w:t>
            </w:r>
            <w:r>
              <w:rPr>
                <w:rFonts w:hint="eastAsi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运行</w:t>
            </w:r>
            <w:r>
              <w:rPr>
                <w:rFonts w:hint="eastAsia"/>
              </w:rPr>
              <w:t>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>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访惠聚人员补助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无其他说明事项。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szCs w:val="20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克州社会主义学院</w:t>
      </w:r>
    </w:p>
    <w:p>
      <w:pPr>
        <w:widowControl/>
        <w:spacing w:line="520" w:lineRule="exact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2021年2月4日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  <w:bookmarkStart w:id="2" w:name="_GoBack"/>
      <w:bookmarkEnd w:id="2"/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9631" w:y="37"/>
      <w:jc w:val="right"/>
      <w:rPr>
        <w:rStyle w:val="10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0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0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0"/>
        <w:rFonts w:hint="eastAsia" w:ascii="宋体" w:hAnsi="宋体" w:eastAsia="宋体"/>
        <w:sz w:val="28"/>
      </w:rPr>
      <w:t xml:space="preserve"> </w:t>
    </w:r>
  </w:p>
  <w:p>
    <w:pPr>
      <w:pStyle w:val="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1756" w:y="37"/>
      <w:rPr>
        <w:rStyle w:val="10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EE594B"/>
    <w:multiLevelType w:val="singleLevel"/>
    <w:tmpl w:val="D4EE594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11F1E9E"/>
    <w:rsid w:val="016D07BA"/>
    <w:rsid w:val="021B7945"/>
    <w:rsid w:val="0226240E"/>
    <w:rsid w:val="02C35DEA"/>
    <w:rsid w:val="030E5AB5"/>
    <w:rsid w:val="03165A41"/>
    <w:rsid w:val="04A05C3F"/>
    <w:rsid w:val="04A62782"/>
    <w:rsid w:val="04E90F9F"/>
    <w:rsid w:val="05D10C6D"/>
    <w:rsid w:val="076237F4"/>
    <w:rsid w:val="07F75704"/>
    <w:rsid w:val="07F966A0"/>
    <w:rsid w:val="08071B31"/>
    <w:rsid w:val="089754DB"/>
    <w:rsid w:val="08AE4787"/>
    <w:rsid w:val="08DA7825"/>
    <w:rsid w:val="09E239B8"/>
    <w:rsid w:val="0A2B5CA2"/>
    <w:rsid w:val="0B1A6D90"/>
    <w:rsid w:val="0C965124"/>
    <w:rsid w:val="0CFC40F0"/>
    <w:rsid w:val="0D540317"/>
    <w:rsid w:val="0F0D241B"/>
    <w:rsid w:val="0FAC7707"/>
    <w:rsid w:val="0FE24713"/>
    <w:rsid w:val="1064008C"/>
    <w:rsid w:val="10B56D24"/>
    <w:rsid w:val="10B80314"/>
    <w:rsid w:val="114103EE"/>
    <w:rsid w:val="12973D12"/>
    <w:rsid w:val="132003C6"/>
    <w:rsid w:val="13E223A4"/>
    <w:rsid w:val="1416006C"/>
    <w:rsid w:val="144B3612"/>
    <w:rsid w:val="14CF432D"/>
    <w:rsid w:val="15234ADA"/>
    <w:rsid w:val="15C47DF0"/>
    <w:rsid w:val="161F42D2"/>
    <w:rsid w:val="17460319"/>
    <w:rsid w:val="17590A06"/>
    <w:rsid w:val="18071019"/>
    <w:rsid w:val="18907F18"/>
    <w:rsid w:val="1917613D"/>
    <w:rsid w:val="1A384B3C"/>
    <w:rsid w:val="1CAB0E6C"/>
    <w:rsid w:val="1D9C06FF"/>
    <w:rsid w:val="1DBB77BA"/>
    <w:rsid w:val="1E1D6A83"/>
    <w:rsid w:val="1E411A0D"/>
    <w:rsid w:val="1E860CB3"/>
    <w:rsid w:val="1F1E03AD"/>
    <w:rsid w:val="1F226E28"/>
    <w:rsid w:val="1F901842"/>
    <w:rsid w:val="1FDF14DD"/>
    <w:rsid w:val="200312FA"/>
    <w:rsid w:val="21122101"/>
    <w:rsid w:val="217E5D98"/>
    <w:rsid w:val="222255D1"/>
    <w:rsid w:val="222C1844"/>
    <w:rsid w:val="2282186B"/>
    <w:rsid w:val="22C51012"/>
    <w:rsid w:val="22DE423D"/>
    <w:rsid w:val="23E3296D"/>
    <w:rsid w:val="247F13E5"/>
    <w:rsid w:val="24A30CD7"/>
    <w:rsid w:val="254B2199"/>
    <w:rsid w:val="2570105C"/>
    <w:rsid w:val="261A5423"/>
    <w:rsid w:val="2621492B"/>
    <w:rsid w:val="265A07F9"/>
    <w:rsid w:val="26826EDE"/>
    <w:rsid w:val="271F7002"/>
    <w:rsid w:val="27362BB6"/>
    <w:rsid w:val="278F00B4"/>
    <w:rsid w:val="279970B5"/>
    <w:rsid w:val="28A86342"/>
    <w:rsid w:val="2B7B0FFB"/>
    <w:rsid w:val="2BCA67B9"/>
    <w:rsid w:val="2C885E6C"/>
    <w:rsid w:val="2D4455FD"/>
    <w:rsid w:val="2D475794"/>
    <w:rsid w:val="2D8F7116"/>
    <w:rsid w:val="2E7562C1"/>
    <w:rsid w:val="2EB62425"/>
    <w:rsid w:val="2EE23D64"/>
    <w:rsid w:val="2EE831DE"/>
    <w:rsid w:val="2EF60105"/>
    <w:rsid w:val="2F857F8E"/>
    <w:rsid w:val="2FA74914"/>
    <w:rsid w:val="2FC757E4"/>
    <w:rsid w:val="31E81D85"/>
    <w:rsid w:val="32193DAA"/>
    <w:rsid w:val="32A504F1"/>
    <w:rsid w:val="33854281"/>
    <w:rsid w:val="338F53CF"/>
    <w:rsid w:val="34550602"/>
    <w:rsid w:val="348168DC"/>
    <w:rsid w:val="35AE36BC"/>
    <w:rsid w:val="360D251F"/>
    <w:rsid w:val="362913DA"/>
    <w:rsid w:val="366946E4"/>
    <w:rsid w:val="36970C54"/>
    <w:rsid w:val="36B35BF8"/>
    <w:rsid w:val="36F63E8E"/>
    <w:rsid w:val="37472BC9"/>
    <w:rsid w:val="38414A99"/>
    <w:rsid w:val="388D71F4"/>
    <w:rsid w:val="38957CEF"/>
    <w:rsid w:val="3AD04270"/>
    <w:rsid w:val="3BD14E5A"/>
    <w:rsid w:val="3C2F0DF3"/>
    <w:rsid w:val="3C9665C5"/>
    <w:rsid w:val="3CA27333"/>
    <w:rsid w:val="3CB559A0"/>
    <w:rsid w:val="3D215C54"/>
    <w:rsid w:val="3D7F4149"/>
    <w:rsid w:val="3E2707C8"/>
    <w:rsid w:val="3E6340F9"/>
    <w:rsid w:val="3F5A7E9C"/>
    <w:rsid w:val="3FC47CC1"/>
    <w:rsid w:val="3FF91826"/>
    <w:rsid w:val="409B4371"/>
    <w:rsid w:val="413814C7"/>
    <w:rsid w:val="41582772"/>
    <w:rsid w:val="416B0DC8"/>
    <w:rsid w:val="41F75C86"/>
    <w:rsid w:val="433C54EA"/>
    <w:rsid w:val="43C92884"/>
    <w:rsid w:val="44167899"/>
    <w:rsid w:val="44524497"/>
    <w:rsid w:val="44F23194"/>
    <w:rsid w:val="45001EB8"/>
    <w:rsid w:val="45E87C81"/>
    <w:rsid w:val="46333C9A"/>
    <w:rsid w:val="46A71DD4"/>
    <w:rsid w:val="46D37B82"/>
    <w:rsid w:val="47535041"/>
    <w:rsid w:val="498A4E48"/>
    <w:rsid w:val="49916D40"/>
    <w:rsid w:val="49B67DCA"/>
    <w:rsid w:val="49EE22D6"/>
    <w:rsid w:val="4AD12051"/>
    <w:rsid w:val="4B0F01E8"/>
    <w:rsid w:val="4B3E074F"/>
    <w:rsid w:val="4B60186F"/>
    <w:rsid w:val="4B7D711D"/>
    <w:rsid w:val="4BD97B75"/>
    <w:rsid w:val="4D7B5105"/>
    <w:rsid w:val="4DCA2810"/>
    <w:rsid w:val="4E815919"/>
    <w:rsid w:val="4E886B33"/>
    <w:rsid w:val="4EC46875"/>
    <w:rsid w:val="4ECA6FD1"/>
    <w:rsid w:val="50E9172D"/>
    <w:rsid w:val="51E26522"/>
    <w:rsid w:val="524A08DF"/>
    <w:rsid w:val="53614D18"/>
    <w:rsid w:val="536605B6"/>
    <w:rsid w:val="53851EA4"/>
    <w:rsid w:val="548A4691"/>
    <w:rsid w:val="54E3496D"/>
    <w:rsid w:val="550C25A8"/>
    <w:rsid w:val="55AB66A9"/>
    <w:rsid w:val="55EF05C9"/>
    <w:rsid w:val="562607E6"/>
    <w:rsid w:val="56543A53"/>
    <w:rsid w:val="57770FA7"/>
    <w:rsid w:val="58E17AE2"/>
    <w:rsid w:val="58F868F9"/>
    <w:rsid w:val="59450A4E"/>
    <w:rsid w:val="5953034D"/>
    <w:rsid w:val="59B75F7D"/>
    <w:rsid w:val="5A39073B"/>
    <w:rsid w:val="5AD1288B"/>
    <w:rsid w:val="5AFA4E39"/>
    <w:rsid w:val="5D012A86"/>
    <w:rsid w:val="5D2B7C88"/>
    <w:rsid w:val="5D454FD9"/>
    <w:rsid w:val="5DA62D69"/>
    <w:rsid w:val="5DBE2349"/>
    <w:rsid w:val="5EB55A86"/>
    <w:rsid w:val="5EC46A54"/>
    <w:rsid w:val="5F8A6E28"/>
    <w:rsid w:val="60A3432B"/>
    <w:rsid w:val="60D85BCF"/>
    <w:rsid w:val="60E864A4"/>
    <w:rsid w:val="61303D59"/>
    <w:rsid w:val="61C961D3"/>
    <w:rsid w:val="61DC0657"/>
    <w:rsid w:val="62CD6659"/>
    <w:rsid w:val="63ED482A"/>
    <w:rsid w:val="643718A1"/>
    <w:rsid w:val="65244D32"/>
    <w:rsid w:val="659F4E8E"/>
    <w:rsid w:val="667740EC"/>
    <w:rsid w:val="66EB3F75"/>
    <w:rsid w:val="66EC27A5"/>
    <w:rsid w:val="678A050C"/>
    <w:rsid w:val="683D28B3"/>
    <w:rsid w:val="685F0705"/>
    <w:rsid w:val="68937BE3"/>
    <w:rsid w:val="69063CC2"/>
    <w:rsid w:val="69F27139"/>
    <w:rsid w:val="6A351D18"/>
    <w:rsid w:val="6AFC0236"/>
    <w:rsid w:val="6B09384E"/>
    <w:rsid w:val="6B392B3B"/>
    <w:rsid w:val="6C327940"/>
    <w:rsid w:val="6C5A78FE"/>
    <w:rsid w:val="6CA1153A"/>
    <w:rsid w:val="6CB02619"/>
    <w:rsid w:val="6CB631BF"/>
    <w:rsid w:val="6D066128"/>
    <w:rsid w:val="6D8A4E6C"/>
    <w:rsid w:val="6D970331"/>
    <w:rsid w:val="6DBC539E"/>
    <w:rsid w:val="6DF85421"/>
    <w:rsid w:val="708C1200"/>
    <w:rsid w:val="708E1600"/>
    <w:rsid w:val="70F352DB"/>
    <w:rsid w:val="70F41305"/>
    <w:rsid w:val="719D6F2F"/>
    <w:rsid w:val="71BE7E66"/>
    <w:rsid w:val="725F5731"/>
    <w:rsid w:val="7261015A"/>
    <w:rsid w:val="741019C4"/>
    <w:rsid w:val="74205B91"/>
    <w:rsid w:val="745E69AB"/>
    <w:rsid w:val="75415D1D"/>
    <w:rsid w:val="75C816DD"/>
    <w:rsid w:val="76014CC6"/>
    <w:rsid w:val="76472743"/>
    <w:rsid w:val="76E229C2"/>
    <w:rsid w:val="77540805"/>
    <w:rsid w:val="77767CD3"/>
    <w:rsid w:val="779D671A"/>
    <w:rsid w:val="78887426"/>
    <w:rsid w:val="78F7097F"/>
    <w:rsid w:val="79894617"/>
    <w:rsid w:val="79D003CC"/>
    <w:rsid w:val="79E56046"/>
    <w:rsid w:val="7A951080"/>
    <w:rsid w:val="7B101A0D"/>
    <w:rsid w:val="7B4875F4"/>
    <w:rsid w:val="7B8F5233"/>
    <w:rsid w:val="7C980C29"/>
    <w:rsid w:val="7CDB3B27"/>
    <w:rsid w:val="7DCD234B"/>
    <w:rsid w:val="7DDF50AF"/>
    <w:rsid w:val="7DE253CB"/>
    <w:rsid w:val="7EB31AF7"/>
    <w:rsid w:val="7F074C58"/>
    <w:rsid w:val="7F7B67D2"/>
    <w:rsid w:val="7FF2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qFormat/>
    <w:uiPriority w:val="0"/>
    <w:rPr>
      <w:rFonts w:cs="Times New Roman"/>
      <w:b/>
      <w:bCs/>
    </w:rPr>
  </w:style>
  <w:style w:type="character" w:styleId="10">
    <w:name w:val="page number"/>
    <w:basedOn w:val="8"/>
    <w:qFormat/>
    <w:uiPriority w:val="0"/>
  </w:style>
  <w:style w:type="table" w:styleId="12">
    <w:name w:val="Table Grid"/>
    <w:basedOn w:val="11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link w:val="3"/>
    <w:semiHidden/>
    <w:qFormat/>
    <w:uiPriority w:val="0"/>
    <w:rPr>
      <w:sz w:val="18"/>
      <w:szCs w:val="18"/>
    </w:rPr>
  </w:style>
  <w:style w:type="character" w:customStyle="1" w:styleId="16">
    <w:name w:val="正文文本缩进 3 字符"/>
    <w:link w:val="6"/>
    <w:qFormat/>
    <w:uiPriority w:val="0"/>
    <w:rPr>
      <w:rFonts w:eastAsia="仿宋_GB2312"/>
      <w:sz w:val="32"/>
      <w:szCs w:val="24"/>
    </w:rPr>
  </w:style>
  <w:style w:type="paragraph" w:customStyle="1" w:styleId="17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8">
    <w:name w:val="正文文本缩进 3 字符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批注框文本 字符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3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3</TotalTime>
  <ScaleCrop>false</ScaleCrop>
  <LinksUpToDate>false</LinksUpToDate>
  <CharactersWithSpaces>16419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dcterms:modified xsi:type="dcterms:W3CDTF">2021-03-05T05:20:49Z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