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 w:eastAsia="仿宋_GB2312"/>
          <w:sz w:val="32"/>
          <w:szCs w:val="32"/>
        </w:rPr>
      </w:pPr>
    </w:p>
    <w:p>
      <w:pPr>
        <w:spacing w:line="600" w:lineRule="exact"/>
        <w:ind w:firstLine="4675" w:firstLineChars="1461"/>
        <w:rPr>
          <w:rFonts w:ascii="仿宋_GB2312" w:hAnsi="仿宋" w:eastAsia="仿宋_GB2312"/>
          <w:sz w:val="32"/>
          <w:szCs w:val="32"/>
        </w:rPr>
      </w:pPr>
    </w:p>
    <w:p>
      <w:pPr>
        <w:rPr>
          <w:rFonts w:ascii="宋体" w:hAnsi="宋体" w:cs="宋体"/>
          <w:b/>
          <w:bCs/>
          <w:kern w:val="0"/>
          <w:sz w:val="44"/>
          <w:szCs w:val="44"/>
        </w:rPr>
      </w:pPr>
      <w:bookmarkStart w:id="0" w:name="csmb"/>
      <w:r>
        <w:rPr>
          <w:rFonts w:hint="eastAsia" w:ascii="楷体_GB2312" w:hAnsi="黑体" w:eastAsia="楷体_GB2312"/>
          <w:spacing w:val="-30000"/>
          <w:w w:val="1"/>
          <w:sz w:val="10"/>
          <w:szCs w:val="10"/>
        </w:rPr>
        <w:t>厅领导，本厅有关处室</w:t>
      </w:r>
      <w:bookmarkEnd w:id="0"/>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克</w:t>
      </w:r>
      <w:r>
        <w:rPr>
          <w:rFonts w:hint="eastAsia" w:ascii="方正小标宋_GBK" w:hAnsi="宋体" w:eastAsia="方正小标宋_GBK"/>
          <w:kern w:val="0"/>
          <w:sz w:val="44"/>
          <w:szCs w:val="44"/>
        </w:rPr>
        <w:t>州</w:t>
      </w:r>
      <w:r>
        <w:rPr>
          <w:rFonts w:hint="eastAsia" w:ascii="方正小标宋_GBK" w:hAnsi="宋体" w:eastAsia="方正小标宋_GBK"/>
          <w:kern w:val="0"/>
          <w:sz w:val="44"/>
          <w:szCs w:val="44"/>
          <w:lang w:eastAsia="zh-CN"/>
        </w:rPr>
        <w:t>人民政府驻乌鲁木齐办事处</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40" w:lineRule="exact"/>
        <w:jc w:val="center"/>
        <w:outlineLvl w:val="1"/>
        <w:rPr>
          <w:rFonts w:ascii="宋体" w:hAns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40" w:lineRule="exact"/>
        <w:ind w:firstLine="883" w:firstLineChars="200"/>
        <w:outlineLvl w:val="1"/>
        <w:rPr>
          <w:rFonts w:ascii="宋体" w:hAns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年部门（单位）预算情况说明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克州人民政府驻乌鲁木齐办事处</w:t>
      </w:r>
      <w:r>
        <w:rPr>
          <w:rFonts w:hint="eastAsia" w:ascii="仿宋_GB2312" w:hAnsi="宋体" w:eastAsia="仿宋_GB2312"/>
          <w:bCs/>
          <w:kern w:val="0"/>
          <w:sz w:val="32"/>
          <w:szCs w:val="32"/>
          <w:lang w:val="en-US" w:eastAsia="zh-CN"/>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w:t>
      </w:r>
      <w:r>
        <w:rPr>
          <w:rFonts w:hint="eastAsia" w:ascii="仿宋_GB2312" w:hAnsi="宋体" w:eastAsia="仿宋_GB2312"/>
          <w:kern w:val="0"/>
          <w:sz w:val="32"/>
          <w:szCs w:val="32"/>
          <w:lang w:eastAsia="zh-CN"/>
        </w:rPr>
        <w:t>克州人民政府驻乌鲁木齐办事处</w:t>
      </w:r>
      <w:r>
        <w:rPr>
          <w:rFonts w:hint="eastAsia" w:ascii="仿宋_GB2312" w:hAnsi="宋体" w:eastAsia="仿宋_GB2312"/>
          <w:kern w:val="0"/>
          <w:sz w:val="32"/>
          <w:szCs w:val="32"/>
        </w:rPr>
        <w:t>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克州人民政府驻乌鲁木齐办事处</w:t>
      </w:r>
      <w:r>
        <w:rPr>
          <w:rFonts w:hint="eastAsia" w:ascii="黑体" w:hAnsi="黑体" w:eastAsia="黑体"/>
          <w:kern w:val="0"/>
          <w:sz w:val="32"/>
          <w:szCs w:val="32"/>
        </w:rPr>
        <w:t>概况</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一、主要职能</w:t>
      </w:r>
    </w:p>
    <w:p>
      <w:pPr>
        <w:widowControl/>
        <w:spacing w:line="560" w:lineRule="exact"/>
        <w:jc w:val="left"/>
        <w:rPr>
          <w:rFonts w:hint="eastAsia" w:ascii="仿宋_GB2312" w:hAnsi="黑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1、认真贯彻和落实自治州党委、人民政府重大决策和决定，积极做好对外联络工作。</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2、积极做好协调工作。负责克州党委、政府及自治州各部门与自治区党委、政府及各委、办、厅、局的工作联络，拓宽联络渠道，认真做好沟通工作。</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3、广泛收集整理和反馈政治、经济等各类信息，为自治州领导的科学决策提供参考。</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4、充分发挥办事处的“窗口”桥梁作用，积极为克州经济建设牵线搭桥。</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5、认真做好区内外客人和自治州来乌的领导及出差人员的接待服务工作。</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6、负责办事处宾馆的宏观管理工作，指导宾馆按现代企业制度运营，并使其规范化、制度化、程序化，更好的服务于克州各族人民。</w:t>
      </w:r>
    </w:p>
    <w:p>
      <w:pPr>
        <w:widowControl/>
        <w:spacing w:line="560" w:lineRule="exact"/>
        <w:ind w:firstLine="640" w:firstLineChars="200"/>
        <w:jc w:val="left"/>
        <w:rPr>
          <w:rFonts w:hint="eastAsia" w:ascii="仿宋_GB2312" w:hAnsi="黑体" w:eastAsia="仿宋_GB2312" w:cs="宋体"/>
          <w:bCs/>
          <w:kern w:val="0"/>
          <w:sz w:val="32"/>
          <w:szCs w:val="32"/>
        </w:rPr>
      </w:pPr>
      <w:r>
        <w:rPr>
          <w:rFonts w:hint="eastAsia" w:ascii="仿宋_GB2312" w:hAnsi="黑体" w:eastAsia="仿宋_GB2312" w:cs="宋体"/>
          <w:bCs/>
          <w:kern w:val="0"/>
          <w:sz w:val="32"/>
          <w:szCs w:val="32"/>
        </w:rPr>
        <w:t>7、负责驻乌流动人口工作站及驻京联络处流动人口的管理，协调工作，上访人员的处理协调工作</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_GB2312" w:hAnsi="黑体" w:eastAsia="仿宋_GB2312" w:cs="宋体"/>
          <w:bCs/>
          <w:kern w:val="0"/>
          <w:sz w:val="32"/>
          <w:szCs w:val="32"/>
        </w:rPr>
        <w:t>8、承办自治州党委、人民政府交办的其它工作。</w:t>
      </w:r>
    </w:p>
    <w:p>
      <w:pPr>
        <w:widowControl/>
        <w:tabs>
          <w:tab w:val="center" w:pos="4450"/>
        </w:tabs>
        <w:spacing w:line="560" w:lineRule="exact"/>
        <w:ind w:firstLine="640"/>
        <w:jc w:val="left"/>
        <w:rPr>
          <w:rFonts w:hint="eastAsia" w:ascii="黑体" w:hAnsi="黑体" w:eastAsia="黑体" w:cs="宋体"/>
          <w:bCs/>
          <w:kern w:val="0"/>
          <w:sz w:val="32"/>
          <w:szCs w:val="32"/>
        </w:rPr>
      </w:pPr>
      <w:r>
        <w:rPr>
          <w:rFonts w:hint="eastAsia" w:ascii="黑体" w:hAnsi="黑体" w:eastAsia="黑体" w:cs="宋体"/>
          <w:bCs/>
          <w:kern w:val="0"/>
          <w:sz w:val="32"/>
          <w:szCs w:val="32"/>
          <w:lang w:val="en-US" w:eastAsia="zh-CN"/>
        </w:rPr>
        <w:t>二、</w:t>
      </w:r>
      <w:r>
        <w:rPr>
          <w:rFonts w:hint="eastAsia" w:ascii="黑体" w:hAnsi="黑体" w:eastAsia="黑体" w:cs="宋体"/>
          <w:bCs/>
          <w:kern w:val="0"/>
          <w:sz w:val="32"/>
          <w:szCs w:val="32"/>
        </w:rPr>
        <w:t>机构设置及人员情况:</w:t>
      </w:r>
    </w:p>
    <w:p>
      <w:pPr>
        <w:widowControl/>
        <w:tabs>
          <w:tab w:val="center" w:pos="4450"/>
        </w:tabs>
        <w:spacing w:line="56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b w:val="0"/>
          <w:bCs/>
          <w:kern w:val="0"/>
          <w:sz w:val="32"/>
          <w:szCs w:val="32"/>
        </w:rPr>
        <w:t>克州人民政府驻乌鲁木齐办事处</w:t>
      </w:r>
      <w:r>
        <w:rPr>
          <w:rFonts w:hint="eastAsia" w:ascii="仿宋_GB2312" w:hAnsi="黑体" w:eastAsia="仿宋_GB2312" w:cs="宋体"/>
          <w:bCs/>
          <w:kern w:val="0"/>
          <w:sz w:val="32"/>
          <w:szCs w:val="32"/>
        </w:rPr>
        <w:t>无下属预算单位，</w:t>
      </w:r>
      <w:r>
        <w:rPr>
          <w:rFonts w:hint="eastAsia" w:ascii="仿宋_GB2312" w:hAnsi="仿宋_GB2312" w:eastAsia="仿宋_GB2312" w:cs="仿宋_GB2312"/>
          <w:b w:val="0"/>
          <w:bCs/>
          <w:kern w:val="0"/>
          <w:sz w:val="32"/>
          <w:szCs w:val="32"/>
        </w:rPr>
        <w:t>下设4个处室，分别是：办公室、财务科、接待科、保卫物业科。</w:t>
      </w:r>
    </w:p>
    <w:p>
      <w:pPr>
        <w:widowControl/>
        <w:tabs>
          <w:tab w:val="center" w:pos="4450"/>
        </w:tabs>
        <w:spacing w:line="560" w:lineRule="exact"/>
        <w:ind w:firstLine="640" w:firstLineChars="200"/>
        <w:jc w:val="left"/>
        <w:rPr>
          <w:rFonts w:hint="eastAsia" w:ascii="仿宋_GB2312" w:hAnsi="仿宋_GB2312" w:eastAsia="仿宋_GB2312" w:cs="仿宋_GB2312"/>
          <w:b w:val="0"/>
          <w:bCs/>
          <w:kern w:val="0"/>
          <w:sz w:val="32"/>
          <w:szCs w:val="32"/>
          <w:highlight w:val="none"/>
          <w:lang w:eastAsia="zh-CN"/>
        </w:rPr>
      </w:pPr>
      <w:r>
        <w:rPr>
          <w:rFonts w:hint="eastAsia" w:ascii="仿宋_GB2312" w:hAnsi="仿宋_GB2312" w:eastAsia="仿宋_GB2312" w:cs="仿宋_GB2312"/>
          <w:b w:val="0"/>
          <w:bCs/>
          <w:kern w:val="0"/>
          <w:sz w:val="32"/>
          <w:szCs w:val="32"/>
        </w:rPr>
        <w:t>克州人民政府驻乌鲁木齐办事处</w:t>
      </w:r>
      <w:r>
        <w:rPr>
          <w:rFonts w:hint="eastAsia" w:ascii="仿宋_GB2312" w:hAnsi="宋体" w:eastAsia="仿宋_GB2312" w:cs="宋体"/>
          <w:kern w:val="0"/>
          <w:sz w:val="32"/>
          <w:szCs w:val="32"/>
        </w:rPr>
        <w:t>编制数</w:t>
      </w:r>
      <w:r>
        <w:rPr>
          <w:rFonts w:hint="eastAsia" w:ascii="仿宋_GB2312" w:hAnsi="仿宋_GB2312" w:eastAsia="仿宋_GB2312" w:cs="仿宋_GB2312"/>
          <w:b w:val="0"/>
          <w:bCs/>
          <w:kern w:val="0"/>
          <w:sz w:val="32"/>
          <w:szCs w:val="32"/>
        </w:rPr>
        <w:t>14。</w:t>
      </w:r>
      <w:r>
        <w:rPr>
          <w:rFonts w:hint="eastAsia" w:ascii="仿宋_GB2312" w:hAnsi="仿宋_GB2312" w:eastAsia="仿宋_GB2312" w:cs="仿宋_GB2312"/>
          <w:b w:val="0"/>
          <w:bCs/>
          <w:kern w:val="0"/>
          <w:sz w:val="32"/>
          <w:szCs w:val="32"/>
          <w:lang w:eastAsia="zh-CN"/>
        </w:rPr>
        <w:t>实有</w:t>
      </w:r>
      <w:r>
        <w:rPr>
          <w:rFonts w:hint="eastAsia" w:ascii="仿宋_GB2312" w:hAnsi="仿宋_GB2312" w:eastAsia="仿宋_GB2312" w:cs="仿宋_GB2312"/>
          <w:b w:val="0"/>
          <w:bCs/>
          <w:kern w:val="0"/>
          <w:sz w:val="32"/>
          <w:szCs w:val="32"/>
        </w:rPr>
        <w:t>人数</w:t>
      </w:r>
      <w:r>
        <w:rPr>
          <w:rFonts w:hint="eastAsia" w:ascii="仿宋_GB2312" w:hAnsi="仿宋_GB2312" w:eastAsia="仿宋_GB2312" w:cs="仿宋_GB2312"/>
          <w:b w:val="0"/>
          <w:bCs/>
          <w:kern w:val="0"/>
          <w:sz w:val="32"/>
          <w:szCs w:val="32"/>
          <w:lang w:val="en-US" w:eastAsia="zh-CN"/>
        </w:rPr>
        <w:t>16人，其中</w:t>
      </w:r>
      <w:r>
        <w:rPr>
          <w:rFonts w:hint="eastAsia" w:ascii="仿宋_GB2312" w:hAnsi="仿宋_GB2312" w:eastAsia="仿宋_GB2312" w:cs="仿宋_GB2312"/>
          <w:b w:val="0"/>
          <w:bCs/>
          <w:kern w:val="0"/>
          <w:sz w:val="32"/>
          <w:szCs w:val="32"/>
          <w:highlight w:val="none"/>
          <w:lang w:val="en-US" w:eastAsia="zh-CN"/>
        </w:rPr>
        <w:t>：</w:t>
      </w:r>
      <w:r>
        <w:rPr>
          <w:rFonts w:hint="eastAsia" w:ascii="仿宋_GB2312" w:hAnsi="仿宋_GB2312" w:eastAsia="仿宋_GB2312" w:cs="仿宋_GB2312"/>
          <w:b w:val="0"/>
          <w:bCs/>
          <w:kern w:val="0"/>
          <w:sz w:val="32"/>
          <w:szCs w:val="32"/>
          <w:highlight w:val="none"/>
        </w:rPr>
        <w:t>在职11人，</w:t>
      </w:r>
      <w:r>
        <w:rPr>
          <w:rFonts w:hint="eastAsia" w:ascii="仿宋_GB2312" w:hAnsi="仿宋_GB2312" w:eastAsia="仿宋_GB2312" w:cs="仿宋_GB2312"/>
          <w:b w:val="0"/>
          <w:bCs/>
          <w:kern w:val="0"/>
          <w:sz w:val="32"/>
          <w:szCs w:val="32"/>
          <w:highlight w:val="none"/>
          <w:lang w:eastAsia="zh-CN"/>
        </w:rPr>
        <w:t>增加</w:t>
      </w:r>
      <w:r>
        <w:rPr>
          <w:rFonts w:hint="eastAsia" w:ascii="仿宋_GB2312" w:hAnsi="仿宋_GB2312" w:eastAsia="仿宋_GB2312" w:cs="仿宋_GB2312"/>
          <w:b w:val="0"/>
          <w:bCs/>
          <w:kern w:val="0"/>
          <w:sz w:val="32"/>
          <w:szCs w:val="32"/>
          <w:highlight w:val="none"/>
          <w:lang w:val="en-US" w:eastAsia="zh-CN"/>
        </w:rPr>
        <w:t>0人；</w:t>
      </w:r>
      <w:r>
        <w:rPr>
          <w:rFonts w:hint="eastAsia" w:ascii="仿宋_GB2312" w:hAnsi="仿宋_GB2312" w:eastAsia="仿宋_GB2312" w:cs="仿宋_GB2312"/>
          <w:b w:val="0"/>
          <w:bCs/>
          <w:kern w:val="0"/>
          <w:sz w:val="32"/>
          <w:szCs w:val="32"/>
          <w:highlight w:val="none"/>
          <w:lang w:eastAsia="zh-CN"/>
        </w:rPr>
        <w:t>离休</w:t>
      </w:r>
      <w:r>
        <w:rPr>
          <w:rFonts w:hint="eastAsia" w:ascii="仿宋_GB2312" w:hAnsi="仿宋_GB2312" w:eastAsia="仿宋_GB2312" w:cs="仿宋_GB2312"/>
          <w:b w:val="0"/>
          <w:bCs/>
          <w:kern w:val="0"/>
          <w:sz w:val="32"/>
          <w:szCs w:val="32"/>
          <w:highlight w:val="none"/>
          <w:lang w:val="en-US" w:eastAsia="zh-CN"/>
        </w:rPr>
        <w:t>0人，增加0人；</w:t>
      </w:r>
      <w:r>
        <w:rPr>
          <w:rFonts w:hint="eastAsia" w:ascii="仿宋_GB2312" w:hAnsi="仿宋_GB2312" w:eastAsia="仿宋_GB2312" w:cs="仿宋_GB2312"/>
          <w:b w:val="0"/>
          <w:bCs/>
          <w:kern w:val="0"/>
          <w:sz w:val="32"/>
          <w:szCs w:val="32"/>
          <w:highlight w:val="none"/>
        </w:rPr>
        <w:t>退休5人</w:t>
      </w:r>
      <w:r>
        <w:rPr>
          <w:rFonts w:hint="eastAsia" w:ascii="仿宋_GB2312" w:hAnsi="仿宋_GB2312" w:eastAsia="仿宋_GB2312" w:cs="仿宋_GB2312"/>
          <w:b w:val="0"/>
          <w:bCs/>
          <w:kern w:val="0"/>
          <w:sz w:val="32"/>
          <w:szCs w:val="32"/>
          <w:highlight w:val="none"/>
          <w:lang w:eastAsia="zh-CN"/>
        </w:rPr>
        <w:t>，增加</w:t>
      </w:r>
      <w:r>
        <w:rPr>
          <w:rFonts w:hint="eastAsia" w:ascii="仿宋_GB2312" w:hAnsi="仿宋_GB2312" w:eastAsia="仿宋_GB2312" w:cs="仿宋_GB2312"/>
          <w:b w:val="0"/>
          <w:bCs/>
          <w:kern w:val="0"/>
          <w:sz w:val="32"/>
          <w:szCs w:val="32"/>
          <w:highlight w:val="none"/>
          <w:lang w:val="en-US" w:eastAsia="zh-CN"/>
        </w:rPr>
        <w:t>0人</w:t>
      </w:r>
      <w:r>
        <w:rPr>
          <w:rFonts w:hint="eastAsia" w:ascii="仿宋_GB2312" w:hAnsi="仿宋_GB2312" w:eastAsia="仿宋_GB2312" w:cs="仿宋_GB2312"/>
          <w:b w:val="0"/>
          <w:bCs/>
          <w:kern w:val="0"/>
          <w:sz w:val="32"/>
          <w:szCs w:val="32"/>
          <w:highlight w:val="none"/>
          <w:lang w:eastAsia="zh-CN"/>
        </w:rPr>
        <w:t>。</w:t>
      </w:r>
    </w:p>
    <w:p>
      <w:pPr>
        <w:widowControl/>
        <w:tabs>
          <w:tab w:val="center" w:pos="4450"/>
        </w:tabs>
        <w:spacing w:line="560" w:lineRule="exact"/>
        <w:jc w:val="both"/>
        <w:rPr>
          <w:rFonts w:ascii="黑体" w:hAnsi="黑体" w:eastAsia="黑体"/>
          <w:b/>
          <w:bCs w:val="0"/>
          <w:kern w:val="0"/>
          <w:sz w:val="32"/>
          <w:szCs w:val="32"/>
        </w:rPr>
      </w:pPr>
      <w:r>
        <w:rPr>
          <w:rFonts w:hint="eastAsia" w:ascii="黑体" w:hAnsi="黑体" w:eastAsia="黑体"/>
          <w:b/>
          <w:bCs w:val="0"/>
          <w:kern w:val="0"/>
          <w:sz w:val="32"/>
          <w:szCs w:val="32"/>
        </w:rPr>
        <w:t xml:space="preserve">第二部分  </w:t>
      </w:r>
      <w:r>
        <w:rPr>
          <w:rFonts w:hint="eastAsia" w:ascii="黑体" w:hAnsi="黑体" w:eastAsia="黑体"/>
          <w:b/>
          <w:bCs w:val="0"/>
          <w:kern w:val="0"/>
          <w:sz w:val="32"/>
          <w:szCs w:val="32"/>
          <w:lang w:val="en-US" w:eastAsia="zh-CN"/>
        </w:rPr>
        <w:t>2021</w:t>
      </w:r>
      <w:r>
        <w:rPr>
          <w:rFonts w:hint="eastAsia" w:ascii="黑体" w:hAnsi="黑体" w:eastAsia="黑体"/>
          <w:b/>
          <w:bCs w:val="0"/>
          <w:kern w:val="0"/>
          <w:sz w:val="32"/>
          <w:szCs w:val="32"/>
        </w:rPr>
        <w:t>年</w:t>
      </w:r>
      <w:r>
        <w:rPr>
          <w:rFonts w:hint="eastAsia" w:ascii="黑体" w:hAnsi="黑体" w:eastAsia="黑体"/>
          <w:b/>
          <w:bCs w:val="0"/>
          <w:kern w:val="0"/>
          <w:sz w:val="32"/>
          <w:szCs w:val="32"/>
          <w:lang w:eastAsia="zh-CN"/>
        </w:rPr>
        <w:t>克州人民政府驻乌鲁木齐办事处</w:t>
      </w:r>
      <w:r>
        <w:rPr>
          <w:rFonts w:hint="eastAsia" w:ascii="黑体" w:hAnsi="黑体" w:eastAsia="黑体"/>
          <w:b/>
          <w:bCs w:val="0"/>
          <w:kern w:val="0"/>
          <w:sz w:val="32"/>
          <w:szCs w:val="32"/>
        </w:rPr>
        <w:t>预算公开表</w:t>
      </w:r>
    </w:p>
    <w:p>
      <w:pPr>
        <w:widowControl/>
        <w:spacing w:line="280" w:lineRule="exact"/>
        <w:outlineLvl w:val="1"/>
        <w:rPr>
          <w:rFonts w:hint="eastAsia" w:ascii="仿宋_GB2312" w:hAnsi="宋体" w:eastAsia="仿宋_GB2312"/>
          <w:b/>
          <w:bCs w:val="0"/>
          <w:kern w:val="0"/>
          <w:sz w:val="32"/>
          <w:szCs w:val="32"/>
        </w:rPr>
      </w:pPr>
    </w:p>
    <w:p>
      <w:pPr>
        <w:widowControl/>
        <w:spacing w:line="280" w:lineRule="exact"/>
        <w:outlineLvl w:val="1"/>
        <w:rPr>
          <w:rFonts w:ascii="仿宋_GB2312" w:hAnsi="宋体" w:eastAsia="仿宋_GB2312"/>
          <w:b/>
          <w:bCs w:val="0"/>
          <w:kern w:val="0"/>
          <w:sz w:val="32"/>
          <w:szCs w:val="32"/>
        </w:rPr>
      </w:pPr>
      <w:r>
        <w:rPr>
          <w:rFonts w:hint="eastAsia" w:ascii="仿宋_GB2312" w:hAnsi="宋体" w:eastAsia="仿宋_GB2312"/>
          <w:b/>
          <w:bCs w:val="0"/>
          <w:kern w:val="0"/>
          <w:sz w:val="32"/>
          <w:szCs w:val="32"/>
        </w:rPr>
        <w:t>表一：</w:t>
      </w:r>
    </w:p>
    <w:p>
      <w:pPr>
        <w:widowControl/>
        <w:spacing w:line="280" w:lineRule="exact"/>
        <w:jc w:val="center"/>
        <w:outlineLvl w:val="1"/>
        <w:rPr>
          <w:rFonts w:ascii="仿宋_GB2312" w:hAnsi="宋体" w:eastAsia="仿宋_GB2312"/>
          <w:b/>
          <w:bCs w:val="0"/>
          <w:kern w:val="0"/>
          <w:sz w:val="32"/>
          <w:szCs w:val="32"/>
        </w:rPr>
      </w:pPr>
      <w:r>
        <w:rPr>
          <w:rFonts w:hint="eastAsia" w:ascii="仿宋_GB2312" w:hAnsi="宋体" w:eastAsia="仿宋_GB2312"/>
          <w:b/>
          <w:bCs w:val="0"/>
          <w:kern w:val="0"/>
          <w:sz w:val="32"/>
          <w:szCs w:val="32"/>
          <w:lang w:eastAsia="zh-CN"/>
        </w:rPr>
        <w:t>克州人民政府驻乌鲁木齐办事处</w:t>
      </w:r>
      <w:r>
        <w:rPr>
          <w:rFonts w:hint="eastAsia" w:ascii="仿宋_GB2312" w:hAnsi="宋体" w:eastAsia="仿宋_GB2312"/>
          <w:b/>
          <w:bCs w:val="0"/>
          <w:kern w:val="0"/>
          <w:sz w:val="32"/>
          <w:szCs w:val="32"/>
        </w:rPr>
        <w:t>收支总体情况表</w:t>
      </w:r>
    </w:p>
    <w:p>
      <w:pPr>
        <w:widowControl/>
        <w:spacing w:line="280" w:lineRule="exact"/>
        <w:outlineLvl w:val="1"/>
        <w:rPr>
          <w:rFonts w:hint="eastAsia" w:ascii="仿宋_GB2312" w:hAnsi="宋体" w:eastAsia="仿宋_GB2312"/>
          <w:b/>
          <w:bCs w:val="0"/>
          <w:kern w:val="0"/>
          <w:sz w:val="24"/>
        </w:rPr>
      </w:pPr>
    </w:p>
    <w:p>
      <w:pPr>
        <w:widowControl/>
        <w:spacing w:line="280" w:lineRule="exact"/>
        <w:outlineLvl w:val="1"/>
        <w:rPr>
          <w:rFonts w:ascii="仿宋_GB2312" w:hAnsi="宋体" w:eastAsia="仿宋_GB2312"/>
          <w:b/>
          <w:bCs w:val="0"/>
          <w:kern w:val="0"/>
          <w:sz w:val="24"/>
        </w:rPr>
      </w:pPr>
      <w:r>
        <w:rPr>
          <w:rFonts w:hint="eastAsia" w:ascii="仿宋_GB2312" w:hAnsi="宋体" w:eastAsia="仿宋_GB2312"/>
          <w:b/>
          <w:bCs w:val="0"/>
          <w:kern w:val="0"/>
          <w:sz w:val="24"/>
        </w:rPr>
        <w:t>编制部门（单位）：</w:t>
      </w:r>
      <w:r>
        <w:rPr>
          <w:rFonts w:hint="eastAsia" w:ascii="仿宋_GB2312" w:hAnsi="宋体" w:eastAsia="仿宋_GB2312"/>
          <w:b/>
          <w:bCs w:val="0"/>
          <w:kern w:val="0"/>
          <w:sz w:val="24"/>
          <w:lang w:eastAsia="zh-CN"/>
        </w:rPr>
        <w:t>克州人民政府驻乌鲁木齐办事处</w:t>
      </w:r>
      <w:r>
        <w:rPr>
          <w:rFonts w:hint="eastAsia" w:ascii="仿宋_GB2312" w:hAnsi="宋体" w:eastAsia="仿宋_GB2312"/>
          <w:b/>
          <w:bCs w:val="0"/>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val="0"/>
                <w:kern w:val="0"/>
                <w:sz w:val="24"/>
              </w:rPr>
            </w:pPr>
            <w:r>
              <w:rPr>
                <w:rFonts w:hint="eastAsia" w:ascii="仿宋_GB2312" w:hAnsi="宋体" w:eastAsia="仿宋_GB2312" w:cs="宋体"/>
                <w:b/>
                <w:bCs w:val="0"/>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val="0"/>
                <w:kern w:val="0"/>
                <w:sz w:val="24"/>
              </w:rPr>
            </w:pPr>
            <w:r>
              <w:rPr>
                <w:rFonts w:hint="eastAsia" w:ascii="仿宋_GB2312" w:hAnsi="宋体" w:eastAsia="仿宋_GB2312" w:cs="宋体"/>
                <w:b/>
                <w:bCs w:val="0"/>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174.05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174.05</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174.05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ind w:firstLine="180" w:firstLineChars="100"/>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w:t>
            </w:r>
            <w:r>
              <w:rPr>
                <w:rFonts w:hint="eastAsia" w:ascii="仿宋_GB2312" w:hAnsi="宋体" w:eastAsia="仿宋_GB2312" w:cs="宋体"/>
                <w:kern w:val="0"/>
                <w:sz w:val="18"/>
                <w:szCs w:val="18"/>
                <w:highlight w:val="none"/>
                <w:lang w:eastAsia="zh-CN"/>
              </w:rPr>
              <w:t>预算</w:t>
            </w:r>
            <w:r>
              <w:rPr>
                <w:rFonts w:ascii="仿宋_GB2312" w:hAnsi="宋体" w:eastAsia="仿宋_GB2312" w:cs="宋体"/>
                <w:color w:val="FFFFFF" w:themeColor="background1"/>
                <w:kern w:val="0"/>
                <w:sz w:val="18"/>
                <w:szCs w:val="18"/>
                <w:highlight w:val="none"/>
                <w14:textFill>
                  <w14:solidFill>
                    <w14:schemeClr w14:val="bg1"/>
                  </w14:solidFill>
                </w14:textFill>
              </w:rPr>
              <w:t>预算</w:t>
            </w:r>
          </w:p>
        </w:tc>
        <w:tc>
          <w:tcPr>
            <w:tcW w:w="1988" w:type="dxa"/>
            <w:tcBorders>
              <w:top w:val="nil"/>
              <w:left w:val="nil"/>
              <w:bottom w:val="single" w:color="auto" w:sz="4" w:space="0"/>
              <w:right w:val="single" w:color="auto" w:sz="4" w:space="0"/>
            </w:tcBorders>
            <w:vAlign w:val="center"/>
          </w:tcPr>
          <w:p>
            <w:pPr>
              <w:widowControl/>
              <w:spacing w:line="280" w:lineRule="exact"/>
              <w:jc w:val="both"/>
              <w:rPr>
                <w:rFonts w:hint="eastAsia" w:ascii="仿宋_GB2312" w:hAnsi="宋体" w:eastAsia="仿宋_GB2312" w:cs="宋体"/>
                <w:kern w:val="0"/>
                <w:sz w:val="18"/>
                <w:szCs w:val="18"/>
                <w:highlight w:val="none"/>
              </w:rPr>
            </w:pPr>
          </w:p>
        </w:tc>
        <w:tc>
          <w:tcPr>
            <w:tcW w:w="2693" w:type="dxa"/>
            <w:tcBorders>
              <w:top w:val="nil"/>
              <w:left w:val="nil"/>
              <w:bottom w:val="single" w:color="auto" w:sz="4" w:space="0"/>
              <w:right w:val="nil"/>
            </w:tcBorders>
            <w:vAlign w:val="center"/>
          </w:tcPr>
          <w:p>
            <w:pPr>
              <w:widowControl/>
              <w:spacing w:line="280" w:lineRule="exact"/>
              <w:jc w:val="left"/>
              <w:rPr>
                <w:rFonts w:hint="eastAsia" w:ascii="仿宋_GB2312" w:hAnsi="宋体" w:eastAsia="仿宋_GB2312" w:cs="宋体"/>
                <w:kern w:val="0"/>
                <w:sz w:val="18"/>
                <w:szCs w:val="18"/>
              </w:rPr>
            </w:pP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174.05</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174.05</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克州人民政府驻乌鲁木齐办事处</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克州人民政府驻乌鲁木齐办事处</w:t>
      </w:r>
      <w:r>
        <w:rPr>
          <w:rFonts w:hint="eastAsia" w:ascii="仿宋_GB2312" w:hAnsi="宋体" w:eastAsia="仿宋_GB2312"/>
          <w:kern w:val="0"/>
          <w:sz w:val="24"/>
        </w:rPr>
        <w:t xml:space="preserve">                                 单位：万元</w:t>
      </w:r>
    </w:p>
    <w:tbl>
      <w:tblPr>
        <w:tblStyle w:val="7"/>
        <w:tblW w:w="10634" w:type="dxa"/>
        <w:tblInd w:w="-450" w:type="dxa"/>
        <w:tblLayout w:type="fixed"/>
        <w:tblCellMar>
          <w:top w:w="0" w:type="dxa"/>
          <w:left w:w="108" w:type="dxa"/>
          <w:bottom w:w="0" w:type="dxa"/>
          <w:right w:w="108" w:type="dxa"/>
        </w:tblCellMar>
      </w:tblPr>
      <w:tblGrid>
        <w:gridCol w:w="518"/>
        <w:gridCol w:w="500"/>
        <w:gridCol w:w="368"/>
        <w:gridCol w:w="1311"/>
        <w:gridCol w:w="1198"/>
        <w:gridCol w:w="1113"/>
        <w:gridCol w:w="384"/>
        <w:gridCol w:w="716"/>
        <w:gridCol w:w="524"/>
        <w:gridCol w:w="524"/>
        <w:gridCol w:w="562"/>
        <w:gridCol w:w="562"/>
        <w:gridCol w:w="544"/>
        <w:gridCol w:w="540"/>
        <w:gridCol w:w="642"/>
        <w:gridCol w:w="628"/>
      </w:tblGrid>
      <w:tr>
        <w:tblPrEx>
          <w:tblCellMar>
            <w:top w:w="0" w:type="dxa"/>
            <w:left w:w="108" w:type="dxa"/>
            <w:bottom w:w="0" w:type="dxa"/>
            <w:right w:w="108" w:type="dxa"/>
          </w:tblCellMar>
        </w:tblPrEx>
        <w:trPr>
          <w:trHeight w:val="2701" w:hRule="atLeast"/>
        </w:trPr>
        <w:tc>
          <w:tcPr>
            <w:tcW w:w="138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311"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9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113"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8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1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24" w:type="dxa"/>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highlight w:val="none"/>
              </w:rPr>
              <w:t>国</w:t>
            </w:r>
            <w:r>
              <w:rPr>
                <w:rFonts w:hint="eastAsia" w:ascii="仿宋_GB2312" w:eastAsia="仿宋_GB2312"/>
                <w:b/>
                <w:color w:val="000000"/>
                <w:sz w:val="20"/>
                <w:szCs w:val="20"/>
                <w:highlight w:val="none"/>
                <w:lang w:eastAsia="zh-CN"/>
              </w:rPr>
              <w:t>有</w:t>
            </w:r>
            <w:r>
              <w:rPr>
                <w:rFonts w:hint="eastAsia" w:ascii="仿宋_GB2312" w:eastAsia="仿宋_GB2312"/>
                <w:b/>
                <w:color w:val="000000"/>
                <w:sz w:val="20"/>
                <w:szCs w:val="20"/>
                <w:highlight w:val="none"/>
              </w:rPr>
              <w:t>资本</w:t>
            </w:r>
            <w:r>
              <w:rPr>
                <w:rFonts w:ascii="仿宋_GB2312" w:eastAsia="仿宋_GB2312"/>
                <w:b/>
                <w:color w:val="000000"/>
                <w:sz w:val="20"/>
                <w:szCs w:val="20"/>
                <w:highlight w:val="none"/>
              </w:rPr>
              <w:t>经营预算</w:t>
            </w:r>
          </w:p>
        </w:tc>
        <w:tc>
          <w:tcPr>
            <w:tcW w:w="52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62" w:type="dxa"/>
            <w:tcBorders>
              <w:top w:val="single" w:color="auto" w:sz="4" w:space="0"/>
              <w:left w:val="single" w:color="auto" w:sz="4" w:space="0"/>
              <w:bottom w:val="single" w:color="000000"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2"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44"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540"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642"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8" w:type="dxa"/>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800" w:hRule="atLeast"/>
        </w:trPr>
        <w:tc>
          <w:tcPr>
            <w:tcW w:w="51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w:t>
            </w: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w:t>
            </w: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w:t>
            </w: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eastAsia="宋体" w:cs="宋体"/>
                <w:i w:val="0"/>
                <w:color w:val="000000"/>
                <w:kern w:val="0"/>
                <w:sz w:val="20"/>
                <w:szCs w:val="20"/>
                <w:u w:val="none"/>
                <w:lang w:val="en-US" w:eastAsia="zh-CN" w:bidi="ar"/>
              </w:rPr>
              <w:t>行政运行（政府办公厅（室）及相关机构事务）</w:t>
            </w:r>
          </w:p>
        </w:tc>
        <w:tc>
          <w:tcPr>
            <w:tcW w:w="119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174.05</w:t>
            </w:r>
          </w:p>
        </w:tc>
        <w:tc>
          <w:tcPr>
            <w:tcW w:w="1113"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174.05</w:t>
            </w:r>
          </w:p>
        </w:tc>
        <w:tc>
          <w:tcPr>
            <w:tcW w:w="3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35" w:hRule="atLeast"/>
        </w:trPr>
        <w:tc>
          <w:tcPr>
            <w:tcW w:w="518" w:type="dxa"/>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2</w:t>
            </w:r>
          </w:p>
          <w:p>
            <w:pPr>
              <w:jc w:val="right"/>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1</w:t>
            </w: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0</w:t>
            </w:r>
          </w:p>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w:t>
            </w: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keepNext w:val="0"/>
              <w:keepLines w:val="0"/>
              <w:widowControl/>
              <w:suppressLineNumbers w:val="0"/>
              <w:ind w:firstLine="200" w:firstLineChars="100"/>
              <w:jc w:val="both"/>
              <w:textAlignment w:val="center"/>
              <w:rPr>
                <w:rFonts w:hint="eastAsia" w:ascii="宋体" w:hAnsi="宋体" w:eastAsia="宋体" w:cs="宋体"/>
                <w:i w:val="0"/>
                <w:color w:val="000000"/>
                <w:kern w:val="2"/>
                <w:sz w:val="20"/>
                <w:szCs w:val="20"/>
                <w:u w:val="none"/>
                <w:lang w:val="en-US" w:eastAsia="zh-CN" w:bidi="ar-SA"/>
              </w:rPr>
            </w:pPr>
            <w:r>
              <w:rPr>
                <w:rFonts w:hint="eastAsia" w:ascii="宋体" w:hAnsi="宋体" w:cs="宋体"/>
                <w:i w:val="0"/>
                <w:color w:val="000000"/>
                <w:kern w:val="2"/>
                <w:sz w:val="20"/>
                <w:szCs w:val="20"/>
                <w:u w:val="none"/>
                <w:lang w:val="en-US" w:eastAsia="zh-CN" w:bidi="ar-SA"/>
              </w:rPr>
              <w:t>行政运行</w:t>
            </w:r>
          </w:p>
        </w:tc>
        <w:tc>
          <w:tcPr>
            <w:tcW w:w="11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174.05</w:t>
            </w:r>
          </w:p>
        </w:tc>
        <w:tc>
          <w:tcPr>
            <w:tcW w:w="111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174.05</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3"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65"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81" w:hRule="atLeast"/>
        </w:trPr>
        <w:tc>
          <w:tcPr>
            <w:tcW w:w="51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31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19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174.05</w:t>
            </w:r>
          </w:p>
        </w:tc>
        <w:tc>
          <w:tcPr>
            <w:tcW w:w="1113"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174.05</w:t>
            </w:r>
            <w:r>
              <w:rPr>
                <w:rFonts w:hint="eastAsia" w:ascii="仿宋_GB2312" w:eastAsia="仿宋_GB2312"/>
                <w:color w:val="000000"/>
                <w:sz w:val="20"/>
                <w:szCs w:val="20"/>
              </w:rPr>
              <w:t>　</w:t>
            </w:r>
          </w:p>
        </w:tc>
        <w:tc>
          <w:tcPr>
            <w:tcW w:w="3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1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24"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rPr>
            </w:pPr>
          </w:p>
        </w:tc>
        <w:tc>
          <w:tcPr>
            <w:tcW w:w="5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2" w:type="dxa"/>
            <w:tcBorders>
              <w:top w:val="nil"/>
              <w:left w:val="nil"/>
              <w:bottom w:val="single" w:color="auto" w:sz="4" w:space="0"/>
              <w:right w:val="nil"/>
            </w:tcBorders>
          </w:tcPr>
          <w:p>
            <w:pPr>
              <w:jc w:val="right"/>
              <w:rPr>
                <w:rFonts w:ascii="仿宋_GB2312" w:eastAsia="仿宋_GB2312"/>
                <w:color w:val="000000"/>
                <w:sz w:val="20"/>
                <w:szCs w:val="20"/>
              </w:rPr>
            </w:pPr>
          </w:p>
        </w:tc>
        <w:tc>
          <w:tcPr>
            <w:tcW w:w="5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40"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42"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628"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克州人民政府驻乌鲁木齐办事处</w:t>
      </w:r>
      <w:r>
        <w:rPr>
          <w:rFonts w:hint="eastAsia" w:ascii="仿宋_GB2312" w:hAnsi="宋体" w:eastAsia="仿宋_GB2312"/>
          <w:b/>
          <w:kern w:val="0"/>
          <w:sz w:val="32"/>
          <w:szCs w:val="32"/>
        </w:rPr>
        <w:t>支出总体情况表</w:t>
      </w: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克州人民政府驻乌鲁木齐办事处</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64"/>
        <w:gridCol w:w="497"/>
        <w:gridCol w:w="295"/>
        <w:gridCol w:w="2549"/>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593" w:hRule="atLeast"/>
        </w:trPr>
        <w:tc>
          <w:tcPr>
            <w:tcW w:w="1256"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2</w:t>
            </w:r>
          </w:p>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w:t>
            </w:r>
          </w:p>
          <w:p>
            <w:pPr>
              <w:widowControl/>
              <w:spacing w:line="280" w:lineRule="exact"/>
              <w:jc w:val="center"/>
              <w:rPr>
                <w:rFonts w:hint="default"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1</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w:t>
            </w:r>
          </w:p>
          <w:p>
            <w:pPr>
              <w:widowControl/>
              <w:spacing w:line="280" w:lineRule="exact"/>
              <w:jc w:val="center"/>
              <w:rPr>
                <w:rFonts w:hint="default" w:ascii="宋体" w:hAnsi="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3</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r>
              <w:rPr>
                <w:rFonts w:hint="eastAsia" w:ascii="宋体" w:hAnsi="宋体" w:cs="宋体"/>
                <w:b/>
                <w:bCs/>
                <w:color w:val="000000"/>
                <w:kern w:val="0"/>
                <w:sz w:val="16"/>
                <w:szCs w:val="16"/>
                <w:lang w:val="en-US" w:eastAsia="zh-CN"/>
              </w:rPr>
              <w:t>01</w:t>
            </w:r>
          </w:p>
        </w:tc>
        <w:tc>
          <w:tcPr>
            <w:tcW w:w="2549"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行政运行（政府办公厅（室）及相关机构事务）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174.05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lang w:val="en-US" w:eastAsia="zh-CN"/>
              </w:rPr>
              <w:t>174.05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val="en-US" w:eastAsia="zh-CN"/>
              </w:rPr>
            </w:pPr>
            <w:r>
              <w:rPr>
                <w:rFonts w:hint="eastAsia" w:ascii="宋体" w:hAnsi="宋体" w:cs="宋体"/>
                <w:b/>
                <w:bCs/>
                <w:color w:val="000000"/>
                <w:kern w:val="0"/>
                <w:sz w:val="22"/>
                <w:szCs w:val="22"/>
              </w:rPr>
              <w:t>　</w:t>
            </w:r>
            <w:r>
              <w:rPr>
                <w:rFonts w:hint="eastAsia" w:ascii="宋体" w:hAnsi="宋体" w:cs="宋体"/>
                <w:b/>
                <w:bCs/>
                <w:color w:val="000000"/>
                <w:kern w:val="0"/>
                <w:sz w:val="22"/>
                <w:szCs w:val="22"/>
                <w:lang w:val="en-US" w:eastAsia="zh-CN"/>
              </w:rPr>
              <w:t>0</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both"/>
              <w:rPr>
                <w:rFonts w:hint="default" w:ascii="宋体" w:hAnsi="宋体" w:eastAsia="宋体" w:cs="宋体"/>
                <w:b/>
                <w:bCs/>
                <w:color w:val="000000"/>
                <w:kern w:val="0"/>
                <w:sz w:val="16"/>
                <w:szCs w:val="16"/>
                <w:lang w:val="en-US" w:eastAsia="zh-CN"/>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both"/>
              <w:rPr>
                <w:rFonts w:hint="default" w:ascii="宋体" w:hAnsi="宋体" w:eastAsia="宋体" w:cs="宋体"/>
                <w:b/>
                <w:bCs/>
                <w:color w:val="000000"/>
                <w:kern w:val="0"/>
                <w:sz w:val="16"/>
                <w:szCs w:val="16"/>
                <w:lang w:val="en-US" w:eastAsia="zh-CN"/>
              </w:rPr>
            </w:pPr>
          </w:p>
        </w:tc>
        <w:tc>
          <w:tcPr>
            <w:tcW w:w="497" w:type="dxa"/>
            <w:tcBorders>
              <w:top w:val="nil"/>
              <w:left w:val="nil"/>
              <w:bottom w:val="single" w:color="auto" w:sz="4" w:space="0"/>
              <w:right w:val="single" w:color="auto" w:sz="4" w:space="0"/>
            </w:tcBorders>
            <w:vAlign w:val="center"/>
          </w:tcPr>
          <w:p>
            <w:pPr>
              <w:widowControl/>
              <w:spacing w:line="280" w:lineRule="exact"/>
              <w:jc w:val="both"/>
              <w:rPr>
                <w:rFonts w:hint="default" w:ascii="宋体" w:hAnsi="宋体" w:eastAsia="宋体" w:cs="宋体"/>
                <w:b/>
                <w:bCs/>
                <w:color w:val="000000"/>
                <w:kern w:val="0"/>
                <w:sz w:val="16"/>
                <w:szCs w:val="16"/>
                <w:lang w:val="en-US" w:eastAsia="zh-CN"/>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both"/>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9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579" w:hRule="atLeast"/>
        </w:trPr>
        <w:tc>
          <w:tcPr>
            <w:tcW w:w="464"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29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9"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174.05</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lang w:val="en-US" w:eastAsia="zh-CN"/>
              </w:rPr>
              <w:t>174.05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克州人民政府驻乌鲁木齐办事处</w:t>
      </w: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）：克州人民政府驻乌鲁木齐办事处</w:t>
      </w:r>
      <w:r>
        <w:rPr>
          <w:rFonts w:hint="eastAsia" w:ascii="仿宋_GB2312" w:hAnsi="宋体" w:eastAsia="仿宋_GB2312"/>
          <w:kern w:val="0"/>
          <w:szCs w:val="21"/>
        </w:rPr>
        <w:t xml:space="preserve">                                             单位：万元</w:t>
      </w:r>
    </w:p>
    <w:tbl>
      <w:tblPr>
        <w:tblStyle w:val="7"/>
        <w:tblW w:w="16048" w:type="dxa"/>
        <w:tblInd w:w="-240" w:type="dxa"/>
        <w:tblBorders>
          <w:top w:val="none" w:color="auto" w:sz="4" w:space="0"/>
          <w:left w:val="none" w:color="auto" w:sz="4" w:space="0"/>
          <w:bottom w:val="non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878"/>
        <w:gridCol w:w="972"/>
        <w:gridCol w:w="2580"/>
        <w:gridCol w:w="1145"/>
        <w:gridCol w:w="1178"/>
        <w:gridCol w:w="945"/>
        <w:gridCol w:w="7350"/>
      </w:tblGrid>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72"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848" w:type="dxa"/>
            <w:gridSpan w:val="4"/>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7350" w:type="dxa"/>
            <w:tcBorders>
              <w:top w:val="single" w:color="auto" w:sz="4" w:space="0"/>
              <w:left w:val="nil"/>
              <w:bottom w:val="single" w:color="auto" w:sz="4" w:space="0"/>
            </w:tcBorders>
            <w:vAlign w:val="center"/>
          </w:tcPr>
          <w:p>
            <w:pPr>
              <w:widowControl/>
              <w:spacing w:line="280" w:lineRule="exact"/>
              <w:jc w:val="center"/>
              <w:rPr>
                <w:rFonts w:hint="eastAsia" w:ascii="仿宋_GB2312" w:hAnsi="宋体" w:eastAsia="仿宋_GB2312" w:cs="宋体"/>
                <w:b/>
                <w:bCs/>
                <w:kern w:val="0"/>
                <w:sz w:val="24"/>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1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117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7350" w:type="dxa"/>
            <w:tcBorders>
              <w:top w:val="nil"/>
              <w:left w:val="nil"/>
              <w:bottom w:val="single" w:color="auto" w:sz="4" w:space="0"/>
            </w:tcBorders>
            <w:vAlign w:val="top"/>
          </w:tcPr>
          <w:p>
            <w:pPr>
              <w:widowControl/>
              <w:spacing w:line="280" w:lineRule="exact"/>
              <w:jc w:val="left"/>
              <w:rPr>
                <w:rFonts w:hint="eastAsia" w:ascii="仿宋_GB2312" w:hAnsi="宋体" w:eastAsia="仿宋_GB2312" w:cs="宋体"/>
                <w:b/>
                <w:kern w:val="0"/>
                <w:sz w:val="20"/>
                <w:szCs w:val="20"/>
              </w:rPr>
            </w:pPr>
          </w:p>
          <w:p>
            <w:pPr>
              <w:widowControl/>
              <w:spacing w:line="280" w:lineRule="exact"/>
              <w:ind w:firstLine="201" w:firstLineChars="100"/>
              <w:jc w:val="left"/>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国有资本</w:t>
            </w:r>
          </w:p>
          <w:p>
            <w:pPr>
              <w:widowControl/>
              <w:spacing w:line="280" w:lineRule="exact"/>
              <w:ind w:firstLine="201" w:firstLineChars="100"/>
              <w:jc w:val="left"/>
              <w:rPr>
                <w:rFonts w:hint="eastAsia" w:ascii="仿宋_GB2312" w:hAnsi="宋体" w:eastAsia="仿宋_GB2312" w:cs="宋体"/>
                <w:b/>
                <w:kern w:val="0"/>
                <w:sz w:val="20"/>
                <w:szCs w:val="20"/>
                <w:lang w:eastAsia="zh-CN"/>
              </w:rPr>
            </w:pPr>
            <w:r>
              <w:rPr>
                <w:rFonts w:hint="eastAsia" w:ascii="仿宋_GB2312" w:hAnsi="宋体" w:eastAsia="仿宋_GB2312" w:cs="宋体"/>
                <w:b/>
                <w:kern w:val="0"/>
                <w:sz w:val="20"/>
                <w:szCs w:val="20"/>
                <w:lang w:eastAsia="zh-CN"/>
              </w:rPr>
              <w:t>经营预算</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lang w:val="en-US" w:eastAsia="zh-CN"/>
              </w:rPr>
              <w:t>174.05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lang w:val="en-US" w:eastAsia="zh-CN"/>
              </w:rPr>
              <w:t>174.05</w:t>
            </w:r>
          </w:p>
        </w:tc>
        <w:tc>
          <w:tcPr>
            <w:tcW w:w="11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lang w:val="en-US" w:eastAsia="zh-CN"/>
              </w:rPr>
              <w:t>174.05</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lang w:val="en-US" w:eastAsia="zh-CN"/>
              </w:rPr>
              <w:t>0</w:t>
            </w:r>
          </w:p>
        </w:tc>
        <w:tc>
          <w:tcPr>
            <w:tcW w:w="7350" w:type="dxa"/>
            <w:tcBorders>
              <w:top w:val="nil"/>
              <w:left w:val="nil"/>
              <w:bottom w:val="single" w:color="auto" w:sz="4" w:space="0"/>
            </w:tcBorders>
            <w:vAlign w:val="center"/>
          </w:tcPr>
          <w:p>
            <w:pPr>
              <w:widowControl/>
              <w:spacing w:line="280" w:lineRule="exact"/>
              <w:jc w:val="right"/>
              <w:rPr>
                <w:rFonts w:hint="default" w:ascii="宋体" w:hAnsi="宋体" w:cs="宋体"/>
                <w:kern w:val="0"/>
                <w:sz w:val="18"/>
                <w:szCs w:val="18"/>
                <w:lang w:val="en-US" w:eastAsia="zh-CN"/>
              </w:rPr>
            </w:pPr>
            <w:r>
              <w:rPr>
                <w:rFonts w:hint="eastAsia" w:ascii="宋体" w:hAnsi="宋体" w:cs="宋体"/>
                <w:kern w:val="0"/>
                <w:sz w:val="18"/>
                <w:szCs w:val="18"/>
                <w:lang w:val="en-US" w:eastAsia="zh-CN"/>
              </w:rPr>
              <w:t>000</w:t>
            </w: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174.05</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72"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7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国有资本</w:t>
            </w:r>
            <w:r>
              <w:rPr>
                <w:rFonts w:ascii="仿宋_GB2312" w:hAnsi="宋体" w:eastAsia="仿宋_GB2312" w:cs="宋体"/>
                <w:kern w:val="0"/>
                <w:sz w:val="18"/>
                <w:szCs w:val="18"/>
                <w:highlight w:val="none"/>
              </w:rPr>
              <w:t>经营预</w:t>
            </w:r>
            <w:r>
              <w:rPr>
                <w:rFonts w:hint="eastAsia" w:ascii="仿宋_GB2312" w:hAnsi="宋体" w:eastAsia="仿宋_GB2312" w:cs="宋体"/>
                <w:kern w:val="0"/>
                <w:sz w:val="18"/>
                <w:szCs w:val="18"/>
                <w:highlight w:val="none"/>
                <w:lang w:eastAsia="zh-CN"/>
              </w:rPr>
              <w:t>算</w:t>
            </w:r>
            <w:r>
              <w:rPr>
                <w:rFonts w:hint="eastAsia" w:ascii="仿宋_GB2312" w:hAnsi="宋体" w:eastAsia="仿宋_GB2312" w:cs="宋体"/>
                <w:kern w:val="0"/>
                <w:sz w:val="18"/>
                <w:szCs w:val="18"/>
                <w:highlight w:val="none"/>
                <w:lang w:val="en-US" w:eastAsia="zh-CN"/>
              </w:rPr>
              <w:t xml:space="preserve">sun </w:t>
            </w:r>
            <w:r>
              <w:rPr>
                <w:rFonts w:ascii="仿宋_GB2312" w:hAnsi="宋体" w:eastAsia="仿宋_GB2312" w:cs="宋体"/>
                <w:kern w:val="0"/>
                <w:sz w:val="18"/>
                <w:szCs w:val="18"/>
                <w:highlight w:val="none"/>
              </w:rPr>
              <w:t>算</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7350" w:type="dxa"/>
            <w:tcBorders>
              <w:top w:val="nil"/>
              <w:left w:val="nil"/>
              <w:bottom w:val="single" w:color="auto" w:sz="4" w:space="0"/>
            </w:tcBorders>
            <w:vAlign w:val="center"/>
          </w:tcPr>
          <w:p>
            <w:pPr>
              <w:widowControl/>
              <w:spacing w:line="280" w:lineRule="exact"/>
              <w:jc w:val="right"/>
              <w:rPr>
                <w:rFonts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7350" w:type="dxa"/>
            <w:tcBorders>
              <w:top w:val="nil"/>
              <w:left w:val="nil"/>
              <w:bottom w:val="single" w:color="auto" w:sz="4" w:space="0"/>
            </w:tcBorders>
            <w:vAlign w:val="center"/>
          </w:tcPr>
          <w:p>
            <w:pPr>
              <w:widowControl/>
              <w:spacing w:line="280" w:lineRule="exact"/>
              <w:jc w:val="right"/>
              <w:rPr>
                <w:rFonts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7350" w:type="dxa"/>
            <w:tcBorders>
              <w:top w:val="nil"/>
              <w:left w:val="nil"/>
              <w:bottom w:val="single" w:color="auto" w:sz="4" w:space="0"/>
            </w:tcBorders>
            <w:vAlign w:val="center"/>
          </w:tcPr>
          <w:p>
            <w:pPr>
              <w:widowControl/>
              <w:spacing w:line="280" w:lineRule="exact"/>
              <w:jc w:val="right"/>
              <w:rPr>
                <w:rFonts w:hint="eastAsia"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7350" w:type="dxa"/>
            <w:tcBorders>
              <w:top w:val="nil"/>
              <w:left w:val="nil"/>
              <w:bottom w:val="single" w:color="auto" w:sz="4" w:space="0"/>
            </w:tcBorders>
            <w:vAlign w:val="center"/>
          </w:tcPr>
          <w:p>
            <w:pPr>
              <w:widowControl/>
              <w:spacing w:line="280" w:lineRule="exact"/>
              <w:jc w:val="right"/>
              <w:rPr>
                <w:rFonts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72"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1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7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7350" w:type="dxa"/>
            <w:tcBorders>
              <w:top w:val="nil"/>
              <w:left w:val="nil"/>
              <w:bottom w:val="single" w:color="auto" w:sz="4" w:space="0"/>
            </w:tcBorders>
            <w:vAlign w:val="center"/>
          </w:tcPr>
          <w:p>
            <w:pPr>
              <w:widowControl/>
              <w:spacing w:line="280" w:lineRule="exact"/>
              <w:jc w:val="right"/>
              <w:rPr>
                <w:rFonts w:ascii="宋体" w:hAnsi="宋体" w:cs="宋体"/>
                <w:kern w:val="0"/>
                <w:sz w:val="18"/>
                <w:szCs w:val="18"/>
              </w:rPr>
            </w:pPr>
          </w:p>
        </w:tc>
      </w:tr>
      <w:tr>
        <w:tblPrEx>
          <w:tblBorders>
            <w:top w:val="none" w:color="auto" w:sz="4" w:space="0"/>
            <w:left w:val="none" w:color="auto" w:sz="4" w:space="0"/>
            <w:bottom w:val="non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12" w:hRule="exact"/>
        </w:trPr>
        <w:tc>
          <w:tcPr>
            <w:tcW w:w="187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7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174.05</w:t>
            </w:r>
          </w:p>
        </w:tc>
        <w:tc>
          <w:tcPr>
            <w:tcW w:w="258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1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color w:val="000000"/>
                <w:kern w:val="0"/>
                <w:sz w:val="22"/>
                <w:szCs w:val="22"/>
                <w:lang w:val="en-US" w:eastAsia="zh-CN"/>
              </w:rPr>
              <w:t>174.05</w:t>
            </w:r>
          </w:p>
        </w:tc>
        <w:tc>
          <w:tcPr>
            <w:tcW w:w="117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color w:val="000000"/>
                <w:kern w:val="0"/>
                <w:sz w:val="22"/>
                <w:szCs w:val="22"/>
                <w:lang w:val="en-US" w:eastAsia="zh-CN"/>
              </w:rPr>
              <w:t>174.05</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r>
              <w:rPr>
                <w:rFonts w:hint="eastAsia" w:ascii="宋体" w:hAnsi="宋体" w:cs="宋体"/>
                <w:kern w:val="0"/>
                <w:sz w:val="18"/>
                <w:szCs w:val="18"/>
                <w:lang w:val="en-US" w:eastAsia="zh-CN"/>
              </w:rPr>
              <w:t>0</w:t>
            </w:r>
          </w:p>
        </w:tc>
        <w:tc>
          <w:tcPr>
            <w:tcW w:w="7350" w:type="dxa"/>
            <w:tcBorders>
              <w:top w:val="nil"/>
              <w:left w:val="nil"/>
              <w:bottom w:val="single" w:color="auto" w:sz="4" w:space="0"/>
            </w:tcBorders>
            <w:vAlign w:val="center"/>
          </w:tcPr>
          <w:p>
            <w:pPr>
              <w:widowControl/>
              <w:spacing w:line="280" w:lineRule="exact"/>
              <w:jc w:val="center"/>
              <w:rPr>
                <w:rFonts w:hint="eastAsia" w:ascii="宋体" w:hAnsi="宋体" w:cs="宋体"/>
                <w:kern w:val="0"/>
                <w:sz w:val="18"/>
                <w:szCs w:val="18"/>
                <w:lang w:val="en-US" w:eastAsia="zh-CN"/>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82"/>
        <w:gridCol w:w="478"/>
        <w:gridCol w:w="542"/>
        <w:gridCol w:w="2385"/>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lang w:val="en-US" w:eastAsia="zh-CN"/>
              </w:rPr>
              <w:t xml:space="preserve">  </w:t>
            </w:r>
            <w:r>
              <w:rPr>
                <w:rFonts w:hint="eastAsia" w:ascii="仿宋_GB2312" w:hAnsi="宋体" w:eastAsia="仿宋_GB2312" w:cs="宋体"/>
                <w:b/>
                <w:bCs/>
                <w:color w:val="000000"/>
                <w:kern w:val="0"/>
                <w:sz w:val="32"/>
                <w:szCs w:val="32"/>
                <w:lang w:eastAsia="zh-CN"/>
              </w:rPr>
              <w:t>克州人民政府驻乌鲁木齐办事处</w:t>
            </w: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克州人民政府驻乌鲁木齐办事处</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lang w:val="en-US" w:eastAsia="zh-CN"/>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5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02"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8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7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8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2</w:t>
            </w:r>
          </w:p>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w:t>
            </w:r>
          </w:p>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w:t>
            </w:r>
          </w:p>
        </w:tc>
        <w:tc>
          <w:tcPr>
            <w:tcW w:w="47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w:t>
            </w:r>
          </w:p>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3</w:t>
            </w:r>
          </w:p>
        </w:tc>
        <w:tc>
          <w:tcPr>
            <w:tcW w:w="54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w:t>
            </w:r>
          </w:p>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w:t>
            </w:r>
          </w:p>
        </w:tc>
        <w:tc>
          <w:tcPr>
            <w:tcW w:w="2385"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宋体" w:hAnsi="宋体" w:cs="宋体"/>
                <w:b/>
                <w:bCs/>
                <w:color w:val="000000"/>
                <w:kern w:val="0"/>
                <w:sz w:val="22"/>
                <w:szCs w:val="22"/>
                <w:lang w:eastAsia="zh-CN"/>
              </w:rPr>
              <w:t>行政运行（政府办公厅（室）及相关机构事务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174.05</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174.05</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0</w:t>
            </w:r>
          </w:p>
        </w:tc>
      </w:tr>
      <w:tr>
        <w:tblPrEx>
          <w:tblCellMar>
            <w:top w:w="0" w:type="dxa"/>
            <w:left w:w="108" w:type="dxa"/>
            <w:bottom w:w="0" w:type="dxa"/>
            <w:right w:w="108" w:type="dxa"/>
          </w:tblCellMar>
        </w:tblPrEx>
        <w:trPr>
          <w:trHeight w:val="480" w:hRule="atLeast"/>
        </w:trPr>
        <w:tc>
          <w:tcPr>
            <w:tcW w:w="582" w:type="dxa"/>
            <w:tcBorders>
              <w:top w:val="nil"/>
              <w:left w:val="single" w:color="auto" w:sz="4" w:space="0"/>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both"/>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7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4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385"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174.05</w:t>
            </w:r>
          </w:p>
        </w:tc>
        <w:tc>
          <w:tcPr>
            <w:tcW w:w="1842"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174.05</w:t>
            </w:r>
          </w:p>
        </w:tc>
        <w:tc>
          <w:tcPr>
            <w:tcW w:w="17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w:t>
            </w: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lang w:val="en-US" w:eastAsia="zh-CN"/>
              </w:rPr>
              <w:t xml:space="preserve">   </w:t>
            </w:r>
            <w:r>
              <w:rPr>
                <w:rFonts w:hint="eastAsia" w:ascii="仿宋_GB2312" w:hAnsi="宋体" w:eastAsia="仿宋_GB2312" w:cs="宋体"/>
                <w:b/>
                <w:bCs/>
                <w:color w:val="000000"/>
                <w:kern w:val="0"/>
                <w:sz w:val="32"/>
                <w:szCs w:val="32"/>
                <w:lang w:eastAsia="zh-CN"/>
              </w:rPr>
              <w:t>克州人民政府驻乌鲁木齐办事处</w:t>
            </w: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克州人民驻乌鲁木齐政府驻乌鲁木齐办事处</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p>
        </w:tc>
        <w:tc>
          <w:tcPr>
            <w:tcW w:w="1701" w:type="dxa"/>
            <w:gridSpan w:val="2"/>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0"/>
                <w:szCs w:val="20"/>
                <w:lang w:val="en-US" w:eastAsia="zh-CN"/>
              </w:rPr>
            </w:pPr>
          </w:p>
        </w:tc>
        <w:tc>
          <w:tcPr>
            <w:tcW w:w="1701" w:type="dxa"/>
            <w:gridSpan w:val="2"/>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55.44</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55.44</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63.86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63.86</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4.62</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4.62</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机关事业单位基本养老保险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17.37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17.37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center"/>
          </w:tcPr>
          <w:p>
            <w:pPr>
              <w:widowControl/>
              <w:ind w:firstLine="400" w:firstLineChars="200"/>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其它社会保险交费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12.7</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12.6</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center"/>
          </w:tcPr>
          <w:p>
            <w:pPr>
              <w:widowControl/>
              <w:ind w:firstLine="1000" w:firstLineChars="500"/>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退休费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4.61</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4.61</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0.71</w:t>
            </w:r>
          </w:p>
        </w:tc>
        <w:tc>
          <w:tcPr>
            <w:tcW w:w="1701" w:type="dxa"/>
            <w:gridSpan w:val="2"/>
            <w:tcBorders>
              <w:top w:val="nil"/>
              <w:left w:val="nil"/>
              <w:bottom w:val="single" w:color="auto" w:sz="4" w:space="0"/>
              <w:right w:val="single" w:color="auto" w:sz="4" w:space="0"/>
            </w:tcBorders>
            <w:vAlign w:val="center"/>
          </w:tcPr>
          <w:p>
            <w:pPr>
              <w:widowControl/>
              <w:ind w:firstLine="600" w:firstLineChars="300"/>
              <w:jc w:val="both"/>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0.71</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1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center"/>
          </w:tcPr>
          <w:p>
            <w:pPr>
              <w:widowControl/>
              <w:ind w:firstLine="1000" w:firstLineChars="500"/>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vAlign w:val="center"/>
          </w:tcPr>
          <w:p>
            <w:pPr>
              <w:widowControl/>
              <w:ind w:firstLine="600" w:firstLineChars="300"/>
              <w:jc w:val="both"/>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center"/>
          </w:tcPr>
          <w:p>
            <w:pPr>
              <w:widowControl/>
              <w:ind w:firstLine="1000" w:firstLineChars="500"/>
              <w:jc w:val="both"/>
              <w:rPr>
                <w:rFonts w:hint="eastAsia" w:ascii="宋体" w:hAnsi="宋体" w:eastAsia="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1.37</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577" w:type="dxa"/>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center"/>
          </w:tcPr>
          <w:p>
            <w:pPr>
              <w:widowControl/>
              <w:jc w:val="both"/>
              <w:rPr>
                <w:rFonts w:hint="eastAsia" w:ascii="宋体" w:hAnsi="宋体" w:eastAsia="宋体" w:cs="宋体"/>
                <w:color w:val="000000"/>
                <w:kern w:val="0"/>
                <w:sz w:val="20"/>
                <w:szCs w:val="20"/>
                <w:lang w:eastAsia="zh-CN"/>
              </w:rPr>
            </w:pPr>
          </w:p>
        </w:tc>
        <w:tc>
          <w:tcPr>
            <w:tcW w:w="1701" w:type="dxa"/>
            <w:gridSpan w:val="2"/>
            <w:tcBorders>
              <w:top w:val="nil"/>
              <w:left w:val="nil"/>
              <w:bottom w:val="single" w:color="auto" w:sz="4" w:space="0"/>
              <w:right w:val="single" w:color="auto" w:sz="4" w:space="0"/>
            </w:tcBorders>
            <w:vAlign w:val="center"/>
          </w:tcPr>
          <w:p>
            <w:pPr>
              <w:widowControl/>
              <w:jc w:val="both"/>
              <w:rPr>
                <w:rFonts w:hint="default" w:ascii="宋体" w:hAnsi="宋体" w:eastAsia="宋体" w:cs="宋体"/>
                <w:color w:val="000000"/>
                <w:kern w:val="0"/>
                <w:sz w:val="20"/>
                <w:szCs w:val="20"/>
                <w:lang w:val="en-US" w:eastAsia="zh-CN"/>
              </w:rPr>
            </w:pP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174.05</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171.92</w:t>
            </w:r>
          </w:p>
        </w:tc>
        <w:tc>
          <w:tcPr>
            <w:tcW w:w="1701"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2.13</w:t>
            </w:r>
          </w:p>
        </w:tc>
      </w:tr>
    </w:tbl>
    <w:p>
      <w:pPr>
        <w:widowControl/>
        <w:jc w:val="both"/>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2</w:t>
      </w: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lang w:val="en-US" w:eastAsia="zh-CN"/>
              </w:rPr>
              <w:t xml:space="preserve">   </w:t>
            </w:r>
            <w:r>
              <w:rPr>
                <w:rFonts w:hint="eastAsia" w:ascii="仿宋_GB2312" w:hAnsi="宋体" w:eastAsia="仿宋_GB2312" w:cs="宋体"/>
                <w:b/>
                <w:bCs/>
                <w:color w:val="000000"/>
                <w:kern w:val="0"/>
                <w:sz w:val="32"/>
                <w:szCs w:val="32"/>
                <w:lang w:eastAsia="zh-CN"/>
              </w:rPr>
              <w:t>克州人民政府驻乌鲁木齐办事处</w:t>
            </w: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center"/>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克州人民政府驻乌鲁木齐办事处</w:t>
            </w:r>
          </w:p>
        </w:tc>
        <w:tc>
          <w:tcPr>
            <w:tcW w:w="995" w:type="dxa"/>
            <w:gridSpan w:val="2"/>
            <w:tcBorders>
              <w:top w:val="nil"/>
              <w:left w:val="nil"/>
              <w:bottom w:val="nil"/>
              <w:right w:val="nil"/>
            </w:tcBorders>
            <w:vAlign w:val="center"/>
          </w:tcPr>
          <w:p>
            <w:pPr>
              <w:widowControl/>
              <w:jc w:val="center"/>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center"/>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center"/>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center"/>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center"/>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397" w:type="dxa"/>
          </w:tcPr>
          <w:p>
            <w:pPr>
              <w:widowControl/>
              <w:jc w:val="center"/>
              <w:outlineLvl w:val="1"/>
              <w:rPr>
                <w:rFonts w:ascii="仿宋_GB2312" w:hAnsi="宋体" w:eastAsia="仿宋_GB2312"/>
                <w:kern w:val="0"/>
                <w:sz w:val="32"/>
                <w:szCs w:val="32"/>
              </w:rPr>
            </w:pPr>
          </w:p>
        </w:tc>
        <w:tc>
          <w:tcPr>
            <w:tcW w:w="851" w:type="dxa"/>
          </w:tcPr>
          <w:p>
            <w:pPr>
              <w:widowControl/>
              <w:jc w:val="center"/>
              <w:outlineLvl w:val="1"/>
              <w:rPr>
                <w:rFonts w:ascii="仿宋_GB2312" w:hAnsi="宋体" w:eastAsia="仿宋_GB2312"/>
                <w:kern w:val="0"/>
                <w:sz w:val="32"/>
                <w:szCs w:val="32"/>
              </w:rPr>
            </w:pPr>
          </w:p>
        </w:tc>
        <w:tc>
          <w:tcPr>
            <w:tcW w:w="1456" w:type="dxa"/>
          </w:tcPr>
          <w:p>
            <w:pPr>
              <w:widowControl/>
              <w:jc w:val="center"/>
              <w:outlineLvl w:val="1"/>
              <w:rPr>
                <w:rFonts w:ascii="仿宋_GB2312" w:hAnsi="宋体" w:eastAsia="仿宋_GB2312"/>
                <w:kern w:val="0"/>
                <w:sz w:val="32"/>
                <w:szCs w:val="32"/>
              </w:rPr>
            </w:pPr>
          </w:p>
        </w:tc>
        <w:tc>
          <w:tcPr>
            <w:tcW w:w="750" w:type="dxa"/>
          </w:tcPr>
          <w:p>
            <w:pPr>
              <w:widowControl/>
              <w:jc w:val="center"/>
              <w:outlineLvl w:val="1"/>
              <w:rPr>
                <w:rFonts w:ascii="仿宋_GB2312" w:hAnsi="宋体" w:eastAsia="仿宋_GB2312"/>
                <w:kern w:val="0"/>
                <w:sz w:val="32"/>
                <w:szCs w:val="32"/>
              </w:rPr>
            </w:pPr>
          </w:p>
        </w:tc>
        <w:tc>
          <w:tcPr>
            <w:tcW w:w="569" w:type="dxa"/>
            <w:gridSpan w:val="2"/>
          </w:tcPr>
          <w:p>
            <w:pPr>
              <w:widowControl/>
              <w:jc w:val="center"/>
              <w:outlineLvl w:val="1"/>
              <w:rPr>
                <w:rFonts w:ascii="仿宋_GB2312" w:hAnsi="宋体" w:eastAsia="仿宋_GB2312"/>
                <w:kern w:val="0"/>
                <w:sz w:val="32"/>
                <w:szCs w:val="32"/>
              </w:rPr>
            </w:pPr>
          </w:p>
        </w:tc>
        <w:tc>
          <w:tcPr>
            <w:tcW w:w="536"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652" w:type="dxa"/>
          </w:tcPr>
          <w:p>
            <w:pPr>
              <w:widowControl/>
              <w:jc w:val="center"/>
              <w:outlineLvl w:val="1"/>
              <w:rPr>
                <w:rFonts w:ascii="仿宋_GB2312" w:hAnsi="宋体" w:eastAsia="仿宋_GB2312"/>
                <w:kern w:val="0"/>
                <w:sz w:val="32"/>
                <w:szCs w:val="32"/>
              </w:rPr>
            </w:pPr>
          </w:p>
        </w:tc>
        <w:tc>
          <w:tcPr>
            <w:tcW w:w="578" w:type="dxa"/>
            <w:gridSpan w:val="2"/>
          </w:tcPr>
          <w:p>
            <w:pPr>
              <w:widowControl/>
              <w:jc w:val="center"/>
              <w:outlineLvl w:val="1"/>
              <w:rPr>
                <w:rFonts w:ascii="仿宋_GB2312" w:hAnsi="宋体" w:eastAsia="仿宋_GB2312"/>
                <w:kern w:val="0"/>
                <w:sz w:val="32"/>
                <w:szCs w:val="32"/>
              </w:rPr>
            </w:pPr>
          </w:p>
        </w:tc>
        <w:tc>
          <w:tcPr>
            <w:tcW w:w="419" w:type="dxa"/>
          </w:tcPr>
          <w:p>
            <w:pPr>
              <w:widowControl/>
              <w:jc w:val="center"/>
              <w:outlineLvl w:val="1"/>
              <w:rPr>
                <w:rFonts w:ascii="仿宋_GB2312" w:hAnsi="宋体" w:eastAsia="仿宋_GB2312"/>
                <w:kern w:val="0"/>
                <w:sz w:val="32"/>
                <w:szCs w:val="32"/>
              </w:rPr>
            </w:pPr>
          </w:p>
        </w:tc>
        <w:tc>
          <w:tcPr>
            <w:tcW w:w="578"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20" w:type="dxa"/>
          </w:tcPr>
          <w:p>
            <w:pPr>
              <w:widowControl/>
              <w:jc w:val="center"/>
              <w:outlineLvl w:val="1"/>
              <w:rPr>
                <w:rFonts w:ascii="仿宋_GB2312" w:hAnsi="宋体" w:eastAsia="仿宋_GB2312"/>
                <w:kern w:val="0"/>
                <w:sz w:val="32"/>
                <w:szCs w:val="32"/>
              </w:rPr>
            </w:pPr>
          </w:p>
        </w:tc>
        <w:tc>
          <w:tcPr>
            <w:tcW w:w="468" w:type="dxa"/>
            <w:gridSpan w:val="2"/>
          </w:tcPr>
          <w:p>
            <w:pPr>
              <w:widowControl/>
              <w:jc w:val="center"/>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50" w:type="dxa"/>
            <w:vAlign w:val="center"/>
          </w:tcPr>
          <w:p>
            <w:pPr>
              <w:widowControl/>
              <w:jc w:val="center"/>
              <w:outlineLvl w:val="1"/>
              <w:rPr>
                <w:rFonts w:ascii="仿宋_GB2312" w:hAnsi="宋体" w:eastAsia="仿宋_GB2312"/>
                <w:kern w:val="0"/>
                <w:szCs w:val="21"/>
              </w:rPr>
            </w:pP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克州人民政府驻乌鲁木齐办事处2021年未安排项目预算，项目支出情况表表为空表。</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克州人民政府驻乌鲁木齐办事处</w:t>
      </w: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w:t>
      </w:r>
      <w:r>
        <w:rPr>
          <w:rFonts w:hint="eastAsia" w:ascii="仿宋_GB2312" w:hAnsi="宋体" w:eastAsia="仿宋_GB2312"/>
          <w:kern w:val="0"/>
          <w:sz w:val="24"/>
          <w:lang w:eastAsia="zh-CN"/>
        </w:rPr>
        <w:t>克州人民政府驻乌鲁木齐办事处</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spacing w:line="280" w:lineRule="exact"/>
        <w:jc w:val="left"/>
        <w:outlineLvl w:val="1"/>
        <w:rPr>
          <w:rFonts w:hint="eastAsia" w:ascii="仿宋_GB2312" w:hAnsi="宋体" w:eastAsia="仿宋_GB2312"/>
          <w:b/>
          <w:kern w:val="0"/>
          <w:sz w:val="32"/>
          <w:szCs w:val="32"/>
        </w:rPr>
      </w:pPr>
      <w:r>
        <w:rPr>
          <w:rFonts w:hint="eastAsia" w:ascii="仿宋_GB2312" w:hAnsi="宋体" w:eastAsia="仿宋_GB2312"/>
          <w:b/>
          <w:kern w:val="0"/>
          <w:sz w:val="28"/>
          <w:szCs w:val="32"/>
          <w:lang w:eastAsia="zh-CN"/>
        </w:rPr>
        <w:t>克州人民政府驻乌鲁木齐办事处无一般公共预算“三公”经费支出，本表为空表。</w:t>
      </w:r>
    </w:p>
    <w:p>
      <w:pPr>
        <w:widowControl/>
        <w:spacing w:line="280" w:lineRule="exact"/>
        <w:jc w:val="left"/>
        <w:outlineLvl w:val="1"/>
        <w:rPr>
          <w:rFonts w:hint="eastAsia" w:ascii="仿宋_GB2312" w:hAnsi="宋体" w:eastAsia="仿宋_GB2312"/>
          <w:b/>
          <w:kern w:val="0"/>
          <w:sz w:val="32"/>
          <w:szCs w:val="32"/>
        </w:rPr>
      </w:pPr>
    </w:p>
    <w:p>
      <w:pPr>
        <w:widowControl/>
        <w:spacing w:line="28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280" w:lineRule="exact"/>
        <w:jc w:val="center"/>
        <w:outlineLvl w:val="1"/>
        <w:rPr>
          <w:rFonts w:hint="eastAsia" w:ascii="仿宋_GB2312" w:hAnsi="宋体" w:eastAsia="仿宋_GB2312"/>
          <w:b/>
          <w:kern w:val="0"/>
          <w:sz w:val="32"/>
          <w:szCs w:val="32"/>
          <w:lang w:val="en-US" w:eastAsia="zh-CN"/>
        </w:rPr>
      </w:pPr>
      <w:r>
        <w:rPr>
          <w:rFonts w:hint="eastAsia" w:ascii="仿宋_GB2312" w:hAnsi="宋体" w:eastAsia="仿宋_GB2312"/>
          <w:b/>
          <w:kern w:val="0"/>
          <w:sz w:val="32"/>
          <w:szCs w:val="32"/>
          <w:lang w:val="en-US" w:eastAsia="zh-CN"/>
        </w:rPr>
        <w:t xml:space="preserve">  </w:t>
      </w:r>
    </w:p>
    <w:p>
      <w:pPr>
        <w:widowControl/>
        <w:spacing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val="en-US" w:eastAsia="zh-CN"/>
        </w:rPr>
        <w:t xml:space="preserve"> </w:t>
      </w:r>
      <w:r>
        <w:rPr>
          <w:rFonts w:hint="eastAsia" w:ascii="仿宋_GB2312" w:hAnsi="宋体" w:eastAsia="仿宋_GB2312"/>
          <w:b/>
          <w:kern w:val="0"/>
          <w:sz w:val="32"/>
          <w:szCs w:val="32"/>
          <w:lang w:eastAsia="zh-CN"/>
        </w:rPr>
        <w:t>克州人民政府驻乌鲁木齐办事处</w:t>
      </w: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克州人民政府驻乌鲁木齐办事处</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spacing w:line="560" w:lineRule="exact"/>
        <w:jc w:val="both"/>
        <w:rPr>
          <w:rFonts w:hint="eastAsia" w:ascii="仿宋_GB2312" w:hAnsi="宋体" w:eastAsia="仿宋_GB2312"/>
          <w:b/>
          <w:kern w:val="0"/>
          <w:sz w:val="28"/>
          <w:szCs w:val="32"/>
          <w:lang w:eastAsia="zh-CN"/>
        </w:rPr>
      </w:pPr>
      <w:r>
        <w:rPr>
          <w:rFonts w:hint="eastAsia" w:ascii="仿宋_GB2312" w:hAnsi="宋体" w:eastAsia="仿宋_GB2312"/>
          <w:b/>
          <w:kern w:val="0"/>
          <w:sz w:val="28"/>
          <w:szCs w:val="32"/>
          <w:lang w:eastAsia="zh-CN"/>
        </w:rPr>
        <w:t>克州人民政府驻乌鲁木齐办事处无政府性基金预算拨款情况说明支出，本表为空表。</w:t>
      </w:r>
    </w:p>
    <w:p>
      <w:pPr>
        <w:spacing w:line="560" w:lineRule="exact"/>
        <w:ind w:firstLine="960" w:firstLineChars="300"/>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克州人民政府驻乌鲁木齐办事处</w:t>
      </w:r>
      <w:r>
        <w:rPr>
          <w:rFonts w:hint="eastAsia" w:ascii="黑体" w:hAnsi="黑体" w:eastAsia="黑体"/>
          <w:kern w:val="0"/>
          <w:sz w:val="32"/>
          <w:szCs w:val="32"/>
        </w:rPr>
        <w:t>预算情况说明</w:t>
      </w:r>
    </w:p>
    <w:p>
      <w:pPr>
        <w:spacing w:line="560" w:lineRule="exact"/>
        <w:ind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一、关于</w:t>
      </w:r>
      <w:r>
        <w:rPr>
          <w:rFonts w:hint="eastAsia" w:ascii="仿宋_GB2312" w:hAnsi="仿宋_GB2312" w:eastAsia="仿宋_GB2312" w:cs="仿宋_GB2312"/>
          <w:b w:val="0"/>
          <w:bCs/>
          <w:kern w:val="0"/>
          <w:sz w:val="32"/>
          <w:szCs w:val="32"/>
          <w:lang w:eastAsia="zh-CN"/>
        </w:rPr>
        <w:t>克州人民政府驻乌鲁木齐办事处</w:t>
      </w:r>
      <w:r>
        <w:rPr>
          <w:rFonts w:hint="eastAsia" w:ascii="仿宋_GB2312" w:hAnsi="仿宋_GB2312" w:eastAsia="仿宋_GB2312" w:cs="仿宋_GB2312"/>
          <w:b w:val="0"/>
          <w:bCs/>
          <w:kern w:val="0"/>
          <w:sz w:val="32"/>
          <w:szCs w:val="32"/>
          <w:lang w:val="en-US" w:eastAsia="zh-CN"/>
        </w:rPr>
        <w:t>2021</w:t>
      </w:r>
      <w:r>
        <w:rPr>
          <w:rFonts w:hint="eastAsia" w:ascii="仿宋_GB2312" w:hAnsi="仿宋_GB2312" w:eastAsia="仿宋_GB2312" w:cs="仿宋_GB2312"/>
          <w:b w:val="0"/>
          <w:bCs/>
          <w:kern w:val="0"/>
          <w:sz w:val="32"/>
          <w:szCs w:val="32"/>
        </w:rPr>
        <w:t>年收支预算情况的总体说明</w:t>
      </w:r>
    </w:p>
    <w:p>
      <w:pPr>
        <w:spacing w:line="560" w:lineRule="exact"/>
        <w:ind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按照全口径预算的原则，</w:t>
      </w:r>
      <w:r>
        <w:rPr>
          <w:rFonts w:hint="eastAsia" w:ascii="仿宋_GB2312" w:hAnsi="仿宋_GB2312" w:eastAsia="仿宋_GB2312" w:cs="仿宋_GB2312"/>
          <w:b w:val="0"/>
          <w:bCs/>
          <w:kern w:val="0"/>
          <w:sz w:val="32"/>
          <w:szCs w:val="32"/>
          <w:lang w:eastAsia="zh-CN"/>
        </w:rPr>
        <w:t>克州人民政府驻乌鲁木齐</w:t>
      </w:r>
      <w:r>
        <w:rPr>
          <w:rFonts w:hint="eastAsia" w:ascii="仿宋_GB2312" w:hAnsi="仿宋_GB2312" w:eastAsia="仿宋_GB2312" w:cs="仿宋_GB2312"/>
          <w:b w:val="0"/>
          <w:bCs/>
          <w:kern w:val="0"/>
          <w:sz w:val="32"/>
          <w:szCs w:val="32"/>
        </w:rPr>
        <w:t>办事处202</w:t>
      </w:r>
      <w:r>
        <w:rPr>
          <w:rFonts w:hint="eastAsia" w:ascii="仿宋_GB2312" w:hAnsi="仿宋_GB2312" w:eastAsia="仿宋_GB2312" w:cs="仿宋_GB2312"/>
          <w:b w:val="0"/>
          <w:bCs/>
          <w:kern w:val="0"/>
          <w:sz w:val="32"/>
          <w:szCs w:val="32"/>
          <w:lang w:val="en-US" w:eastAsia="zh-CN"/>
        </w:rPr>
        <w:t>1</w:t>
      </w:r>
      <w:r>
        <w:rPr>
          <w:rFonts w:hint="eastAsia" w:ascii="仿宋_GB2312" w:hAnsi="仿宋_GB2312" w:eastAsia="仿宋_GB2312" w:cs="仿宋_GB2312"/>
          <w:b w:val="0"/>
          <w:bCs/>
          <w:kern w:val="0"/>
          <w:sz w:val="32"/>
          <w:szCs w:val="32"/>
        </w:rPr>
        <w:t>年所有收入和支出均纳入部门预算管理</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rPr>
        <w:t>收支总预算</w:t>
      </w:r>
      <w:r>
        <w:rPr>
          <w:rFonts w:hint="eastAsia" w:ascii="仿宋_GB2312" w:hAnsi="仿宋_GB2312" w:eastAsia="仿宋_GB2312" w:cs="仿宋_GB2312"/>
          <w:b w:val="0"/>
          <w:bCs/>
          <w:kern w:val="0"/>
          <w:sz w:val="32"/>
          <w:szCs w:val="32"/>
          <w:lang w:val="en-US" w:eastAsia="zh-CN"/>
        </w:rPr>
        <w:t>174.05</w:t>
      </w:r>
      <w:r>
        <w:rPr>
          <w:rFonts w:hint="eastAsia" w:ascii="仿宋_GB2312" w:hAnsi="仿宋_GB2312" w:eastAsia="仿宋_GB2312" w:cs="仿宋_GB2312"/>
          <w:b w:val="0"/>
          <w:bCs/>
          <w:kern w:val="0"/>
          <w:sz w:val="32"/>
          <w:szCs w:val="32"/>
        </w:rPr>
        <w:t>万元。</w:t>
      </w:r>
    </w:p>
    <w:p>
      <w:pPr>
        <w:spacing w:line="560" w:lineRule="exact"/>
        <w:ind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收入预算包括：一般公共预算</w:t>
      </w:r>
      <w:r>
        <w:rPr>
          <w:rFonts w:hint="eastAsia" w:ascii="仿宋_GB2312" w:hAnsi="仿宋_GB2312" w:eastAsia="仿宋_GB2312" w:cs="仿宋_GB2312"/>
          <w:b w:val="0"/>
          <w:bCs/>
          <w:kern w:val="0"/>
          <w:sz w:val="32"/>
          <w:szCs w:val="32"/>
          <w:lang w:val="en-US" w:eastAsia="zh-CN"/>
        </w:rPr>
        <w:t xml:space="preserve">174.05 </w:t>
      </w:r>
      <w:r>
        <w:rPr>
          <w:rFonts w:hint="eastAsia" w:ascii="仿宋_GB2312" w:hAnsi="仿宋_GB2312" w:eastAsia="仿宋_GB2312" w:cs="仿宋_GB2312"/>
          <w:b w:val="0"/>
          <w:bCs/>
          <w:kern w:val="0"/>
          <w:sz w:val="32"/>
          <w:szCs w:val="32"/>
        </w:rPr>
        <w:t>万元</w:t>
      </w:r>
    </w:p>
    <w:p>
      <w:pPr>
        <w:spacing w:line="560" w:lineRule="exact"/>
        <w:ind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rPr>
        <w:t>支出预算包括：一般公共服务支出</w:t>
      </w:r>
      <w:r>
        <w:rPr>
          <w:rFonts w:hint="eastAsia" w:ascii="仿宋_GB2312" w:hAnsi="仿宋_GB2312" w:eastAsia="仿宋_GB2312" w:cs="仿宋_GB2312"/>
          <w:b w:val="0"/>
          <w:bCs/>
          <w:kern w:val="0"/>
          <w:sz w:val="32"/>
          <w:szCs w:val="32"/>
          <w:lang w:val="en-US" w:eastAsia="zh-CN"/>
        </w:rPr>
        <w:t>174.05万</w:t>
      </w:r>
      <w:r>
        <w:rPr>
          <w:rFonts w:hint="eastAsia" w:ascii="仿宋_GB2312" w:hAnsi="仿宋_GB2312" w:eastAsia="仿宋_GB2312" w:cs="仿宋_GB2312"/>
          <w:b w:val="0"/>
          <w:bCs/>
          <w:kern w:val="0"/>
          <w:sz w:val="32"/>
          <w:szCs w:val="32"/>
        </w:rPr>
        <w:t>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eastAsia="zh-CN"/>
        </w:rPr>
        <w:t>人民政府驻乌鲁木齐</w:t>
      </w:r>
      <w:r>
        <w:rPr>
          <w:rFonts w:hint="eastAsia" w:ascii="仿宋_GB2312" w:hAnsi="宋体" w:eastAsia="仿宋_GB2312" w:cs="宋体"/>
          <w:kern w:val="0"/>
          <w:sz w:val="32"/>
          <w:szCs w:val="32"/>
        </w:rPr>
        <w:t>办事处收入预算</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 xml:space="preserve">万元，其中：一般公共预算 </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万元，占100%，比上年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7.94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名</w:t>
      </w:r>
      <w:r>
        <w:rPr>
          <w:rFonts w:hint="eastAsia" w:ascii="仿宋_GB2312" w:hAnsi="宋体" w:eastAsia="仿宋_GB2312" w:cs="宋体"/>
          <w:kern w:val="0"/>
          <w:sz w:val="32"/>
          <w:szCs w:val="32"/>
          <w:lang w:eastAsia="zh-CN"/>
        </w:rPr>
        <w:t>职工调整职级工资，</w:t>
      </w:r>
      <w:r>
        <w:rPr>
          <w:rFonts w:hint="eastAsia" w:ascii="仿宋_GB2312" w:hAnsi="宋体" w:eastAsia="仿宋_GB2312" w:cs="宋体"/>
          <w:kern w:val="0"/>
          <w:sz w:val="32"/>
          <w:szCs w:val="32"/>
        </w:rPr>
        <w:t>相应</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了人员经费。</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2021年克州人民政府驻乌鲁木齐办事处未安排</w:t>
      </w:r>
      <w:r>
        <w:rPr>
          <w:rFonts w:hint="eastAsia" w:ascii="仿宋_GB2312" w:hAnsi="宋体" w:eastAsia="仿宋_GB2312" w:cs="宋体"/>
          <w:kern w:val="0"/>
          <w:sz w:val="32"/>
          <w:szCs w:val="32"/>
        </w:rPr>
        <w:t>政府性基金预算。</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2021年</w:t>
      </w: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lang w:val="en-US" w:eastAsia="zh-CN"/>
        </w:rPr>
        <w:t>未安排</w:t>
      </w:r>
      <w:r>
        <w:rPr>
          <w:rFonts w:hint="eastAsia" w:ascii="仿宋_GB2312" w:hAnsi="宋体" w:eastAsia="仿宋_GB2312" w:cs="宋体"/>
          <w:kern w:val="0"/>
          <w:sz w:val="32"/>
          <w:szCs w:val="32"/>
        </w:rPr>
        <w:t xml:space="preserve">国有资本经营预算。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7.94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5名职工调整职级工资，相应增加了人员经费。           </w:t>
      </w:r>
    </w:p>
    <w:p>
      <w:pPr>
        <w:spacing w:line="560" w:lineRule="exact"/>
        <w:ind w:firstLine="640" w:firstLineChars="200"/>
        <w:rPr>
          <w:rFonts w:ascii="仿宋_GB2312" w:hAnsi="宋体" w:eastAsia="仿宋_GB2312" w:cs="宋体"/>
          <w:b/>
          <w:spacing w:val="-6"/>
          <w:kern w:val="0"/>
          <w:sz w:val="32"/>
          <w:szCs w:val="32"/>
        </w:rPr>
      </w:pPr>
      <w:r>
        <w:rPr>
          <w:rFonts w:hint="eastAsia" w:ascii="仿宋_GB2312" w:hAnsi="宋体" w:eastAsia="仿宋_GB2312" w:cs="宋体"/>
          <w:kern w:val="0"/>
          <w:sz w:val="32"/>
          <w:szCs w:val="32"/>
          <w:lang w:eastAsia="zh-CN"/>
        </w:rPr>
        <w:t>项目支出0万元，占0 %，比上年预算增加0万元，主要原因是：202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年办事处没有安排预算项目。</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克州人民政府驻乌鲁木齐办事处</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年财政拨款收支总预算 1</w:t>
      </w:r>
      <w:r>
        <w:rPr>
          <w:rFonts w:hint="eastAsia" w:ascii="仿宋_GB2312" w:hAnsi="宋体" w:eastAsia="仿宋_GB2312" w:cs="宋体"/>
          <w:kern w:val="0"/>
          <w:sz w:val="32"/>
          <w:szCs w:val="32"/>
          <w:lang w:val="en-US" w:eastAsia="zh-CN"/>
        </w:rPr>
        <w:t>74.05</w:t>
      </w:r>
      <w:r>
        <w:rPr>
          <w:rFonts w:hint="eastAsia" w:ascii="仿宋_GB2312" w:hAnsi="宋体" w:eastAsia="仿宋_GB2312" w:cs="宋体"/>
          <w:kern w:val="0"/>
          <w:sz w:val="32"/>
          <w:szCs w:val="32"/>
        </w:rPr>
        <w:t>万元。主要是人员经费，工资、津贴补贴、养老金、公积金</w:t>
      </w:r>
      <w:r>
        <w:rPr>
          <w:rFonts w:hint="eastAsia" w:ascii="仿宋_GB2312" w:hAnsi="宋体" w:eastAsia="仿宋_GB2312" w:cs="宋体"/>
          <w:kern w:val="0"/>
          <w:sz w:val="32"/>
          <w:szCs w:val="32"/>
          <w:lang w:eastAsia="zh-CN"/>
        </w:rPr>
        <w:t>、福利费、奖励金</w:t>
      </w:r>
      <w:r>
        <w:rPr>
          <w:rFonts w:hint="eastAsia" w:ascii="仿宋_GB2312" w:hAnsi="宋体" w:eastAsia="仿宋_GB2312" w:cs="宋体"/>
          <w:kern w:val="0"/>
          <w:sz w:val="32"/>
          <w:szCs w:val="32"/>
        </w:rPr>
        <w:t>等。</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一般公共预算支出包括：一般公共服务支出 </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：职工工资、津贴补贴、养老金、公积金、福利费、奖励金、福利费等。</w:t>
      </w:r>
      <w:r>
        <w:rPr>
          <w:rFonts w:hint="eastAsia" w:ascii="仿宋_GB2312" w:hAnsi="宋体" w:eastAsia="仿宋_GB2312" w:cs="宋体"/>
          <w:kern w:val="0"/>
          <w:sz w:val="32"/>
          <w:szCs w:val="32"/>
        </w:rPr>
        <w:t xml:space="preserve">   </w:t>
      </w:r>
    </w:p>
    <w:p>
      <w:pPr>
        <w:numPr>
          <w:ilvl w:val="0"/>
          <w:numId w:val="1"/>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numPr>
          <w:ilvl w:val="0"/>
          <w:numId w:val="0"/>
        </w:num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克州人民政府驻乌鲁木齐办事处</w:t>
      </w:r>
      <w:r>
        <w:rPr>
          <w:rFonts w:hint="eastAsia" w:ascii="仿宋_GB2312" w:hAnsi="仿宋_GB2312" w:eastAsia="仿宋_GB2312" w:cs="仿宋_GB2312"/>
          <w:kern w:val="0"/>
          <w:sz w:val="32"/>
          <w:szCs w:val="32"/>
          <w:lang w:val="en-US" w:eastAsia="zh-CN"/>
        </w:rPr>
        <w:t>2021</w:t>
      </w:r>
      <w:r>
        <w:rPr>
          <w:rFonts w:hint="eastAsia" w:ascii="仿宋_GB2312" w:hAnsi="仿宋_GB2312" w:eastAsia="仿宋_GB2312" w:cs="仿宋_GB2312"/>
          <w:kern w:val="0"/>
          <w:sz w:val="32"/>
          <w:szCs w:val="32"/>
          <w:lang w:eastAsia="zh-CN"/>
        </w:rPr>
        <w:t xml:space="preserve">年一般公共预算（单算拨款合计 </w:t>
      </w:r>
      <w:r>
        <w:rPr>
          <w:rFonts w:hint="eastAsia" w:ascii="仿宋_GB2312" w:hAnsi="仿宋_GB2312" w:eastAsia="仿宋_GB2312" w:cs="仿宋_GB2312"/>
          <w:kern w:val="0"/>
          <w:sz w:val="32"/>
          <w:szCs w:val="32"/>
          <w:lang w:val="en-US" w:eastAsia="zh-CN"/>
        </w:rPr>
        <w:t>174.05</w:t>
      </w:r>
      <w:r>
        <w:rPr>
          <w:rFonts w:hint="eastAsia" w:ascii="仿宋_GB2312" w:hAnsi="仿宋_GB2312" w:eastAsia="仿宋_GB2312" w:cs="仿宋_GB2312"/>
          <w:kern w:val="0"/>
          <w:sz w:val="32"/>
          <w:szCs w:val="32"/>
          <w:lang w:eastAsia="zh-CN"/>
        </w:rPr>
        <w:t xml:space="preserve">万元，其中：基本支出 </w:t>
      </w:r>
      <w:r>
        <w:rPr>
          <w:rFonts w:hint="eastAsia" w:ascii="仿宋_GB2312" w:hAnsi="仿宋_GB2312" w:eastAsia="仿宋_GB2312" w:cs="仿宋_GB2312"/>
          <w:kern w:val="0"/>
          <w:sz w:val="32"/>
          <w:szCs w:val="32"/>
          <w:lang w:val="en-US" w:eastAsia="zh-CN"/>
        </w:rPr>
        <w:t>174.05</w:t>
      </w:r>
      <w:r>
        <w:rPr>
          <w:rFonts w:hint="eastAsia" w:ascii="仿宋_GB2312" w:hAnsi="仿宋_GB2312" w:eastAsia="仿宋_GB2312" w:cs="仿宋_GB2312"/>
          <w:kern w:val="0"/>
          <w:sz w:val="32"/>
          <w:szCs w:val="32"/>
          <w:lang w:eastAsia="zh-CN"/>
        </w:rPr>
        <w:t xml:space="preserve">万元，比上年预算增加 </w:t>
      </w:r>
      <w:r>
        <w:rPr>
          <w:rFonts w:hint="eastAsia" w:ascii="仿宋_GB2312" w:hAnsi="仿宋_GB2312" w:eastAsia="仿宋_GB2312" w:cs="仿宋_GB2312"/>
          <w:kern w:val="0"/>
          <w:sz w:val="32"/>
          <w:szCs w:val="32"/>
          <w:lang w:val="en-US" w:eastAsia="zh-CN"/>
        </w:rPr>
        <w:t>7.94</w:t>
      </w:r>
      <w:r>
        <w:rPr>
          <w:rFonts w:hint="eastAsia" w:ascii="仿宋_GB2312" w:hAnsi="仿宋_GB2312" w:eastAsia="仿宋_GB2312" w:cs="仿宋_GB2312"/>
          <w:kern w:val="0"/>
          <w:sz w:val="32"/>
          <w:szCs w:val="32"/>
          <w:lang w:eastAsia="zh-CN"/>
        </w:rPr>
        <w:t>万元，增长</w:t>
      </w:r>
      <w:r>
        <w:rPr>
          <w:rFonts w:hint="eastAsia" w:ascii="仿宋_GB2312" w:hAnsi="仿宋_GB2312" w:eastAsia="仿宋_GB2312" w:cs="仿宋_GB2312"/>
          <w:kern w:val="0"/>
          <w:sz w:val="32"/>
          <w:szCs w:val="32"/>
          <w:lang w:val="en-US" w:eastAsia="zh-CN"/>
        </w:rPr>
        <w:t>4.78</w:t>
      </w:r>
      <w:r>
        <w:rPr>
          <w:rFonts w:hint="eastAsia" w:ascii="仿宋_GB2312" w:hAnsi="仿宋_GB2312" w:eastAsia="仿宋_GB2312" w:cs="仿宋_GB2312"/>
          <w:kern w:val="0"/>
          <w:sz w:val="32"/>
          <w:szCs w:val="32"/>
          <w:lang w:eastAsia="zh-CN"/>
        </w:rPr>
        <w:t>%。主要原因是：5名职工调整职及工资，相应增加了人员经费 。项目支出</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lang w:eastAsia="zh-CN"/>
        </w:rPr>
        <w:t>万元，比上年预算增加</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lang w:eastAsia="zh-CN"/>
        </w:rPr>
        <w:t>万元，增长</w:t>
      </w:r>
      <w:r>
        <w:rPr>
          <w:rFonts w:hint="eastAsia" w:ascii="仿宋_GB2312" w:hAnsi="仿宋_GB2312" w:eastAsia="仿宋_GB2312" w:cs="仿宋_GB2312"/>
          <w:kern w:val="0"/>
          <w:sz w:val="32"/>
          <w:szCs w:val="32"/>
          <w:lang w:val="en-US" w:eastAsia="zh-CN"/>
        </w:rPr>
        <w:t xml:space="preserve">0 </w:t>
      </w:r>
      <w:r>
        <w:rPr>
          <w:rFonts w:hint="eastAsia" w:ascii="仿宋_GB2312" w:hAnsi="仿宋_GB2312" w:eastAsia="仿宋_GB2312" w:cs="仿宋_GB2312"/>
          <w:kern w:val="0"/>
          <w:sz w:val="32"/>
          <w:szCs w:val="32"/>
          <w:lang w:eastAsia="zh-CN"/>
        </w:rPr>
        <w:t>%。主要原因是：</w:t>
      </w:r>
      <w:r>
        <w:rPr>
          <w:rFonts w:hint="eastAsia" w:ascii="仿宋_GB2312" w:hAnsi="仿宋_GB2312" w:eastAsia="仿宋_GB2312" w:cs="仿宋_GB2312"/>
          <w:kern w:val="0"/>
          <w:sz w:val="32"/>
          <w:szCs w:val="32"/>
          <w:lang w:val="en-US" w:eastAsia="zh-CN"/>
        </w:rPr>
        <w:t>2021年未安排项目预算。</w:t>
      </w:r>
      <w:r>
        <w:rPr>
          <w:rFonts w:hint="eastAsia" w:ascii="仿宋_GB2312" w:hAnsi="仿宋_GB2312" w:eastAsia="仿宋_GB2312" w:cs="仿宋_GB2312"/>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174.05</w:t>
      </w:r>
      <w:r>
        <w:rPr>
          <w:rFonts w:hint="eastAsia" w:ascii="仿宋_GB2312" w:hAnsi="宋体" w:eastAsia="仿宋_GB2312" w:cs="宋体"/>
          <w:kern w:val="0"/>
          <w:sz w:val="32"/>
          <w:szCs w:val="32"/>
        </w:rPr>
        <w:t>万元，比上年执行数增加</w:t>
      </w:r>
      <w:r>
        <w:rPr>
          <w:rFonts w:hint="eastAsia" w:ascii="仿宋_GB2312" w:hAnsi="宋体" w:eastAsia="仿宋_GB2312" w:cs="宋体"/>
          <w:kern w:val="0"/>
          <w:sz w:val="32"/>
          <w:szCs w:val="32"/>
          <w:lang w:val="en-US" w:eastAsia="zh-CN"/>
        </w:rPr>
        <w:t>7.94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4.78</w:t>
      </w:r>
      <w:r>
        <w:rPr>
          <w:rFonts w:hint="eastAsia" w:ascii="仿宋_GB2312" w:hAnsi="宋体" w:eastAsia="仿宋_GB2312" w:cs="宋体"/>
          <w:kern w:val="0"/>
          <w:sz w:val="32"/>
          <w:szCs w:val="32"/>
        </w:rPr>
        <w:t xml:space="preserve"> %。主要原因是：5名职工调整职级工资，相应增加了人员经费。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b/>
          <w:sz w:val="32"/>
          <w:szCs w:val="32"/>
        </w:rPr>
      </w:pPr>
      <w:r>
        <w:rPr>
          <w:rFonts w:hint="eastAsia" w:ascii="仿宋_GB2312" w:hAnsi="宋体" w:eastAsia="仿宋_GB2312" w:cs="宋体"/>
          <w:kern w:val="0"/>
          <w:sz w:val="32"/>
          <w:szCs w:val="32"/>
        </w:rPr>
        <w:t>1.一般公共服务</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74.05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占</w:t>
      </w:r>
      <w:r>
        <w:rPr>
          <w:rFonts w:hint="eastAsia" w:ascii="仿宋_GB2312" w:hAnsi="宋体" w:eastAsia="仿宋_GB2312" w:cs="宋体"/>
          <w:kern w:val="0"/>
          <w:sz w:val="32"/>
          <w:szCs w:val="32"/>
        </w:rPr>
        <w:t>100 %。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default" w:ascii="仿宋_GB2312" w:hAnsi="宋体" w:eastAsia="仿宋_GB2312" w:cs="宋体"/>
          <w:b/>
          <w:kern w:val="0"/>
          <w:sz w:val="32"/>
          <w:szCs w:val="32"/>
          <w:lang w:val="en-US" w:eastAsia="zh-CN"/>
        </w:rPr>
      </w:pPr>
      <w:r>
        <w:rPr>
          <w:rFonts w:hint="eastAsia" w:ascii="仿宋_GB2312" w:hAnsi="宋体" w:eastAsia="仿宋_GB2312" w:cs="宋体"/>
          <w:kern w:val="0"/>
          <w:sz w:val="32"/>
          <w:szCs w:val="32"/>
        </w:rPr>
        <w:t>1.一般公共服务</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lang w:val="en-US" w:eastAsia="zh-CN"/>
        </w:rPr>
        <w:t>201</w:t>
      </w:r>
      <w:r>
        <w:rPr>
          <w:rFonts w:hint="eastAsia" w:ascii="仿宋_GB2312" w:hAnsi="宋体" w:eastAsia="仿宋_GB2312" w:cs="宋体"/>
          <w:kern w:val="0"/>
          <w:sz w:val="32"/>
          <w:szCs w:val="32"/>
          <w:lang w:eastAsia="zh-CN"/>
        </w:rPr>
        <w:t>）财政事务（款</w:t>
      </w:r>
      <w:r>
        <w:rPr>
          <w:rFonts w:hint="eastAsia" w:ascii="仿宋_GB2312" w:hAnsi="宋体" w:eastAsia="仿宋_GB2312" w:cs="宋体"/>
          <w:kern w:val="0"/>
          <w:sz w:val="32"/>
          <w:szCs w:val="32"/>
          <w:lang w:val="en-US" w:eastAsia="zh-CN"/>
        </w:rPr>
        <w:t>03）</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年预算数为合计1</w:t>
      </w:r>
      <w:r>
        <w:rPr>
          <w:rFonts w:hint="eastAsia" w:ascii="仿宋_GB2312" w:hAnsi="宋体" w:eastAsia="仿宋_GB2312" w:cs="宋体"/>
          <w:kern w:val="0"/>
          <w:sz w:val="32"/>
          <w:szCs w:val="32"/>
          <w:lang w:val="en-US" w:eastAsia="zh-CN"/>
        </w:rPr>
        <w:t>74.05</w:t>
      </w:r>
      <w:r>
        <w:rPr>
          <w:rFonts w:hint="eastAsia" w:ascii="仿宋_GB2312" w:hAnsi="宋体" w:eastAsia="仿宋_GB2312" w:cs="宋体"/>
          <w:kern w:val="0"/>
          <w:sz w:val="32"/>
          <w:szCs w:val="32"/>
        </w:rPr>
        <w:t>万元，比上年预算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7.94</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4.78</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w:t>
      </w:r>
      <w:r>
        <w:rPr>
          <w:rFonts w:hint="eastAsia" w:ascii="仿宋_GB2312" w:hAnsi="宋体" w:eastAsia="仿宋_GB2312" w:cs="宋体"/>
          <w:kern w:val="0"/>
          <w:sz w:val="32"/>
          <w:szCs w:val="32"/>
          <w:lang w:val="en-US" w:eastAsia="zh-CN"/>
        </w:rPr>
        <w:t>5名职工调整职级工资，增加了人员经费。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年一般公共预算基本支出 1</w:t>
      </w:r>
      <w:r>
        <w:rPr>
          <w:rFonts w:hint="eastAsia" w:ascii="仿宋_GB2312" w:hAnsi="宋体" w:eastAsia="仿宋_GB2312" w:cs="宋体"/>
          <w:kern w:val="0"/>
          <w:sz w:val="32"/>
          <w:szCs w:val="32"/>
          <w:lang w:val="en-US" w:eastAsia="zh-CN"/>
        </w:rPr>
        <w:t>74.05</w:t>
      </w:r>
      <w:r>
        <w:rPr>
          <w:rFonts w:hint="eastAsia" w:ascii="仿宋_GB2312" w:hAnsi="宋体" w:eastAsia="仿宋_GB2312" w:cs="宋体"/>
          <w:kern w:val="0"/>
          <w:sz w:val="32"/>
          <w:szCs w:val="32"/>
        </w:rPr>
        <w:t xml:space="preserve"> 万元， 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人员经费 1</w:t>
      </w:r>
      <w:r>
        <w:rPr>
          <w:rFonts w:hint="eastAsia" w:ascii="仿宋_GB2312" w:hAnsi="宋体" w:eastAsia="仿宋_GB2312" w:cs="宋体"/>
          <w:kern w:val="0"/>
          <w:sz w:val="32"/>
          <w:szCs w:val="32"/>
          <w:lang w:val="en-US" w:eastAsia="zh-CN"/>
        </w:rPr>
        <w:t>71.92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主要包括：基本工资5</w:t>
      </w:r>
      <w:r>
        <w:rPr>
          <w:rFonts w:hint="eastAsia" w:ascii="仿宋_GB2312" w:hAnsi="宋体" w:eastAsia="仿宋_GB2312" w:cs="宋体"/>
          <w:kern w:val="0"/>
          <w:sz w:val="32"/>
          <w:szCs w:val="32"/>
          <w:lang w:val="en-US" w:eastAsia="zh-CN"/>
        </w:rPr>
        <w:t>5.44</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63.86</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4.62</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17.37</w:t>
      </w:r>
      <w:r>
        <w:rPr>
          <w:rFonts w:hint="eastAsia" w:ascii="仿宋_GB2312" w:hAnsi="宋体" w:eastAsia="仿宋_GB2312" w:cs="宋体"/>
          <w:kern w:val="0"/>
          <w:sz w:val="32"/>
          <w:szCs w:val="32"/>
        </w:rPr>
        <w:t>万元、其他社会保障缴费12.</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万元、住房公积金1</w:t>
      </w:r>
      <w:r>
        <w:rPr>
          <w:rFonts w:hint="eastAsia" w:ascii="仿宋_GB2312" w:hAnsi="宋体" w:eastAsia="仿宋_GB2312" w:cs="宋体"/>
          <w:kern w:val="0"/>
          <w:sz w:val="32"/>
          <w:szCs w:val="32"/>
          <w:lang w:val="en-US" w:eastAsia="zh-CN"/>
        </w:rPr>
        <w:t>2.6</w:t>
      </w:r>
      <w:r>
        <w:rPr>
          <w:rFonts w:hint="eastAsia" w:ascii="仿宋_GB2312" w:hAnsi="宋体" w:eastAsia="仿宋_GB2312" w:cs="宋体"/>
          <w:kern w:val="0"/>
          <w:sz w:val="32"/>
          <w:szCs w:val="32"/>
        </w:rPr>
        <w:t>万元、退休费</w:t>
      </w:r>
      <w:r>
        <w:rPr>
          <w:rFonts w:hint="eastAsia" w:ascii="仿宋_GB2312" w:hAnsi="宋体" w:eastAsia="仿宋_GB2312" w:cs="宋体"/>
          <w:kern w:val="0"/>
          <w:sz w:val="32"/>
          <w:szCs w:val="32"/>
          <w:lang w:val="en-US" w:eastAsia="zh-CN"/>
        </w:rPr>
        <w:t>4.61</w:t>
      </w:r>
      <w:r>
        <w:rPr>
          <w:rFonts w:hint="eastAsia" w:ascii="仿宋_GB2312" w:hAnsi="宋体" w:eastAsia="仿宋_GB2312" w:cs="宋体"/>
          <w:kern w:val="0"/>
          <w:sz w:val="32"/>
          <w:szCs w:val="32"/>
        </w:rPr>
        <w:t>万元、奖励金</w:t>
      </w:r>
      <w:r>
        <w:rPr>
          <w:rFonts w:hint="eastAsia" w:ascii="仿宋_GB2312" w:hAnsi="宋体" w:eastAsia="仿宋_GB2312" w:cs="宋体"/>
          <w:kern w:val="0"/>
          <w:sz w:val="32"/>
          <w:szCs w:val="32"/>
          <w:lang w:val="en-US" w:eastAsia="zh-CN"/>
        </w:rPr>
        <w:t>0.71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公用经费 2.</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 xml:space="preserve"> 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主要包括：工会经费0.7</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万元、福利费1.3</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年一般公共预算项目支出情况说明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年我单位未安排项目预算支出</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情况一：（项目支出、专项业务费按下列内容说明）</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val="en-US"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设立的政策依据</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预算安排规模：</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项目承担单位：</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资金分配情况：</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资金执行时间：</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情况二：（属于对个人补贴的项目支出按下列内容说明）</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项目名称</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设立的政策依据：</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预算安排规模：</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项目承担单位：</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资金分配情况：</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资金执行时间：</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资金来源：</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补贴人数：</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补贴标准：</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补贴范围：</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补贴方式：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受益人群和社会效益：</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克州</w:t>
      </w:r>
      <w:r>
        <w:rPr>
          <w:rFonts w:hint="eastAsia" w:ascii="仿宋_GB2312" w:hAnsi="宋体" w:eastAsia="仿宋_GB2312" w:cs="宋体"/>
          <w:kern w:val="0"/>
          <w:sz w:val="32"/>
          <w:szCs w:val="32"/>
          <w:lang w:eastAsia="zh-CN"/>
        </w:rPr>
        <w:t>人民政府驻乌鲁木齐</w:t>
      </w:r>
      <w:r>
        <w:rPr>
          <w:rFonts w:hint="eastAsia" w:ascii="仿宋_GB2312" w:hAnsi="宋体" w:eastAsia="仿宋_GB2312" w:cs="宋体"/>
          <w:kern w:val="0"/>
          <w:sz w:val="32"/>
          <w:szCs w:val="32"/>
        </w:rPr>
        <w:t>办事处202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一般公共预算</w:t>
      </w:r>
      <w:r>
        <w:rPr>
          <w:rFonts w:hint="eastAsia" w:ascii="仿宋_GB2312" w:hAnsi="宋体" w:eastAsia="仿宋_GB2312" w:cs="宋体"/>
          <w:kern w:val="0"/>
          <w:sz w:val="32"/>
          <w:szCs w:val="32"/>
        </w:rPr>
        <w:t>“三公”经费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为0万元，其中：因公出国（境）费0万元，公务用车购置0万元，公务用车运行费 0万元，公务接待费0万元。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一般公共预算</w:t>
      </w:r>
      <w:r>
        <w:rPr>
          <w:rFonts w:hint="eastAsia" w:ascii="仿宋_GB2312" w:hAnsi="宋体" w:eastAsia="仿宋_GB2312" w:cs="宋体"/>
          <w:kern w:val="0"/>
          <w:sz w:val="32"/>
          <w:szCs w:val="32"/>
        </w:rPr>
        <w:t>“三公”经费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万元，其中：因公出国（境）费增加0万元，主要原因是 ：当年预算未安排此项经费 ；公务用车购置费为0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 ；公务用车运行费增加0万元，主要原因是：当年预算未安排此项经费 ；公务接待费增加0万元，主要原因是：当年预算未安排此项经费 。</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克州人民政府驻乌鲁木齐办事处</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hint="eastAsia" w:ascii="仿宋_GB2312" w:hAnsi="仿宋_GB2312" w:eastAsia="仿宋_GB2312" w:cs="仿宋_GB2312"/>
          <w:b w:val="0"/>
          <w:bCs/>
          <w:kern w:val="0"/>
          <w:sz w:val="32"/>
          <w:szCs w:val="32"/>
        </w:rPr>
      </w:pPr>
      <w:r>
        <w:rPr>
          <w:rFonts w:hint="eastAsia" w:ascii="仿宋_GB2312" w:hAnsi="仿宋_GB2312" w:eastAsia="仿宋_GB2312" w:cs="仿宋_GB2312"/>
          <w:b w:val="0"/>
          <w:bCs/>
          <w:kern w:val="0"/>
          <w:sz w:val="32"/>
          <w:szCs w:val="32"/>
          <w:lang w:val="en-US" w:eastAsia="zh-CN"/>
        </w:rPr>
        <w:t>2021</w:t>
      </w:r>
      <w:r>
        <w:rPr>
          <w:rFonts w:hint="eastAsia" w:ascii="仿宋_GB2312" w:hAnsi="仿宋_GB2312" w:eastAsia="仿宋_GB2312" w:cs="仿宋_GB2312"/>
          <w:b w:val="0"/>
          <w:bCs/>
          <w:kern w:val="0"/>
          <w:sz w:val="32"/>
          <w:szCs w:val="32"/>
        </w:rPr>
        <w:t>年，</w:t>
      </w:r>
      <w:r>
        <w:rPr>
          <w:rFonts w:hint="eastAsia" w:ascii="仿宋_GB2312" w:hAnsi="仿宋_GB2312" w:eastAsia="仿宋_GB2312" w:cs="仿宋_GB2312"/>
          <w:b w:val="0"/>
          <w:bCs/>
          <w:kern w:val="0"/>
          <w:sz w:val="32"/>
          <w:szCs w:val="32"/>
          <w:lang w:eastAsia="zh-CN"/>
        </w:rPr>
        <w:t>克州人民政府驻乌鲁木齐办事处本级及下属</w:t>
      </w:r>
      <w:r>
        <w:rPr>
          <w:rFonts w:hint="eastAsia" w:ascii="仿宋_GB2312" w:hAnsi="仿宋_GB2312" w:eastAsia="仿宋_GB2312" w:cs="仿宋_GB2312"/>
          <w:b w:val="0"/>
          <w:bCs/>
          <w:kern w:val="0"/>
          <w:sz w:val="32"/>
          <w:szCs w:val="32"/>
          <w:lang w:val="en-US" w:eastAsia="zh-CN"/>
        </w:rPr>
        <w:t>0</w:t>
      </w:r>
      <w:r>
        <w:rPr>
          <w:rFonts w:hint="eastAsia" w:ascii="仿宋_GB2312" w:hAnsi="仿宋_GB2312" w:eastAsia="仿宋_GB2312" w:cs="仿宋_GB2312"/>
          <w:b w:val="0"/>
          <w:bCs/>
          <w:kern w:val="0"/>
          <w:sz w:val="32"/>
          <w:szCs w:val="32"/>
        </w:rPr>
        <w:t>家行政单位和</w:t>
      </w:r>
      <w:r>
        <w:rPr>
          <w:rFonts w:hint="eastAsia" w:ascii="仿宋_GB2312" w:hAnsi="仿宋_GB2312" w:eastAsia="仿宋_GB2312" w:cs="仿宋_GB2312"/>
          <w:b w:val="0"/>
          <w:bCs/>
          <w:kern w:val="0"/>
          <w:sz w:val="32"/>
          <w:szCs w:val="32"/>
          <w:lang w:val="en-US" w:eastAsia="zh-CN"/>
        </w:rPr>
        <w:t>1</w:t>
      </w:r>
      <w:r>
        <w:rPr>
          <w:rFonts w:hint="eastAsia" w:ascii="仿宋_GB2312" w:hAnsi="仿宋_GB2312" w:eastAsia="仿宋_GB2312" w:cs="仿宋_GB2312"/>
          <w:b w:val="0"/>
          <w:bCs/>
          <w:kern w:val="0"/>
          <w:sz w:val="32"/>
          <w:szCs w:val="32"/>
        </w:rPr>
        <w:t>家事业单位的机关运行经费财政拨款预算</w:t>
      </w:r>
      <w:r>
        <w:rPr>
          <w:rFonts w:hint="eastAsia" w:ascii="仿宋_GB2312" w:hAnsi="仿宋_GB2312" w:eastAsia="仿宋_GB2312" w:cs="仿宋_GB2312"/>
          <w:b w:val="0"/>
          <w:bCs/>
          <w:kern w:val="0"/>
          <w:sz w:val="32"/>
          <w:szCs w:val="32"/>
          <w:lang w:val="en-US" w:eastAsia="zh-CN"/>
        </w:rPr>
        <w:t>2.13</w:t>
      </w:r>
      <w:r>
        <w:rPr>
          <w:rFonts w:hint="eastAsia" w:ascii="仿宋_GB2312" w:hAnsi="仿宋_GB2312" w:eastAsia="仿宋_GB2312" w:cs="仿宋_GB2312"/>
          <w:b w:val="0"/>
          <w:bCs/>
          <w:kern w:val="0"/>
          <w:sz w:val="32"/>
          <w:szCs w:val="32"/>
        </w:rPr>
        <w:t>万元，比上年预算增加</w:t>
      </w:r>
      <w:r>
        <w:rPr>
          <w:rFonts w:hint="eastAsia" w:ascii="仿宋_GB2312" w:hAnsi="仿宋_GB2312" w:eastAsia="仿宋_GB2312" w:cs="仿宋_GB2312"/>
          <w:b w:val="0"/>
          <w:bCs/>
          <w:kern w:val="0"/>
          <w:sz w:val="32"/>
          <w:szCs w:val="32"/>
          <w:lang w:val="en-US" w:eastAsia="zh-CN"/>
        </w:rPr>
        <w:t>0.1</w:t>
      </w:r>
      <w:r>
        <w:rPr>
          <w:rFonts w:hint="eastAsia" w:ascii="仿宋_GB2312" w:hAnsi="仿宋_GB2312" w:eastAsia="仿宋_GB2312" w:cs="仿宋_GB2312"/>
          <w:b w:val="0"/>
          <w:bCs/>
          <w:kern w:val="0"/>
          <w:sz w:val="32"/>
          <w:szCs w:val="32"/>
        </w:rPr>
        <w:t>万元，增长</w:t>
      </w:r>
      <w:r>
        <w:rPr>
          <w:rFonts w:hint="eastAsia" w:ascii="仿宋_GB2312" w:hAnsi="仿宋_GB2312" w:eastAsia="仿宋_GB2312" w:cs="仿宋_GB2312"/>
          <w:b w:val="0"/>
          <w:bCs/>
          <w:kern w:val="0"/>
          <w:sz w:val="32"/>
          <w:szCs w:val="32"/>
          <w:lang w:val="en-US" w:eastAsia="zh-CN"/>
        </w:rPr>
        <w:t>4.9</w:t>
      </w:r>
      <w:r>
        <w:rPr>
          <w:rFonts w:hint="eastAsia" w:ascii="仿宋_GB2312" w:hAnsi="仿宋_GB2312" w:eastAsia="仿宋_GB2312" w:cs="仿宋_GB2312"/>
          <w:b w:val="0"/>
          <w:bCs/>
          <w:kern w:val="0"/>
          <w:sz w:val="32"/>
          <w:szCs w:val="32"/>
        </w:rPr>
        <w:t>%。主要原因</w:t>
      </w:r>
      <w:r>
        <w:rPr>
          <w:rFonts w:hint="eastAsia" w:ascii="仿宋_GB2312" w:hAnsi="仿宋_GB2312" w:eastAsia="仿宋_GB2312" w:cs="仿宋_GB2312"/>
          <w:b w:val="0"/>
          <w:bCs/>
          <w:kern w:val="0"/>
          <w:sz w:val="32"/>
          <w:szCs w:val="32"/>
          <w:lang w:eastAsia="zh-CN"/>
        </w:rPr>
        <w:t>：</w:t>
      </w:r>
      <w:r>
        <w:rPr>
          <w:rFonts w:hint="eastAsia" w:ascii="仿宋_GB2312" w:hAnsi="仿宋_GB2312" w:eastAsia="仿宋_GB2312" w:cs="仿宋_GB2312"/>
          <w:b w:val="0"/>
          <w:bCs/>
          <w:kern w:val="0"/>
          <w:sz w:val="32"/>
          <w:szCs w:val="32"/>
          <w:lang w:val="en-US" w:eastAsia="zh-CN"/>
        </w:rPr>
        <w:t>5名职工调整职级工资，相应增加了费用</w:t>
      </w:r>
      <w:bookmarkStart w:id="1" w:name="_GoBack"/>
      <w:bookmarkEnd w:id="1"/>
      <w:r>
        <w:rPr>
          <w:rFonts w:hint="eastAsia" w:ascii="仿宋_GB2312" w:hAnsi="仿宋_GB2312" w:eastAsia="仿宋_GB2312" w:cs="仿宋_GB2312"/>
          <w:b w:val="0"/>
          <w:bCs/>
          <w:kern w:val="0"/>
          <w:sz w:val="32"/>
          <w:szCs w:val="32"/>
          <w:lang w:val="en-US" w:eastAsia="zh-CN"/>
        </w:rPr>
        <w:t>。</w:t>
      </w:r>
      <w:r>
        <w:rPr>
          <w:rFonts w:hint="eastAsia" w:ascii="仿宋_GB2312" w:hAnsi="仿宋_GB2312" w:eastAsia="仿宋_GB2312" w:cs="仿宋_GB2312"/>
          <w:b w:val="0"/>
          <w:bCs/>
          <w:kern w:val="0"/>
          <w:sz w:val="32"/>
          <w:szCs w:val="32"/>
        </w:rPr>
        <w:t xml:space="preserve">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w:t>
      </w:r>
      <w:r>
        <w:rPr>
          <w:rFonts w:hint="eastAsia" w:ascii="仿宋_GB2312" w:hAnsi="仿宋_GB2312" w:eastAsia="仿宋_GB2312"/>
          <w:sz w:val="32"/>
          <w:lang w:eastAsia="zh-CN"/>
        </w:rPr>
        <w:t>克州人民政府驻乌鲁木齐办事处</w:t>
      </w:r>
      <w:r>
        <w:rPr>
          <w:rFonts w:hint="eastAsia" w:ascii="仿宋_GB2312" w:hAnsi="仿宋_GB2312" w:eastAsia="仿宋_GB2312"/>
          <w:sz w:val="32"/>
        </w:rPr>
        <w:t>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克州人民政府驻乌鲁木齐办事处</w:t>
      </w:r>
      <w:r>
        <w:rPr>
          <w:rFonts w:hint="eastAsia" w:ascii="仿宋_GB2312" w:hAnsi="宋体" w:eastAsia="仿宋_GB2312" w:cs="宋体"/>
          <w:kern w:val="0"/>
          <w:sz w:val="32"/>
          <w:szCs w:val="32"/>
        </w:rPr>
        <w:t>及下属各预算单位占用使用国有资产总体情况为</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3209.93</w:t>
      </w:r>
      <w:r>
        <w:rPr>
          <w:rFonts w:hint="eastAsia" w:ascii="仿宋_GB2312" w:hAnsi="宋体" w:eastAsia="仿宋_GB2312" w:cs="宋体"/>
          <w:kern w:val="0"/>
          <w:sz w:val="32"/>
          <w:szCs w:val="32"/>
        </w:rPr>
        <w:t xml:space="preserve"> 平方米，价值</w:t>
      </w:r>
      <w:r>
        <w:rPr>
          <w:rFonts w:hint="eastAsia" w:ascii="仿宋_GB2312" w:hAnsi="宋体" w:eastAsia="仿宋_GB2312" w:cs="宋体"/>
          <w:kern w:val="0"/>
          <w:sz w:val="32"/>
          <w:szCs w:val="32"/>
          <w:lang w:val="en-US" w:eastAsia="zh-CN"/>
        </w:rPr>
        <w:t>639.46</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167.8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万元；其他车辆 </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 辆，价值</w:t>
      </w:r>
      <w:r>
        <w:rPr>
          <w:rFonts w:hint="eastAsia" w:ascii="仿宋_GB2312" w:hAnsi="宋体" w:eastAsia="仿宋_GB2312" w:cs="宋体"/>
          <w:kern w:val="0"/>
          <w:sz w:val="32"/>
          <w:szCs w:val="32"/>
          <w:lang w:val="en-US" w:eastAsia="zh-CN"/>
        </w:rPr>
        <w:t>167.8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3.42</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185.3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克州人民政府驻乌鲁木齐办事处</w:t>
      </w:r>
      <w:r>
        <w:rPr>
          <w:rFonts w:hint="eastAsia" w:ascii="仿宋_GB2312" w:hAnsi="宋体" w:eastAsia="仿宋_GB2312" w:cs="宋体"/>
          <w:kern w:val="0"/>
          <w:sz w:val="32"/>
          <w:szCs w:val="32"/>
        </w:rPr>
        <w:t>预算未安排购置车辆经费</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年度，本年度实行绩效管理的一般公共预算项目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w:t>
      </w:r>
      <w:r>
        <w:rPr>
          <w:rFonts w:hint="eastAsia" w:ascii="仿宋_GB2312" w:hAnsi="宋体" w:eastAsia="仿宋_GB2312" w:cs="宋体"/>
          <w:kern w:val="0"/>
          <w:sz w:val="32"/>
          <w:szCs w:val="32"/>
          <w:lang w:eastAsia="zh-CN"/>
        </w:rPr>
        <w:t>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克州人民政府驻乌鲁木齐办事处</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lang w:bidi="ar"/>
              </w:rPr>
              <w:t>XXXXX</w:t>
            </w:r>
          </w:p>
        </w:tc>
      </w:tr>
      <w:tr>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p>
        </w:tc>
      </w:tr>
      <w:tr>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footerReference r:id="rId3" w:type="default"/>
          <w:pgSz w:w="11906" w:h="16838"/>
          <w:pgMar w:top="1440" w:right="1800" w:bottom="1440" w:left="1800" w:header="851" w:footer="992" w:gutter="0"/>
          <w:pgNumType w:fmt="numberInDash" w:start="24"/>
          <w:cols w:space="720" w:num="1"/>
          <w:docGrid w:type="lines" w:linePitch="312" w:charSpace="0"/>
        </w:sectPr>
      </w:pPr>
    </w:p>
    <w:p>
      <w:pPr>
        <w:widowControl/>
        <w:numPr>
          <w:ilvl w:val="0"/>
          <w:numId w:val="2"/>
        </w:numPr>
        <w:spacing w:line="480" w:lineRule="exact"/>
        <w:ind w:firstLine="630" w:firstLineChars="196"/>
        <w:jc w:val="left"/>
        <w:rPr>
          <w:rFonts w:hint="eastAsia" w:ascii="楷体_GB2312" w:hAnsi="宋体" w:eastAsia="楷体_GB2312" w:cs="宋体"/>
          <w:b/>
          <w:kern w:val="0"/>
          <w:sz w:val="32"/>
          <w:szCs w:val="32"/>
        </w:rPr>
      </w:pPr>
      <w:r>
        <w:rPr>
          <w:rFonts w:hint="eastAsia" w:ascii="楷体_GB2312" w:hAnsi="宋体" w:eastAsia="楷体_GB2312" w:cs="宋体"/>
          <w:b/>
          <w:kern w:val="0"/>
          <w:sz w:val="32"/>
          <w:szCs w:val="32"/>
          <w:lang w:eastAsia="zh-CN"/>
        </w:rPr>
        <w:t>克州人民政府驻乌鲁木齐办事处</w:t>
      </w:r>
      <w:r>
        <w:rPr>
          <w:rFonts w:hint="eastAsia" w:ascii="楷体_GB2312" w:hAnsi="宋体" w:eastAsia="楷体_GB2312" w:cs="宋体"/>
          <w:b/>
          <w:kern w:val="0"/>
          <w:sz w:val="32"/>
          <w:szCs w:val="32"/>
          <w:lang w:val="en-US" w:eastAsia="zh-CN"/>
        </w:rPr>
        <w:t>无其它需要说明</w:t>
      </w:r>
      <w:r>
        <w:rPr>
          <w:rFonts w:hint="eastAsia" w:ascii="楷体_GB2312" w:hAnsi="宋体" w:eastAsia="楷体_GB2312" w:cs="宋体"/>
          <w:b/>
          <w:kern w:val="0"/>
          <w:sz w:val="32"/>
          <w:szCs w:val="32"/>
        </w:rPr>
        <w:t>的事项</w:t>
      </w:r>
      <w:r>
        <w:rPr>
          <w:rFonts w:hint="eastAsia" w:ascii="楷体_GB2312" w:hAnsi="宋体" w:eastAsia="楷体_GB2312" w:cs="宋体"/>
          <w:b/>
          <w:kern w:val="0"/>
          <w:sz w:val="32"/>
          <w:szCs w:val="32"/>
          <w:lang w:eastAsia="zh-CN"/>
        </w:rPr>
        <w:t>。</w:t>
      </w:r>
    </w:p>
    <w:p>
      <w:pPr>
        <w:widowControl/>
        <w:spacing w:before="217" w:beforeLines="50" w:line="520" w:lineRule="exact"/>
        <w:ind w:firstLine="3200" w:firstLineChars="1000"/>
        <w:jc w:val="both"/>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20" w:lineRule="exact"/>
        <w:ind w:firstLine="640" w:firstLineChars="200"/>
        <w:jc w:val="left"/>
        <w:rPr>
          <w:rFonts w:ascii="仿宋_GB2312" w:eastAsia="仿宋_GB2312"/>
          <w:sz w:val="32"/>
          <w:szCs w:val="32"/>
        </w:rPr>
      </w:pPr>
    </w:p>
    <w:p>
      <w:pPr>
        <w:spacing w:line="520" w:lineRule="exact"/>
        <w:ind w:firstLine="640"/>
        <w:rPr>
          <w:rFonts w:hint="eastAsia" w:ascii="仿宋_GB2312" w:eastAsia="仿宋_GB2312"/>
          <w:b/>
          <w:sz w:val="30"/>
          <w:szCs w:val="30"/>
        </w:rPr>
      </w:pPr>
      <w:r>
        <w:rPr>
          <w:rFonts w:hint="eastAsia" w:ascii="仿宋_GB2312" w:eastAsia="仿宋_GB2312"/>
          <w:b/>
          <w:sz w:val="30"/>
          <w:szCs w:val="30"/>
        </w:rPr>
        <w:t>名词解释：</w:t>
      </w:r>
    </w:p>
    <w:p>
      <w:pPr>
        <w:spacing w:line="520" w:lineRule="exact"/>
        <w:ind w:firstLine="640"/>
        <w:rPr>
          <w:rFonts w:hint="eastAsia" w:ascii="仿宋_GB2312" w:eastAsia="仿宋_GB2312"/>
          <w:b/>
          <w:sz w:val="30"/>
          <w:szCs w:val="30"/>
        </w:rPr>
      </w:pPr>
      <w:r>
        <w:rPr>
          <w:rFonts w:hint="eastAsia" w:ascii="仿宋_GB2312" w:eastAsia="仿宋_GB2312"/>
          <w:b/>
          <w:sz w:val="30"/>
          <w:szCs w:val="30"/>
        </w:rPr>
        <w:t>一、财政拨款：指由一般公共预算、政府性基金预算、国有资本经营预算安排的财政拨款数。</w:t>
      </w:r>
    </w:p>
    <w:p>
      <w:pPr>
        <w:spacing w:line="520" w:lineRule="exact"/>
        <w:ind w:firstLine="640"/>
        <w:rPr>
          <w:rFonts w:hint="eastAsia" w:ascii="仿宋_GB2312" w:eastAsia="仿宋_GB2312"/>
          <w:b/>
          <w:sz w:val="30"/>
          <w:szCs w:val="30"/>
        </w:rPr>
      </w:pPr>
      <w:r>
        <w:rPr>
          <w:rFonts w:hint="eastAsia" w:ascii="仿宋_GB2312" w:eastAsia="仿宋_GB2312"/>
          <w:b/>
          <w:sz w:val="30"/>
          <w:szCs w:val="30"/>
        </w:rPr>
        <w:t>二、一般公共预算：包括公共财政拨款（补助）资金、专项收入。</w:t>
      </w:r>
    </w:p>
    <w:p>
      <w:pPr>
        <w:spacing w:line="520" w:lineRule="exact"/>
        <w:ind w:firstLine="640"/>
        <w:rPr>
          <w:rFonts w:hint="eastAsia" w:ascii="仿宋_GB2312" w:eastAsia="仿宋_GB2312"/>
          <w:b/>
          <w:sz w:val="30"/>
          <w:szCs w:val="30"/>
        </w:rPr>
      </w:pPr>
      <w:r>
        <w:rPr>
          <w:rFonts w:hint="eastAsia" w:ascii="仿宋_GB2312" w:eastAsia="仿宋_GB2312"/>
          <w:b/>
          <w:sz w:val="30"/>
          <w:szCs w:val="30"/>
          <w:lang w:eastAsia="zh-CN"/>
        </w:rPr>
        <w:t>三</w:t>
      </w:r>
      <w:r>
        <w:rPr>
          <w:rFonts w:hint="eastAsia" w:ascii="仿宋_GB2312" w:eastAsia="仿宋_GB2312"/>
          <w:b/>
          <w:sz w:val="30"/>
          <w:szCs w:val="30"/>
        </w:rPr>
        <w:t>、基本支出：包括人员经费、商品和服务支出（定额）。其中，人员经费包括工资福利支出、对个人和家庭的补助。</w:t>
      </w:r>
    </w:p>
    <w:p>
      <w:pPr>
        <w:spacing w:line="520" w:lineRule="exact"/>
        <w:ind w:firstLine="640"/>
        <w:rPr>
          <w:rFonts w:hint="eastAsia" w:ascii="仿宋_GB2312" w:eastAsia="仿宋_GB2312"/>
          <w:b/>
          <w:sz w:val="30"/>
          <w:szCs w:val="30"/>
        </w:rPr>
      </w:pPr>
      <w:r>
        <w:rPr>
          <w:rFonts w:hint="eastAsia" w:ascii="仿宋_GB2312" w:eastAsia="仿宋_GB2312"/>
          <w:b/>
          <w:sz w:val="30"/>
          <w:szCs w:val="30"/>
          <w:lang w:eastAsia="zh-CN"/>
        </w:rPr>
        <w:t>四</w:t>
      </w:r>
      <w:r>
        <w:rPr>
          <w:rFonts w:hint="eastAsia" w:ascii="仿宋_GB2312" w:eastAsia="仿宋_GB2312"/>
          <w:b/>
          <w:sz w:val="30"/>
          <w:szCs w:val="30"/>
        </w:rPr>
        <w:t>、项目支出：部门（单位）支出预算的组成部分，是自治区本级部门（单位）为完成其特定的行政任务或事业发展目标，在基本支出预算之外编制的年度项目支出计划。</w:t>
      </w:r>
    </w:p>
    <w:p>
      <w:pPr>
        <w:spacing w:line="520" w:lineRule="exact"/>
        <w:ind w:firstLine="640"/>
        <w:rPr>
          <w:rFonts w:hint="eastAsia" w:ascii="仿宋_GB2312" w:eastAsia="仿宋_GB2312"/>
          <w:b/>
          <w:sz w:val="30"/>
          <w:szCs w:val="30"/>
        </w:rPr>
      </w:pPr>
      <w:r>
        <w:rPr>
          <w:rFonts w:hint="eastAsia" w:ascii="仿宋_GB2312" w:eastAsia="仿宋_GB2312"/>
          <w:b/>
          <w:sz w:val="30"/>
          <w:szCs w:val="30"/>
          <w:lang w:eastAsia="zh-CN"/>
        </w:rPr>
        <w:t>五</w:t>
      </w:r>
      <w:r>
        <w:rPr>
          <w:rFonts w:hint="eastAsia" w:ascii="仿宋_GB2312" w:eastAsia="仿宋_GB2312"/>
          <w:b/>
          <w:sz w:val="30"/>
          <w:szCs w:val="30"/>
        </w:rPr>
        <w:t>、“三公”经费：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0"/>
        <w:rPr>
          <w:rFonts w:hint="eastAsia" w:ascii="仿宋_GB2312" w:eastAsia="仿宋_GB2312"/>
          <w:b/>
          <w:sz w:val="30"/>
          <w:szCs w:val="30"/>
        </w:rPr>
      </w:pPr>
      <w:r>
        <w:rPr>
          <w:rFonts w:hint="eastAsia" w:ascii="仿宋_GB2312" w:eastAsia="仿宋_GB2312"/>
          <w:b/>
          <w:sz w:val="30"/>
          <w:szCs w:val="30"/>
          <w:lang w:eastAsia="zh-CN"/>
        </w:rPr>
        <w:t>六</w:t>
      </w:r>
      <w:r>
        <w:rPr>
          <w:rFonts w:hint="eastAsia" w:ascii="仿宋_GB2312" w:eastAsia="仿宋_GB2312"/>
          <w:b/>
          <w:sz w:val="30"/>
          <w:szCs w:val="30"/>
        </w:rPr>
        <w:t>、机关运行经费：指各部门（单位）的公用经费，包括办公及印刷费、邮电费、差旅费、会议费、福利费、日常维修费、专用材料及一般设备购置费、办公用房水电费、办公用房取暖费、办公用房物业管理费、公务用车运行维护费及其他费用。</w:t>
      </w:r>
    </w:p>
    <w:p>
      <w:pPr>
        <w:spacing w:line="520" w:lineRule="exact"/>
        <w:ind w:firstLine="4206" w:firstLineChars="1402"/>
        <w:rPr>
          <w:rFonts w:hint="eastAsia" w:ascii="黑体" w:hAnsi="黑体" w:eastAsia="黑体" w:cs="黑体"/>
          <w:kern w:val="0"/>
          <w:sz w:val="30"/>
          <w:szCs w:val="30"/>
          <w:lang w:eastAsia="zh-CN"/>
        </w:rPr>
      </w:pPr>
      <w:r>
        <w:rPr>
          <w:rFonts w:hint="eastAsia" w:ascii="黑体" w:hAnsi="黑体" w:eastAsia="黑体" w:cs="黑体"/>
          <w:kern w:val="0"/>
          <w:sz w:val="30"/>
          <w:szCs w:val="30"/>
          <w:lang w:eastAsia="zh-CN"/>
        </w:rPr>
        <w:t>克州人民政府驻乌鲁木齐办事处</w:t>
      </w:r>
    </w:p>
    <w:p>
      <w:pPr>
        <w:widowControl/>
        <w:spacing w:line="520" w:lineRule="exact"/>
        <w:jc w:val="left"/>
        <w:rPr>
          <w:rFonts w:hint="eastAsia" w:ascii="黑体" w:hAnsi="黑体" w:eastAsia="黑体" w:cs="黑体"/>
          <w:kern w:val="0"/>
          <w:sz w:val="30"/>
          <w:szCs w:val="30"/>
        </w:rPr>
      </w:pPr>
      <w:r>
        <w:rPr>
          <w:rFonts w:hint="eastAsia" w:ascii="黑体" w:hAnsi="黑体" w:eastAsia="黑体" w:cs="黑体"/>
          <w:kern w:val="0"/>
          <w:sz w:val="30"/>
          <w:szCs w:val="30"/>
        </w:rPr>
        <w:t xml:space="preserve">                              </w:t>
      </w:r>
      <w:r>
        <w:rPr>
          <w:rFonts w:hint="eastAsia" w:ascii="黑体" w:hAnsi="黑体" w:eastAsia="黑体" w:cs="黑体"/>
          <w:kern w:val="0"/>
          <w:sz w:val="30"/>
          <w:szCs w:val="30"/>
          <w:lang w:val="en-US" w:eastAsia="zh-CN"/>
        </w:rPr>
        <w:t xml:space="preserve"> </w:t>
      </w:r>
      <w:r>
        <w:rPr>
          <w:rFonts w:hint="eastAsia" w:ascii="黑体" w:hAnsi="黑体" w:eastAsia="黑体" w:cs="黑体"/>
          <w:kern w:val="0"/>
          <w:sz w:val="30"/>
          <w:szCs w:val="30"/>
        </w:rPr>
        <w:t xml:space="preserve"> </w:t>
      </w:r>
      <w:r>
        <w:rPr>
          <w:rFonts w:hint="eastAsia" w:ascii="黑体" w:hAnsi="黑体" w:eastAsia="黑体" w:cs="黑体"/>
          <w:kern w:val="0"/>
          <w:sz w:val="30"/>
          <w:szCs w:val="30"/>
          <w:lang w:val="en-US" w:eastAsia="zh-CN"/>
        </w:rPr>
        <w:t xml:space="preserve">   2021</w:t>
      </w:r>
      <w:r>
        <w:rPr>
          <w:rFonts w:hint="eastAsia" w:ascii="黑体" w:hAnsi="黑体" w:eastAsia="黑体" w:cs="黑体"/>
          <w:kern w:val="0"/>
          <w:sz w:val="30"/>
          <w:szCs w:val="30"/>
        </w:rPr>
        <w:t xml:space="preserve"> 年 </w:t>
      </w:r>
      <w:r>
        <w:rPr>
          <w:rFonts w:hint="eastAsia" w:ascii="黑体" w:hAnsi="黑体" w:eastAsia="黑体" w:cs="黑体"/>
          <w:kern w:val="0"/>
          <w:sz w:val="30"/>
          <w:szCs w:val="30"/>
          <w:lang w:val="en-US" w:eastAsia="zh-CN"/>
        </w:rPr>
        <w:t>2</w:t>
      </w:r>
      <w:r>
        <w:rPr>
          <w:rFonts w:hint="eastAsia" w:ascii="黑体" w:hAnsi="黑体" w:eastAsia="黑体" w:cs="黑体"/>
          <w:kern w:val="0"/>
          <w:sz w:val="30"/>
          <w:szCs w:val="30"/>
        </w:rPr>
        <w:t>月</w:t>
      </w:r>
      <w:r>
        <w:rPr>
          <w:rFonts w:hint="eastAsia" w:ascii="黑体" w:hAnsi="黑体" w:eastAsia="黑体" w:cs="黑体"/>
          <w:kern w:val="0"/>
          <w:sz w:val="30"/>
          <w:szCs w:val="30"/>
          <w:lang w:val="en-US" w:eastAsia="zh-CN"/>
        </w:rPr>
        <w:t>5</w:t>
      </w:r>
      <w:r>
        <w:rPr>
          <w:rFonts w:hint="eastAsia" w:ascii="黑体" w:hAnsi="黑体" w:eastAsia="黑体" w:cs="黑体"/>
          <w:kern w:val="0"/>
          <w:sz w:val="30"/>
          <w:szCs w:val="30"/>
        </w:rPr>
        <w:t>日</w:t>
      </w:r>
    </w:p>
    <w:p>
      <w:pPr>
        <w:rPr>
          <w:rFonts w:hint="eastAsia" w:ascii="黑体" w:hAnsi="黑体" w:eastAsia="黑体" w:cs="黑体"/>
          <w:sz w:val="30"/>
          <w:szCs w:val="30"/>
        </w:rPr>
      </w:pPr>
    </w:p>
    <w:p>
      <w:pPr>
        <w:rPr>
          <w:sz w:val="30"/>
          <w:szCs w:val="30"/>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600" w:lineRule="exact"/>
        <w:ind w:left="3150" w:leftChars="1500"/>
        <w:jc w:val="center"/>
        <w:rPr>
          <w:rFonts w:ascii="仿宋_GB2312" w:eastAsia="仿宋_GB2312"/>
          <w:sz w:val="32"/>
          <w:szCs w:val="32"/>
        </w:rPr>
      </w:pPr>
    </w:p>
    <w:sectPr>
      <w:footerReference r:id="rId4" w:type="default"/>
      <w:footerReference r:id="rId5"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C95331"/>
    <w:multiLevelType w:val="singleLevel"/>
    <w:tmpl w:val="B4C95331"/>
    <w:lvl w:ilvl="0" w:tentative="0">
      <w:start w:val="5"/>
      <w:numFmt w:val="chineseCounting"/>
      <w:suff w:val="nothing"/>
      <w:lvlText w:val="（%1）"/>
      <w:lvlJc w:val="left"/>
      <w:rPr>
        <w:rFonts w:hint="eastAsia"/>
      </w:rPr>
    </w:lvl>
  </w:abstractNum>
  <w:abstractNum w:abstractNumId="1">
    <w:nsid w:val="088C2D8D"/>
    <w:multiLevelType w:val="singleLevel"/>
    <w:tmpl w:val="088C2D8D"/>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225077"/>
    <w:rsid w:val="002E56B3"/>
    <w:rsid w:val="00324290"/>
    <w:rsid w:val="00396814"/>
    <w:rsid w:val="003B4B5F"/>
    <w:rsid w:val="003C61E3"/>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A9706D"/>
    <w:rsid w:val="00B127E0"/>
    <w:rsid w:val="00BA582F"/>
    <w:rsid w:val="00C117E5"/>
    <w:rsid w:val="00CA4E1E"/>
    <w:rsid w:val="00DC05BF"/>
    <w:rsid w:val="00E72E1E"/>
    <w:rsid w:val="00F23808"/>
    <w:rsid w:val="00F54FE8"/>
    <w:rsid w:val="00F830A1"/>
    <w:rsid w:val="00F83503"/>
    <w:rsid w:val="00F90952"/>
    <w:rsid w:val="0B663A03"/>
    <w:rsid w:val="0E5A41AD"/>
    <w:rsid w:val="0E8C5E8A"/>
    <w:rsid w:val="0EAC6832"/>
    <w:rsid w:val="13FE48CB"/>
    <w:rsid w:val="147D4BE8"/>
    <w:rsid w:val="160A0F63"/>
    <w:rsid w:val="161D3CB3"/>
    <w:rsid w:val="19D62D14"/>
    <w:rsid w:val="1ADB67D3"/>
    <w:rsid w:val="1D99467F"/>
    <w:rsid w:val="1F6D7239"/>
    <w:rsid w:val="1F926F10"/>
    <w:rsid w:val="20021D26"/>
    <w:rsid w:val="201A0A03"/>
    <w:rsid w:val="201A56FA"/>
    <w:rsid w:val="279F2119"/>
    <w:rsid w:val="28782B6B"/>
    <w:rsid w:val="2E527DF9"/>
    <w:rsid w:val="35416084"/>
    <w:rsid w:val="37FA64DF"/>
    <w:rsid w:val="396E7488"/>
    <w:rsid w:val="3AF5327C"/>
    <w:rsid w:val="3B6719BA"/>
    <w:rsid w:val="3E7A7FB5"/>
    <w:rsid w:val="400B7360"/>
    <w:rsid w:val="424C6287"/>
    <w:rsid w:val="442603FD"/>
    <w:rsid w:val="44AA019B"/>
    <w:rsid w:val="45A0589B"/>
    <w:rsid w:val="48DB3C83"/>
    <w:rsid w:val="49E15676"/>
    <w:rsid w:val="4BE17727"/>
    <w:rsid w:val="4EE514F8"/>
    <w:rsid w:val="509B08F8"/>
    <w:rsid w:val="54144568"/>
    <w:rsid w:val="55AD636B"/>
    <w:rsid w:val="58102F7E"/>
    <w:rsid w:val="59266047"/>
    <w:rsid w:val="5D1F2291"/>
    <w:rsid w:val="611045C7"/>
    <w:rsid w:val="66262DA9"/>
    <w:rsid w:val="6B1173EB"/>
    <w:rsid w:val="6E455A6F"/>
    <w:rsid w:val="72FD07A8"/>
    <w:rsid w:val="76365DA5"/>
    <w:rsid w:val="7893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71</TotalTime>
  <ScaleCrop>false</ScaleCrop>
  <LinksUpToDate>false</LinksUpToDate>
  <CharactersWithSpaces>16055</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玉缘</cp:lastModifiedBy>
  <dcterms:modified xsi:type="dcterms:W3CDTF">2021-03-03T08:36:25Z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