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国土资源规划勘测院</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克孜勒苏柯尔克孜自治州国土资源规划勘测院</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克州国土资源规划勘测院</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克州国土资源规划勘测院</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cs="宋体"/>
          <w:kern w:val="0"/>
          <w:sz w:val="32"/>
          <w:szCs w:val="32"/>
        </w:rPr>
        <w:t>负责全州范围内土地资源现状调查，成果应用、国土资源大调查和动态监测技术工作及技术服务；</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负责大地测量、工程测量、地籍和不动产测绘，地形图、城镇地籍调查数字化数据处理采集；</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负责全州范围内国家、集体单位和城镇居民用地、土地登记、宗地、建设用地、矿山采矿范围的勘界测绘工作；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负责全州范围内建设用地、林草、公路、水利及水域用地确权定界、登记发证的测绘工作及各种报件、图件的编制工作；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参与土地利用总体规划及国土资源专项规划的编制和城镇土地及农用地分等、定级及基准地价更新等工作；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负责城镇地籍数据、土地利用总体规划等工作数据库的保管、更新、运用工作；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承担克州国土系统的技术支持服务工作; </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承担全州不动产测绘工作；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参与全州国土调查、数据库建设及年度土地利用现状更新工作；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承办自治州人民政府和克州自然资源局安排部署的其他技术服务工作。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ind w:firstLine="640" w:firstLineChars="200"/>
        <w:rPr>
          <w:rFonts w:hint="eastAsia" w:ascii="仿宋_GB2312" w:hAnsi="仿宋" w:eastAsia="仿宋_GB2312" w:cs="仿宋"/>
          <w:color w:val="333333"/>
          <w:sz w:val="32"/>
          <w:szCs w:val="32"/>
          <w:shd w:val="clear" w:color="auto" w:fill="FFFFFF"/>
        </w:rPr>
      </w:pPr>
      <w:r>
        <w:rPr>
          <w:rFonts w:hint="eastAsia" w:ascii="仿宋_GB2312" w:hAnsi="宋体" w:eastAsia="仿宋_GB2312" w:cs="宋体"/>
          <w:kern w:val="0"/>
          <w:sz w:val="32"/>
          <w:szCs w:val="32"/>
          <w:lang w:eastAsia="zh-CN"/>
        </w:rPr>
        <w:t>克州国土资源规划勘测院</w:t>
      </w:r>
      <w:r>
        <w:rPr>
          <w:rFonts w:hint="eastAsia" w:ascii="仿宋_GB2312" w:hAnsi="黑体" w:eastAsia="仿宋_GB2312" w:cs="宋体"/>
          <w:bCs/>
          <w:kern w:val="0"/>
          <w:sz w:val="32"/>
          <w:szCs w:val="32"/>
        </w:rPr>
        <w:t>单位</w:t>
      </w: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5</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仿宋" w:eastAsia="仿宋_GB2312" w:cs="仿宋"/>
          <w:color w:val="333333"/>
          <w:sz w:val="32"/>
          <w:szCs w:val="32"/>
          <w:shd w:val="clear" w:color="auto" w:fill="FFFFFF"/>
        </w:rPr>
        <w:t>办公室、勘测室、国土空间规划室、数字化室、质检室。</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52</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jc w:val="center"/>
        <w:outlineLvl w:val="1"/>
        <w:rPr>
          <w:rFonts w:hint="eastAsia" w:ascii="黑体" w:hAnsi="黑体" w:eastAsia="黑体" w:cs="宋体"/>
          <w:bCs/>
          <w:kern w:val="0"/>
          <w:sz w:val="32"/>
          <w:szCs w:val="32"/>
        </w:rPr>
      </w:pPr>
      <w:r>
        <w:rPr>
          <w:rFonts w:hint="eastAsia" w:ascii="黑体" w:hAnsi="黑体" w:eastAsia="黑体" w:cs="宋体"/>
          <w:bCs/>
          <w:kern w:val="0"/>
          <w:sz w:val="32"/>
          <w:szCs w:val="32"/>
        </w:rPr>
        <w:t>第二部分</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年部门（单位）预算公开表</w:t>
      </w: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克孜勒苏柯尔克孜自治州国土资源规划勘测院</w:t>
      </w:r>
      <w:r>
        <w:rPr>
          <w:rFonts w:hint="eastAsia" w:ascii="仿宋_GB2312" w:hAnsi="宋体" w:eastAsia="仿宋_GB2312"/>
          <w:kern w:val="0"/>
          <w:sz w:val="24"/>
        </w:rPr>
        <w:t>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445.02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445.02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上级补助收入</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上级专项收入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445.02</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lang w:eastAsia="zh-CN"/>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lang w:eastAsia="zh-CN"/>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445.02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445.02</w:t>
            </w:r>
            <w:r>
              <w:rPr>
                <w:rFonts w:hint="eastAsia" w:ascii="仿宋_GB2312" w:hAnsi="宋体" w:eastAsia="仿宋_GB2312" w:cs="宋体"/>
                <w:kern w:val="0"/>
                <w:sz w:val="18"/>
                <w:szCs w:val="18"/>
              </w:rPr>
              <w:t>　</w:t>
            </w:r>
          </w:p>
        </w:tc>
      </w:tr>
    </w:tbl>
    <w:p>
      <w:pPr>
        <w:widowControl/>
        <w:spacing w:line="280" w:lineRule="exact"/>
        <w:jc w:val="left"/>
        <w:rPr>
          <w:rFonts w:hint="eastAsia" w:ascii="仿宋_GB2312" w:hAnsi="宋体" w:eastAsia="仿宋_GB2312" w:cs="宋体"/>
          <w:kern w:val="0"/>
          <w:sz w:val="18"/>
          <w:szCs w:val="18"/>
        </w:rPr>
      </w:pPr>
    </w:p>
    <w:p>
      <w:pPr>
        <w:widowControl/>
        <w:jc w:val="left"/>
        <w:outlineLvl w:val="1"/>
        <w:rPr>
          <w:rFonts w:ascii="仿宋_GB2312" w:hAnsi="宋体" w:eastAsia="仿宋_GB2312"/>
          <w:b/>
          <w:kern w:val="0"/>
          <w:sz w:val="32"/>
          <w:szCs w:val="32"/>
          <w:highlight w:val="yellow"/>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克孜勒苏柯尔克孜自治州国土资源规划勘测院</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10"/>
        <w:tblW w:w="9720" w:type="dxa"/>
        <w:tblInd w:w="-450" w:type="dxa"/>
        <w:tblLayout w:type="fixed"/>
        <w:tblCellMar>
          <w:top w:w="0" w:type="dxa"/>
          <w:left w:w="108" w:type="dxa"/>
          <w:bottom w:w="0" w:type="dxa"/>
          <w:right w:w="108" w:type="dxa"/>
        </w:tblCellMar>
      </w:tblPr>
      <w:tblGrid>
        <w:gridCol w:w="622"/>
        <w:gridCol w:w="701"/>
        <w:gridCol w:w="815"/>
        <w:gridCol w:w="1677"/>
        <w:gridCol w:w="976"/>
        <w:gridCol w:w="1081"/>
        <w:gridCol w:w="502"/>
        <w:gridCol w:w="540"/>
        <w:gridCol w:w="540"/>
        <w:gridCol w:w="522"/>
        <w:gridCol w:w="518"/>
        <w:gridCol w:w="617"/>
        <w:gridCol w:w="609"/>
      </w:tblGrid>
      <w:tr>
        <w:tblPrEx>
          <w:tblLayout w:type="fixed"/>
          <w:tblCellMar>
            <w:top w:w="0" w:type="dxa"/>
            <w:left w:w="108" w:type="dxa"/>
            <w:bottom w:w="0" w:type="dxa"/>
            <w:right w:w="108" w:type="dxa"/>
          </w:tblCellMar>
        </w:tblPrEx>
        <w:trPr>
          <w:trHeight w:val="808" w:hRule="atLeast"/>
        </w:trPr>
        <w:tc>
          <w:tcPr>
            <w:tcW w:w="213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功能分类科目编码</w:t>
            </w:r>
          </w:p>
          <w:p>
            <w:pPr>
              <w:keepNext w:val="0"/>
              <w:keepLines w:val="0"/>
              <w:widowControl/>
              <w:suppressLineNumbers w:val="0"/>
              <w:jc w:val="center"/>
              <w:textAlignment w:val="center"/>
              <w:rPr>
                <w:rFonts w:hint="eastAsia" w:ascii="仿宋_GB2312" w:hAnsi="宋体" w:eastAsia="仿宋_GB2312" w:cs="宋体"/>
                <w:color w:val="000000"/>
                <w:sz w:val="20"/>
                <w:szCs w:val="20"/>
                <w:lang w:eastAsia="zh-CN"/>
              </w:rPr>
            </w:pPr>
          </w:p>
          <w:p>
            <w:pPr>
              <w:keepNext w:val="0"/>
              <w:keepLines w:val="0"/>
              <w:widowControl/>
              <w:suppressLineNumbers w:val="0"/>
              <w:jc w:val="center"/>
              <w:textAlignment w:val="center"/>
              <w:rPr>
                <w:rFonts w:ascii="仿宋_GB2312" w:hAnsi="宋体" w:eastAsia="仿宋_GB2312" w:cs="宋体"/>
                <w:color w:val="000000"/>
                <w:sz w:val="20"/>
                <w:szCs w:val="20"/>
              </w:rPr>
            </w:pPr>
          </w:p>
        </w:tc>
        <w:tc>
          <w:tcPr>
            <w:tcW w:w="167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功能分类科目名称</w:t>
            </w:r>
          </w:p>
        </w:tc>
        <w:tc>
          <w:tcPr>
            <w:tcW w:w="976"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总计</w:t>
            </w:r>
          </w:p>
        </w:tc>
        <w:tc>
          <w:tcPr>
            <w:tcW w:w="108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一般公共预算拨款</w:t>
            </w:r>
          </w:p>
        </w:tc>
        <w:tc>
          <w:tcPr>
            <w:tcW w:w="50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政府性基金预算拨款</w:t>
            </w:r>
          </w:p>
        </w:tc>
        <w:tc>
          <w:tcPr>
            <w:tcW w:w="54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auto"/>
                <w:kern w:val="0"/>
                <w:sz w:val="20"/>
                <w:szCs w:val="20"/>
                <w:u w:val="none"/>
                <w:lang w:val="en-US" w:eastAsia="zh-CN" w:bidi="ar"/>
              </w:rPr>
              <w:t>国有资本经营预算</w:t>
            </w:r>
          </w:p>
        </w:tc>
        <w:tc>
          <w:tcPr>
            <w:tcW w:w="54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教育收费（财政专户）</w:t>
            </w:r>
          </w:p>
        </w:tc>
        <w:tc>
          <w:tcPr>
            <w:tcW w:w="52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事业收入</w:t>
            </w:r>
          </w:p>
        </w:tc>
        <w:tc>
          <w:tcPr>
            <w:tcW w:w="51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auto"/>
                <w:kern w:val="0"/>
                <w:sz w:val="20"/>
                <w:szCs w:val="20"/>
                <w:u w:val="none"/>
                <w:lang w:val="en-US" w:eastAsia="zh-CN" w:bidi="ar"/>
              </w:rPr>
              <w:t>上级补助收入</w:t>
            </w:r>
          </w:p>
        </w:tc>
        <w:tc>
          <w:tcPr>
            <w:tcW w:w="61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auto"/>
                <w:kern w:val="0"/>
                <w:sz w:val="20"/>
                <w:szCs w:val="20"/>
                <w:u w:val="none"/>
                <w:lang w:val="en-US" w:eastAsia="zh-CN" w:bidi="ar"/>
              </w:rPr>
              <w:t>事业单位经营收入</w:t>
            </w:r>
          </w:p>
        </w:tc>
        <w:tc>
          <w:tcPr>
            <w:tcW w:w="6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auto"/>
                <w:kern w:val="0"/>
                <w:sz w:val="20"/>
                <w:szCs w:val="20"/>
                <w:u w:val="none"/>
                <w:lang w:val="en-US" w:eastAsia="zh-CN" w:bidi="ar"/>
              </w:rPr>
              <w:t>单位其他资金收入</w:t>
            </w:r>
          </w:p>
        </w:tc>
      </w:tr>
      <w:tr>
        <w:tblPrEx>
          <w:tblLayout w:type="fixed"/>
          <w:tblCellMar>
            <w:top w:w="0" w:type="dxa"/>
            <w:left w:w="108" w:type="dxa"/>
            <w:bottom w:w="0" w:type="dxa"/>
            <w:right w:w="108" w:type="dxa"/>
          </w:tblCellMar>
        </w:tblPrEx>
        <w:trPr>
          <w:trHeight w:val="1597"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类</w:t>
            </w:r>
          </w:p>
        </w:tc>
        <w:tc>
          <w:tcPr>
            <w:tcW w:w="7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eastAsia="zh-CN"/>
              </w:rPr>
            </w:pPr>
            <w:r>
              <w:rPr>
                <w:rFonts w:hint="eastAsia" w:ascii="宋体" w:hAnsi="宋体" w:eastAsia="宋体" w:cs="宋体"/>
                <w:i w:val="0"/>
                <w:color w:val="auto"/>
                <w:kern w:val="0"/>
                <w:sz w:val="20"/>
                <w:szCs w:val="20"/>
                <w:u w:val="none"/>
                <w:lang w:val="en-US" w:eastAsia="zh-CN" w:bidi="ar"/>
              </w:rPr>
              <w:t>款</w:t>
            </w:r>
          </w:p>
        </w:tc>
        <w:tc>
          <w:tcPr>
            <w:tcW w:w="8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项</w:t>
            </w:r>
          </w:p>
        </w:tc>
        <w:tc>
          <w:tcPr>
            <w:tcW w:w="1677" w:type="dxa"/>
            <w:vMerge w:val="continue"/>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76" w:type="dxa"/>
            <w:vMerge w:val="continue"/>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8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4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6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609" w:type="dxa"/>
            <w:vMerge w:val="continue"/>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564" w:hRule="atLeast"/>
        </w:trPr>
        <w:tc>
          <w:tcPr>
            <w:tcW w:w="62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16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97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108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94" w:hRule="atLeast"/>
        </w:trPr>
        <w:tc>
          <w:tcPr>
            <w:tcW w:w="62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220</w:t>
            </w:r>
          </w:p>
        </w:tc>
        <w:tc>
          <w:tcPr>
            <w:tcW w:w="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16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自然资源海洋气象等支出</w:t>
            </w:r>
          </w:p>
        </w:tc>
        <w:tc>
          <w:tcPr>
            <w:tcW w:w="97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445.02</w:t>
            </w:r>
          </w:p>
        </w:tc>
        <w:tc>
          <w:tcPr>
            <w:tcW w:w="108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445.02</w:t>
            </w:r>
          </w:p>
        </w:tc>
        <w:tc>
          <w:tcPr>
            <w:tcW w:w="50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nil"/>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01" w:hRule="atLeast"/>
        </w:trPr>
        <w:tc>
          <w:tcPr>
            <w:tcW w:w="62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220</w:t>
            </w:r>
          </w:p>
        </w:tc>
        <w:tc>
          <w:tcPr>
            <w:tcW w:w="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01</w:t>
            </w:r>
          </w:p>
        </w:tc>
        <w:tc>
          <w:tcPr>
            <w:tcW w:w="81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16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自然资源事务</w:t>
            </w:r>
          </w:p>
        </w:tc>
        <w:tc>
          <w:tcPr>
            <w:tcW w:w="97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445.02</w:t>
            </w:r>
          </w:p>
        </w:tc>
        <w:tc>
          <w:tcPr>
            <w:tcW w:w="108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445.02</w:t>
            </w:r>
          </w:p>
        </w:tc>
        <w:tc>
          <w:tcPr>
            <w:tcW w:w="50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nil"/>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33" w:hRule="atLeast"/>
        </w:trPr>
        <w:tc>
          <w:tcPr>
            <w:tcW w:w="62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220</w:t>
            </w:r>
          </w:p>
        </w:tc>
        <w:tc>
          <w:tcPr>
            <w:tcW w:w="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01</w:t>
            </w:r>
          </w:p>
        </w:tc>
        <w:tc>
          <w:tcPr>
            <w:tcW w:w="81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04</w:t>
            </w:r>
          </w:p>
        </w:tc>
        <w:tc>
          <w:tcPr>
            <w:tcW w:w="16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自然资源规划及管理</w:t>
            </w:r>
          </w:p>
        </w:tc>
        <w:tc>
          <w:tcPr>
            <w:tcW w:w="97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405.02</w:t>
            </w:r>
          </w:p>
        </w:tc>
        <w:tc>
          <w:tcPr>
            <w:tcW w:w="108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405.02</w:t>
            </w:r>
          </w:p>
        </w:tc>
        <w:tc>
          <w:tcPr>
            <w:tcW w:w="50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nil"/>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947"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220</w:t>
            </w:r>
          </w:p>
        </w:tc>
        <w:tc>
          <w:tcPr>
            <w:tcW w:w="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01</w:t>
            </w:r>
          </w:p>
        </w:tc>
        <w:tc>
          <w:tcPr>
            <w:tcW w:w="8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99</w:t>
            </w:r>
          </w:p>
        </w:tc>
        <w:tc>
          <w:tcPr>
            <w:tcW w:w="16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其他自然资源事务支出</w:t>
            </w:r>
          </w:p>
        </w:tc>
        <w:tc>
          <w:tcPr>
            <w:tcW w:w="9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40.00</w:t>
            </w:r>
          </w:p>
        </w:tc>
        <w:tc>
          <w:tcPr>
            <w:tcW w:w="108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40.00</w:t>
            </w:r>
          </w:p>
        </w:tc>
        <w:tc>
          <w:tcPr>
            <w:tcW w:w="5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29"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49"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393"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03"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50"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50"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50"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50"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50"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08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5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50" w:hRule="atLeast"/>
        </w:trPr>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7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8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16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仿宋_GB2312" w:eastAsia="仿宋_GB2312"/>
                <w:b/>
                <w:bCs/>
                <w:color w:val="000000"/>
                <w:sz w:val="20"/>
                <w:szCs w:val="20"/>
              </w:rPr>
              <w:t>合  计</w:t>
            </w:r>
          </w:p>
        </w:tc>
        <w:tc>
          <w:tcPr>
            <w:tcW w:w="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cs="宋体"/>
                <w:i w:val="0"/>
                <w:color w:val="auto"/>
                <w:kern w:val="0"/>
                <w:sz w:val="20"/>
                <w:szCs w:val="20"/>
                <w:u w:val="none"/>
                <w:lang w:val="en-US" w:eastAsia="zh-CN" w:bidi="ar"/>
              </w:rPr>
              <w:t>445.02</w:t>
            </w:r>
          </w:p>
        </w:tc>
        <w:tc>
          <w:tcPr>
            <w:tcW w:w="108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i w:val="0"/>
                <w:color w:val="auto"/>
                <w:kern w:val="0"/>
                <w:sz w:val="20"/>
                <w:szCs w:val="20"/>
                <w:u w:val="none"/>
                <w:lang w:val="en-US" w:eastAsia="zh-CN" w:bidi="ar"/>
              </w:rPr>
            </w:pPr>
            <w:r>
              <w:rPr>
                <w:rFonts w:hint="eastAsia" w:ascii="宋体" w:hAnsi="宋体" w:cs="宋体"/>
                <w:i w:val="0"/>
                <w:color w:val="auto"/>
                <w:kern w:val="0"/>
                <w:sz w:val="20"/>
                <w:szCs w:val="20"/>
                <w:u w:val="none"/>
                <w:lang w:val="en-US" w:eastAsia="zh-CN" w:bidi="ar"/>
              </w:rPr>
              <w:t>445.02</w:t>
            </w:r>
          </w:p>
        </w:tc>
        <w:tc>
          <w:tcPr>
            <w:tcW w:w="5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single" w:color="auto" w:sz="4" w:space="0"/>
              <w:left w:val="nil"/>
              <w:bottom w:val="single" w:color="auto" w:sz="4" w:space="0"/>
              <w:right w:val="nil"/>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5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6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克孜勒苏柯尔克孜自治州国土资源规划勘测院</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10"/>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类</w:t>
            </w:r>
          </w:p>
        </w:tc>
        <w:tc>
          <w:tcPr>
            <w:tcW w:w="400"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款</w:t>
            </w:r>
          </w:p>
        </w:tc>
        <w:tc>
          <w:tcPr>
            <w:tcW w:w="400"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r>
      <w:tr>
        <w:tblPrEx>
          <w:tblLayout w:type="fixed"/>
          <w:tblCellMar>
            <w:top w:w="0" w:type="dxa"/>
            <w:left w:w="108" w:type="dxa"/>
            <w:bottom w:w="0" w:type="dxa"/>
            <w:right w:w="108" w:type="dxa"/>
          </w:tblCellMar>
        </w:tblPrEx>
        <w:trPr>
          <w:trHeight w:val="634"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220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eastAsia="仿宋_GB2312"/>
                <w:color w:val="000000"/>
                <w:sz w:val="20"/>
                <w:szCs w:val="20"/>
                <w:lang w:eastAsia="zh-CN"/>
              </w:rPr>
              <w:t>自然资源海洋气象等支出</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405.02</w:t>
            </w:r>
            <w:r>
              <w:rPr>
                <w:rFonts w:hint="eastAsia" w:ascii="仿宋_GB2312" w:eastAsia="仿宋_GB2312"/>
                <w:color w:val="000000"/>
                <w:sz w:val="20"/>
                <w:szCs w:val="20"/>
                <w:lang w:eastAsia="zh-CN"/>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405.02</w:t>
            </w:r>
            <w:r>
              <w:rPr>
                <w:rFonts w:hint="eastAsia" w:ascii="仿宋_GB2312" w:eastAsia="仿宋_GB2312"/>
                <w:color w:val="000000"/>
                <w:sz w:val="20"/>
                <w:szCs w:val="20"/>
                <w:lang w:eastAsia="zh-CN"/>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220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r>
              <w:rPr>
                <w:rFonts w:hint="eastAsia" w:ascii="仿宋_GB2312" w:eastAsia="仿宋_GB2312"/>
                <w:color w:val="000000"/>
                <w:sz w:val="20"/>
                <w:szCs w:val="20"/>
                <w:lang w:eastAsia="zh-CN"/>
              </w:rPr>
              <w:t>自然资源事务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405.02</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405.02</w:t>
            </w:r>
            <w:r>
              <w:rPr>
                <w:rFonts w:hint="eastAsia" w:ascii="仿宋_GB2312" w:eastAsia="仿宋_GB2312"/>
                <w:color w:val="000000"/>
                <w:sz w:val="20"/>
                <w:szCs w:val="20"/>
                <w:lang w:eastAsia="zh-CN"/>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220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04</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自然资源规划及管理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405.02</w:t>
            </w:r>
            <w:r>
              <w:rPr>
                <w:rFonts w:hint="eastAsia" w:ascii="仿宋_GB2312" w:eastAsia="仿宋_GB2312"/>
                <w:color w:val="000000"/>
                <w:sz w:val="20"/>
                <w:szCs w:val="20"/>
                <w:lang w:eastAsia="zh-CN"/>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405.02</w:t>
            </w:r>
            <w:r>
              <w:rPr>
                <w:rFonts w:hint="eastAsia" w:ascii="仿宋_GB2312" w:eastAsia="仿宋_GB2312"/>
                <w:color w:val="000000"/>
                <w:sz w:val="20"/>
                <w:szCs w:val="20"/>
                <w:lang w:eastAsia="zh-CN"/>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220</w:t>
            </w:r>
            <w:r>
              <w:rPr>
                <w:rFonts w:hint="eastAsia" w:ascii="仿宋_GB2312" w:eastAsia="仿宋_GB2312"/>
                <w:color w:val="000000"/>
                <w:sz w:val="20"/>
                <w:szCs w:val="20"/>
                <w:lang w:eastAsia="zh-CN"/>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lang w:eastAsia="zh-CN"/>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lang w:eastAsia="zh-CN"/>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其他自然资源事务支出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40.00</w:t>
            </w:r>
            <w:r>
              <w:rPr>
                <w:rFonts w:hint="eastAsia" w:ascii="仿宋_GB2312" w:eastAsia="仿宋_GB2312"/>
                <w:color w:val="000000"/>
                <w:sz w:val="20"/>
                <w:szCs w:val="20"/>
                <w:lang w:eastAsia="zh-CN"/>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eastAsia="zh-CN"/>
              </w:rPr>
              <w:t>　</w:t>
            </w:r>
            <w:r>
              <w:rPr>
                <w:rFonts w:hint="eastAsia" w:ascii="仿宋_GB2312" w:eastAsia="仿宋_GB2312"/>
                <w:color w:val="000000"/>
                <w:sz w:val="20"/>
                <w:szCs w:val="20"/>
                <w:lang w:val="en-US" w:eastAsia="zh-CN"/>
              </w:rPr>
              <w:t>40.00</w:t>
            </w: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40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合计</w:t>
            </w:r>
          </w:p>
        </w:tc>
        <w:tc>
          <w:tcPr>
            <w:tcW w:w="18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445.02</w:t>
            </w: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405.02</w:t>
            </w: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40.00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克孜勒苏柯尔克孜自治州国土资源规划勘测院</w:t>
      </w:r>
      <w:r>
        <w:rPr>
          <w:rFonts w:hint="eastAsia" w:ascii="仿宋_GB2312" w:hAnsi="宋体" w:eastAsia="仿宋_GB2312"/>
          <w:kern w:val="0"/>
          <w:sz w:val="24"/>
          <w:lang w:val="en-US" w:eastAsia="zh-CN"/>
        </w:rPr>
        <w:t xml:space="preserve">     </w:t>
      </w:r>
      <w:r>
        <w:rPr>
          <w:rFonts w:hint="eastAsia" w:ascii="仿宋_GB2312" w:hAnsi="宋体" w:eastAsia="仿宋_GB2312"/>
          <w:kern w:val="0"/>
          <w:szCs w:val="21"/>
        </w:rPr>
        <w:t>单位：万元</w:t>
      </w:r>
    </w:p>
    <w:tbl>
      <w:tblPr>
        <w:tblStyle w:val="10"/>
        <w:tblW w:w="9341" w:type="dxa"/>
        <w:tblInd w:w="-240" w:type="dxa"/>
        <w:tblLayout w:type="fixed"/>
        <w:tblCellMar>
          <w:top w:w="0" w:type="dxa"/>
          <w:left w:w="108" w:type="dxa"/>
          <w:bottom w:w="0" w:type="dxa"/>
          <w:right w:w="108" w:type="dxa"/>
        </w:tblCellMar>
      </w:tblPr>
      <w:tblGrid>
        <w:gridCol w:w="1591"/>
        <w:gridCol w:w="881"/>
        <w:gridCol w:w="2238"/>
        <w:gridCol w:w="1230"/>
        <w:gridCol w:w="1106"/>
        <w:gridCol w:w="1149"/>
        <w:gridCol w:w="1"/>
        <w:gridCol w:w="1144"/>
        <w:gridCol w:w="1"/>
      </w:tblGrid>
      <w:tr>
        <w:tblPrEx>
          <w:tblLayout w:type="fixed"/>
          <w:tblCellMar>
            <w:top w:w="0" w:type="dxa"/>
            <w:left w:w="108" w:type="dxa"/>
            <w:bottom w:w="0" w:type="dxa"/>
            <w:right w:w="108" w:type="dxa"/>
          </w:tblCellMar>
        </w:tblPrEx>
        <w:trPr>
          <w:gridAfter w:val="1"/>
          <w:wAfter w:w="1" w:type="dxa"/>
          <w:trHeight w:val="285" w:hRule="atLeast"/>
        </w:trPr>
        <w:tc>
          <w:tcPr>
            <w:tcW w:w="247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723" w:type="dxa"/>
            <w:gridSpan w:val="4"/>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45" w:type="dxa"/>
            <w:gridSpan w:val="2"/>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hint="eastAsia" w:ascii="仿宋_GB2312" w:hAnsi="宋体" w:eastAsia="仿宋_GB2312" w:cs="宋体"/>
                <w:b/>
                <w:bCs/>
                <w:kern w:val="0"/>
                <w:sz w:val="24"/>
              </w:rPr>
            </w:pPr>
          </w:p>
        </w:tc>
      </w:tr>
      <w:tr>
        <w:tblPrEx>
          <w:tblLayout w:type="fixed"/>
          <w:tblCellMar>
            <w:top w:w="0" w:type="dxa"/>
            <w:left w:w="108" w:type="dxa"/>
            <w:bottom w:w="0" w:type="dxa"/>
            <w:right w:w="108" w:type="dxa"/>
          </w:tblCellMar>
        </w:tblPrEx>
        <w:trPr>
          <w:trHeight w:val="465" w:hRule="atLeast"/>
        </w:trPr>
        <w:tc>
          <w:tcPr>
            <w:tcW w:w="15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8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2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1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lang w:eastAsia="zh-CN"/>
              </w:rPr>
              <w:t>国有资本经营预算</w:t>
            </w: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88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445.02</w:t>
            </w: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88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445.02</w:t>
            </w: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88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国有资本经营预算算</w:t>
            </w: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445.02</w:t>
            </w: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445.02</w:t>
            </w: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8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5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收入总  计</w:t>
            </w:r>
          </w:p>
        </w:tc>
        <w:tc>
          <w:tcPr>
            <w:tcW w:w="88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445.02</w:t>
            </w:r>
            <w:r>
              <w:rPr>
                <w:rFonts w:hint="eastAsia" w:ascii="仿宋_GB2312" w:hAnsi="宋体" w:eastAsia="仿宋_GB2312" w:cs="宋体"/>
                <w:color w:val="000000"/>
                <w:kern w:val="0"/>
                <w:sz w:val="22"/>
                <w:szCs w:val="22"/>
              </w:rPr>
              <w:t>　</w:t>
            </w:r>
          </w:p>
        </w:tc>
        <w:tc>
          <w:tcPr>
            <w:tcW w:w="223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lang w:val="en-US" w:eastAsia="zh-CN"/>
              </w:rPr>
              <w:t>445.02</w:t>
            </w:r>
            <w:r>
              <w:rPr>
                <w:rFonts w:hint="eastAsia" w:ascii="宋体" w:hAnsi="宋体" w:cs="宋体"/>
                <w:color w:val="000000"/>
                <w:kern w:val="0"/>
                <w:sz w:val="22"/>
                <w:szCs w:val="22"/>
              </w:rPr>
              <w:t>　</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lang w:val="en-US" w:eastAsia="zh-CN"/>
              </w:rPr>
              <w:t>445.02</w:t>
            </w:r>
            <w:r>
              <w:rPr>
                <w:rFonts w:hint="eastAsia" w:ascii="宋体" w:hAnsi="宋体" w:cs="宋体"/>
                <w:color w:val="000000"/>
                <w:kern w:val="0"/>
                <w:sz w:val="22"/>
                <w:szCs w:val="22"/>
              </w:rPr>
              <w:t>　</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930"/>
        <w:gridCol w:w="24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407" w:type="dxa"/>
            <w:gridSpan w:val="4"/>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11"/>
                <w:szCs w:val="11"/>
                <w:lang w:eastAsia="zh-CN"/>
              </w:rPr>
              <w:t>克孜勒苏柯尔克孜自治州国土资源规划勘测院</w:t>
            </w:r>
          </w:p>
        </w:tc>
        <w:tc>
          <w:tcPr>
            <w:tcW w:w="24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440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80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93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26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93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6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492"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41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293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1264"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商品和服务支出</w:t>
            </w: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405.02　</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405.02</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375"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自然资源规划及管理</w:t>
            </w: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405.02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405.02</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365"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04</w:t>
            </w: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自然资源规划及管理</w:t>
            </w: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405.02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405.02</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325"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99</w:t>
            </w: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其他自然资源事务支出</w:t>
            </w: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40.00</w:t>
            </w:r>
          </w:p>
        </w:tc>
      </w:tr>
      <w:tr>
        <w:tblPrEx>
          <w:tblLayout w:type="fixed"/>
          <w:tblCellMar>
            <w:top w:w="0" w:type="dxa"/>
            <w:left w:w="108" w:type="dxa"/>
            <w:bottom w:w="0" w:type="dxa"/>
            <w:right w:w="108" w:type="dxa"/>
          </w:tblCellMar>
        </w:tblPrEx>
        <w:trPr>
          <w:trHeight w:val="35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319"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394"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319"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375"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34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375"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356"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264"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356"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93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合  计</w:t>
            </w:r>
          </w:p>
        </w:tc>
        <w:tc>
          <w:tcPr>
            <w:tcW w:w="1264"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445.02</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405.02</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40.00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11"/>
                <w:szCs w:val="11"/>
                <w:lang w:eastAsia="zh-CN"/>
              </w:rPr>
              <w:t>编制部门（单位）</w:t>
            </w:r>
            <w:r>
              <w:rPr>
                <w:rFonts w:hint="eastAsia" w:ascii="仿宋_GB2312" w:hAnsi="宋体" w:eastAsia="仿宋_GB2312" w:cs="宋体"/>
                <w:color w:val="000000"/>
                <w:kern w:val="0"/>
                <w:sz w:val="24"/>
              </w:rPr>
              <w:t>：</w:t>
            </w:r>
            <w:r>
              <w:rPr>
                <w:rFonts w:hint="eastAsia" w:ascii="仿宋_GB2312" w:hAnsi="宋体" w:eastAsia="仿宋_GB2312" w:cs="宋体"/>
                <w:color w:val="000000"/>
                <w:kern w:val="0"/>
                <w:sz w:val="11"/>
                <w:szCs w:val="11"/>
                <w:lang w:eastAsia="zh-CN"/>
              </w:rPr>
              <w:t>克孜勒苏柯尔克孜自治州国土资源规划勘测院</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121.68</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121.68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149.51</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149.51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757" w:type="dxa"/>
            <w:tcBorders>
              <w:top w:val="nil"/>
              <w:left w:val="single" w:color="auto" w:sz="4" w:space="0"/>
              <w:bottom w:val="single" w:color="auto" w:sz="4" w:space="0"/>
              <w:right w:val="single" w:color="auto" w:sz="4" w:space="0"/>
            </w:tcBorders>
            <w:vAlign w:val="center"/>
          </w:tcPr>
          <w:p>
            <w:pPr>
              <w:widowControl/>
              <w:ind w:firstLine="200" w:firstLineChars="100"/>
              <w:jc w:val="lef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10.14</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10.14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33" w:hRule="atLeast"/>
        </w:trPr>
        <w:tc>
          <w:tcPr>
            <w:tcW w:w="757" w:type="dxa"/>
            <w:tcBorders>
              <w:top w:val="nil"/>
              <w:left w:val="single" w:color="auto" w:sz="4" w:space="0"/>
              <w:bottom w:val="single" w:color="auto" w:sz="4" w:space="0"/>
              <w:right w:val="single" w:color="auto" w:sz="4" w:space="0"/>
            </w:tcBorders>
            <w:vAlign w:val="center"/>
          </w:tcPr>
          <w:p>
            <w:pPr>
              <w:widowControl/>
              <w:ind w:firstLine="200" w:firstLineChars="100"/>
              <w:jc w:val="lef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39.76</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39.76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24.11</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24.11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43"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28.60</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28.60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2.08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2.08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印刷费</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0 </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邮电费</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4.00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15.68</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15.68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0.63</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lang w:val="en-US" w:eastAsia="zh-CN"/>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lang w:val="en-US" w:eastAsia="zh-CN"/>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405.02</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390.12</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14.91</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11"/>
                <w:szCs w:val="11"/>
                <w:lang w:eastAsia="zh-CN"/>
              </w:rPr>
              <w:t>编制部门（单位）：克孜勒苏柯尔克孜自治州国土资源规划勘测院</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类</w:t>
            </w:r>
          </w:p>
        </w:tc>
        <w:tc>
          <w:tcPr>
            <w:tcW w:w="397" w:type="dxa"/>
            <w:tcBorders>
              <w:bottom w:val="single" w:color="auto" w:sz="4" w:space="0"/>
            </w:tcBorders>
            <w:noWrap/>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款</w:t>
            </w:r>
          </w:p>
        </w:tc>
        <w:tc>
          <w:tcPr>
            <w:tcW w:w="397" w:type="dxa"/>
            <w:tcBorders>
              <w:bottom w:val="single" w:color="auto" w:sz="4" w:space="0"/>
            </w:tcBorders>
            <w:noWrap/>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项</w:t>
            </w:r>
          </w:p>
        </w:tc>
        <w:tc>
          <w:tcPr>
            <w:tcW w:w="851" w:type="dxa"/>
            <w:vMerge w:val="continue"/>
            <w:tcBorders>
              <w:bottom w:val="single" w:color="auto" w:sz="4" w:space="0"/>
            </w:tcBorders>
            <w:vAlign w:val="center"/>
          </w:tcPr>
          <w:p>
            <w:pPr>
              <w:widowControl/>
              <w:jc w:val="left"/>
              <w:rPr>
                <w:rFonts w:hint="eastAsia" w:ascii="宋体" w:hAnsi="宋体" w:cs="宋体"/>
                <w:color w:val="000000"/>
                <w:kern w:val="0"/>
                <w:sz w:val="20"/>
                <w:szCs w:val="20"/>
              </w:rPr>
            </w:pPr>
          </w:p>
        </w:tc>
        <w:tc>
          <w:tcPr>
            <w:tcW w:w="1456" w:type="dxa"/>
            <w:vMerge w:val="continue"/>
            <w:tcBorders>
              <w:bottom w:val="single" w:color="auto" w:sz="4" w:space="0"/>
            </w:tcBorders>
          </w:tcPr>
          <w:p>
            <w:pPr>
              <w:widowControl/>
              <w:jc w:val="left"/>
              <w:rPr>
                <w:rFonts w:hint="eastAsia" w:ascii="宋体" w:hAnsi="宋体" w:cs="宋体"/>
                <w:color w:val="000000"/>
                <w:kern w:val="0"/>
                <w:sz w:val="20"/>
                <w:szCs w:val="20"/>
              </w:rPr>
            </w:pPr>
          </w:p>
        </w:tc>
        <w:tc>
          <w:tcPr>
            <w:tcW w:w="750" w:type="dxa"/>
            <w:vMerge w:val="continue"/>
            <w:tcBorders>
              <w:bottom w:val="single" w:color="auto" w:sz="4" w:space="0"/>
            </w:tcBorders>
          </w:tcPr>
          <w:p>
            <w:pPr>
              <w:widowControl/>
              <w:jc w:val="left"/>
              <w:rPr>
                <w:rFonts w:hint="eastAsia" w:ascii="宋体" w:hAnsi="宋体" w:cs="宋体"/>
                <w:color w:val="000000"/>
                <w:kern w:val="0"/>
                <w:sz w:val="20"/>
                <w:szCs w:val="20"/>
              </w:rPr>
            </w:pPr>
          </w:p>
        </w:tc>
        <w:tc>
          <w:tcPr>
            <w:tcW w:w="569" w:type="dxa"/>
            <w:gridSpan w:val="2"/>
            <w:vMerge w:val="continue"/>
            <w:tcBorders>
              <w:bottom w:val="single" w:color="auto" w:sz="4" w:space="0"/>
            </w:tcBorders>
          </w:tcPr>
          <w:p>
            <w:pPr>
              <w:widowControl/>
              <w:jc w:val="left"/>
              <w:rPr>
                <w:rFonts w:hint="eastAsia" w:ascii="宋体" w:hAnsi="宋体" w:cs="宋体"/>
                <w:color w:val="000000"/>
                <w:kern w:val="0"/>
                <w:sz w:val="20"/>
                <w:szCs w:val="20"/>
              </w:rPr>
            </w:pPr>
          </w:p>
        </w:tc>
        <w:tc>
          <w:tcPr>
            <w:tcW w:w="536" w:type="dxa"/>
            <w:vMerge w:val="continue"/>
            <w:tcBorders>
              <w:bottom w:val="single" w:color="auto" w:sz="4" w:space="0"/>
            </w:tcBorders>
          </w:tcPr>
          <w:p>
            <w:pPr>
              <w:widowControl/>
              <w:jc w:val="left"/>
              <w:rPr>
                <w:rFonts w:hint="eastAsia" w:ascii="宋体" w:hAnsi="宋体" w:cs="宋体"/>
                <w:color w:val="000000"/>
                <w:kern w:val="0"/>
                <w:sz w:val="20"/>
                <w:szCs w:val="20"/>
              </w:rPr>
            </w:pPr>
          </w:p>
        </w:tc>
        <w:tc>
          <w:tcPr>
            <w:tcW w:w="652" w:type="dxa"/>
            <w:vMerge w:val="continue"/>
            <w:tcBorders>
              <w:bottom w:val="single" w:color="auto" w:sz="4" w:space="0"/>
            </w:tcBorders>
          </w:tcPr>
          <w:p>
            <w:pPr>
              <w:widowControl/>
              <w:jc w:val="left"/>
              <w:rPr>
                <w:rFonts w:hint="eastAsia" w:ascii="宋体" w:hAnsi="宋体" w:cs="宋体"/>
                <w:color w:val="000000"/>
                <w:kern w:val="0"/>
                <w:sz w:val="20"/>
                <w:szCs w:val="20"/>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220</w:t>
            </w:r>
          </w:p>
        </w:tc>
        <w:tc>
          <w:tcPr>
            <w:tcW w:w="397" w:type="dxa"/>
          </w:tcPr>
          <w:p>
            <w:pPr>
              <w:widowControl/>
              <w:jc w:val="left"/>
              <w:rPr>
                <w:rFonts w:hint="eastAsia" w:ascii="宋体" w:hAnsi="宋体" w:cs="宋体"/>
                <w:color w:val="000000"/>
                <w:kern w:val="0"/>
                <w:sz w:val="20"/>
                <w:szCs w:val="20"/>
              </w:rPr>
            </w:pPr>
          </w:p>
        </w:tc>
        <w:tc>
          <w:tcPr>
            <w:tcW w:w="397" w:type="dxa"/>
          </w:tcPr>
          <w:p>
            <w:pPr>
              <w:widowControl/>
              <w:jc w:val="left"/>
              <w:rPr>
                <w:rFonts w:hint="eastAsia" w:ascii="宋体" w:hAnsi="宋体" w:cs="宋体"/>
                <w:color w:val="000000"/>
                <w:kern w:val="0"/>
                <w:sz w:val="20"/>
                <w:szCs w:val="20"/>
              </w:rPr>
            </w:pPr>
          </w:p>
        </w:tc>
        <w:tc>
          <w:tcPr>
            <w:tcW w:w="851" w:type="dxa"/>
          </w:tcPr>
          <w:p>
            <w:pPr>
              <w:widowControl/>
              <w:jc w:val="left"/>
              <w:rPr>
                <w:rFonts w:hint="eastAsia" w:ascii="宋体" w:hAnsi="宋体" w:cs="宋体"/>
                <w:color w:val="000000"/>
                <w:kern w:val="0"/>
                <w:sz w:val="20"/>
                <w:szCs w:val="20"/>
                <w:lang w:eastAsia="zh-CN"/>
              </w:rPr>
            </w:pPr>
            <w:r>
              <w:rPr>
                <w:rFonts w:hint="eastAsia" w:ascii="仿宋_GB2312" w:eastAsia="仿宋_GB2312"/>
                <w:color w:val="000000"/>
                <w:sz w:val="20"/>
                <w:szCs w:val="20"/>
                <w:lang w:eastAsia="zh-CN"/>
              </w:rPr>
              <w:t>自然资源海洋气象等支出</w:t>
            </w:r>
          </w:p>
        </w:tc>
        <w:tc>
          <w:tcPr>
            <w:tcW w:w="1456" w:type="dxa"/>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p>
        </w:tc>
        <w:tc>
          <w:tcPr>
            <w:tcW w:w="750" w:type="dxa"/>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40.00</w:t>
            </w:r>
          </w:p>
        </w:tc>
        <w:tc>
          <w:tcPr>
            <w:tcW w:w="569" w:type="dxa"/>
            <w:gridSpan w:val="2"/>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40.00</w:t>
            </w:r>
          </w:p>
        </w:tc>
        <w:tc>
          <w:tcPr>
            <w:tcW w:w="652" w:type="dxa"/>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220　</w:t>
            </w:r>
          </w:p>
        </w:tc>
        <w:tc>
          <w:tcPr>
            <w:tcW w:w="397" w:type="dxa"/>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01　</w:t>
            </w:r>
          </w:p>
        </w:tc>
        <w:tc>
          <w:tcPr>
            <w:tcW w:w="397" w:type="dxa"/>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851" w:type="dxa"/>
          </w:tcPr>
          <w:p>
            <w:pPr>
              <w:widowControl/>
              <w:jc w:val="lef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自然资源事务</w:t>
            </w:r>
          </w:p>
        </w:tc>
        <w:tc>
          <w:tcPr>
            <w:tcW w:w="1456" w:type="dxa"/>
          </w:tcPr>
          <w:p>
            <w:pPr>
              <w:widowControl/>
              <w:jc w:val="left"/>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　　</w:t>
            </w:r>
          </w:p>
        </w:tc>
        <w:tc>
          <w:tcPr>
            <w:tcW w:w="750" w:type="dxa"/>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40.00</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40.00　</w:t>
            </w:r>
          </w:p>
        </w:tc>
        <w:tc>
          <w:tcPr>
            <w:tcW w:w="652" w:type="dxa"/>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rPr>
                <w:rFonts w:ascii="仿宋_GB2312" w:hAnsi="宋体" w:eastAsia="仿宋_GB2312"/>
                <w:kern w:val="0"/>
                <w:sz w:val="32"/>
                <w:szCs w:val="32"/>
              </w:rPr>
            </w:pPr>
            <w:r>
              <w:rPr>
                <w:rFonts w:hint="eastAsia" w:ascii="宋体" w:hAnsi="宋体" w:cs="宋体"/>
                <w:color w:val="000000"/>
                <w:kern w:val="0"/>
                <w:sz w:val="20"/>
                <w:szCs w:val="20"/>
                <w:lang w:val="en-US" w:eastAsia="zh-CN"/>
              </w:rPr>
              <w:t>220</w:t>
            </w:r>
            <w:r>
              <w:rPr>
                <w:rFonts w:hint="eastAsia" w:ascii="宋体" w:hAnsi="宋体" w:cs="宋体"/>
                <w:color w:val="000000"/>
                <w:kern w:val="0"/>
                <w:sz w:val="20"/>
                <w:szCs w:val="20"/>
              </w:rPr>
              <w:t>　</w:t>
            </w:r>
          </w:p>
        </w:tc>
        <w:tc>
          <w:tcPr>
            <w:tcW w:w="397" w:type="dxa"/>
            <w:vAlign w:val="top"/>
          </w:tcPr>
          <w:p>
            <w:pPr>
              <w:widowControl/>
              <w:jc w:val="left"/>
              <w:rPr>
                <w:rFonts w:ascii="仿宋_GB2312" w:hAnsi="宋体" w:eastAsia="仿宋_GB2312"/>
                <w:kern w:val="0"/>
                <w:sz w:val="32"/>
                <w:szCs w:val="32"/>
              </w:rPr>
            </w:pPr>
            <w:r>
              <w:rPr>
                <w:rFonts w:hint="eastAsia" w:ascii="宋体" w:hAnsi="宋体" w:cs="宋体"/>
                <w:color w:val="000000"/>
                <w:kern w:val="0"/>
                <w:sz w:val="20"/>
                <w:szCs w:val="20"/>
                <w:lang w:val="en-US" w:eastAsia="zh-CN"/>
              </w:rPr>
              <w:t>01</w:t>
            </w:r>
            <w:r>
              <w:rPr>
                <w:rFonts w:hint="eastAsia" w:ascii="宋体" w:hAnsi="宋体" w:cs="宋体"/>
                <w:color w:val="000000"/>
                <w:kern w:val="0"/>
                <w:sz w:val="20"/>
                <w:szCs w:val="20"/>
              </w:rPr>
              <w:t>　</w:t>
            </w:r>
          </w:p>
        </w:tc>
        <w:tc>
          <w:tcPr>
            <w:tcW w:w="397" w:type="dxa"/>
            <w:vAlign w:val="top"/>
          </w:tcPr>
          <w:p>
            <w:pPr>
              <w:widowControl/>
              <w:jc w:val="left"/>
              <w:rPr>
                <w:rFonts w:ascii="仿宋_GB2312" w:hAnsi="宋体" w:eastAsia="仿宋_GB2312"/>
                <w:kern w:val="0"/>
                <w:sz w:val="32"/>
                <w:szCs w:val="32"/>
              </w:rPr>
            </w:pPr>
            <w:r>
              <w:rPr>
                <w:rFonts w:hint="eastAsia" w:ascii="宋体" w:hAnsi="宋体" w:cs="宋体"/>
                <w:color w:val="000000"/>
                <w:kern w:val="0"/>
                <w:sz w:val="20"/>
                <w:szCs w:val="20"/>
                <w:lang w:val="en-US" w:eastAsia="zh-CN"/>
              </w:rPr>
              <w:t>99</w:t>
            </w:r>
            <w:r>
              <w:rPr>
                <w:rFonts w:hint="eastAsia" w:ascii="宋体" w:hAnsi="宋体" w:cs="宋体"/>
                <w:color w:val="000000"/>
                <w:kern w:val="0"/>
                <w:sz w:val="20"/>
                <w:szCs w:val="20"/>
              </w:rPr>
              <w:t>　</w:t>
            </w:r>
          </w:p>
        </w:tc>
        <w:tc>
          <w:tcPr>
            <w:tcW w:w="851" w:type="dxa"/>
            <w:vAlign w:val="top"/>
          </w:tcPr>
          <w:p>
            <w:pPr>
              <w:widowControl/>
              <w:jc w:val="left"/>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其他自然资源事务支出</w:t>
            </w:r>
          </w:p>
        </w:tc>
        <w:tc>
          <w:tcPr>
            <w:tcW w:w="1456" w:type="dxa"/>
          </w:tcPr>
          <w:p>
            <w:pPr>
              <w:widowControl/>
              <w:jc w:val="left"/>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国土规划工作经费</w:t>
            </w:r>
          </w:p>
        </w:tc>
        <w:tc>
          <w:tcPr>
            <w:tcW w:w="750" w:type="dxa"/>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40.00</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40.00　</w:t>
            </w:r>
          </w:p>
        </w:tc>
        <w:tc>
          <w:tcPr>
            <w:tcW w:w="652" w:type="dxa"/>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tcPr>
          <w:p>
            <w:pPr>
              <w:widowControl/>
              <w:jc w:val="left"/>
              <w:outlineLvl w:val="1"/>
              <w:rPr>
                <w:rFonts w:hint="eastAsia" w:ascii="仿宋_GB2312" w:hAnsi="宋体" w:eastAsia="仿宋_GB2312"/>
                <w:kern w:val="0"/>
                <w:sz w:val="32"/>
                <w:szCs w:val="32"/>
                <w:lang w:eastAsia="zh-CN"/>
              </w:rPr>
            </w:pPr>
          </w:p>
        </w:tc>
        <w:tc>
          <w:tcPr>
            <w:tcW w:w="750" w:type="dxa"/>
          </w:tcPr>
          <w:p>
            <w:pPr>
              <w:widowControl/>
              <w:jc w:val="left"/>
              <w:outlineLvl w:val="1"/>
              <w:rPr>
                <w:rFonts w:hint="eastAsia" w:ascii="仿宋_GB2312" w:hAnsi="宋体" w:eastAsia="仿宋_GB2312"/>
                <w:kern w:val="0"/>
                <w:sz w:val="32"/>
                <w:szCs w:val="32"/>
                <w:lang w:val="en-US" w:eastAsia="zh-CN"/>
              </w:rPr>
            </w:pPr>
          </w:p>
        </w:tc>
        <w:tc>
          <w:tcPr>
            <w:tcW w:w="569" w:type="dxa"/>
            <w:gridSpan w:val="2"/>
          </w:tcPr>
          <w:p>
            <w:pPr>
              <w:widowControl/>
              <w:jc w:val="left"/>
              <w:outlineLvl w:val="1"/>
              <w:rPr>
                <w:rFonts w:hint="eastAsia" w:ascii="仿宋_GB2312" w:hAnsi="宋体" w:eastAsia="仿宋_GB2312"/>
                <w:kern w:val="0"/>
                <w:sz w:val="32"/>
                <w:szCs w:val="32"/>
              </w:rPr>
            </w:pPr>
          </w:p>
        </w:tc>
        <w:tc>
          <w:tcPr>
            <w:tcW w:w="536"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tcPr>
          <w:p>
            <w:pPr>
              <w:widowControl/>
              <w:jc w:val="left"/>
              <w:outlineLvl w:val="1"/>
              <w:rPr>
                <w:rFonts w:hint="eastAsia" w:ascii="仿宋_GB2312" w:hAnsi="宋体" w:eastAsia="仿宋_GB2312"/>
                <w:kern w:val="0"/>
                <w:sz w:val="32"/>
                <w:szCs w:val="32"/>
                <w:lang w:eastAsia="zh-CN"/>
              </w:rPr>
            </w:pPr>
          </w:p>
        </w:tc>
        <w:tc>
          <w:tcPr>
            <w:tcW w:w="750" w:type="dxa"/>
          </w:tcPr>
          <w:p>
            <w:pPr>
              <w:widowControl/>
              <w:jc w:val="left"/>
              <w:outlineLvl w:val="1"/>
              <w:rPr>
                <w:rFonts w:hint="eastAsia" w:ascii="仿宋_GB2312" w:hAnsi="宋体" w:eastAsia="仿宋_GB2312"/>
                <w:kern w:val="0"/>
                <w:sz w:val="32"/>
                <w:szCs w:val="32"/>
                <w:lang w:val="en-US" w:eastAsia="zh-CN"/>
              </w:rPr>
            </w:pPr>
          </w:p>
        </w:tc>
        <w:tc>
          <w:tcPr>
            <w:tcW w:w="569" w:type="dxa"/>
            <w:gridSpan w:val="2"/>
          </w:tcPr>
          <w:p>
            <w:pPr>
              <w:widowControl/>
              <w:jc w:val="left"/>
              <w:outlineLvl w:val="1"/>
              <w:rPr>
                <w:rFonts w:hint="eastAsia" w:ascii="仿宋_GB2312" w:hAnsi="宋体" w:eastAsia="仿宋_GB2312"/>
                <w:kern w:val="0"/>
                <w:sz w:val="32"/>
                <w:szCs w:val="32"/>
              </w:rPr>
            </w:pPr>
          </w:p>
        </w:tc>
        <w:tc>
          <w:tcPr>
            <w:tcW w:w="536"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tcPr>
          <w:p>
            <w:pPr>
              <w:widowControl/>
              <w:jc w:val="left"/>
              <w:outlineLvl w:val="1"/>
              <w:rPr>
                <w:rFonts w:hint="eastAsia" w:ascii="仿宋_GB2312" w:hAnsi="宋体" w:eastAsia="仿宋_GB2312"/>
                <w:kern w:val="0"/>
                <w:sz w:val="32"/>
                <w:szCs w:val="32"/>
                <w:lang w:eastAsia="zh-CN"/>
              </w:rPr>
            </w:pPr>
          </w:p>
        </w:tc>
        <w:tc>
          <w:tcPr>
            <w:tcW w:w="750" w:type="dxa"/>
          </w:tcPr>
          <w:p>
            <w:pPr>
              <w:widowControl/>
              <w:jc w:val="left"/>
              <w:outlineLvl w:val="1"/>
              <w:rPr>
                <w:rFonts w:hint="eastAsia" w:ascii="仿宋_GB2312" w:hAnsi="宋体" w:eastAsia="仿宋_GB2312"/>
                <w:kern w:val="0"/>
                <w:sz w:val="32"/>
                <w:szCs w:val="32"/>
                <w:lang w:val="en-US" w:eastAsia="zh-CN"/>
              </w:rPr>
            </w:pPr>
          </w:p>
        </w:tc>
        <w:tc>
          <w:tcPr>
            <w:tcW w:w="569" w:type="dxa"/>
            <w:gridSpan w:val="2"/>
          </w:tcPr>
          <w:p>
            <w:pPr>
              <w:widowControl/>
              <w:jc w:val="left"/>
              <w:outlineLvl w:val="1"/>
              <w:rPr>
                <w:rFonts w:hint="eastAsia" w:ascii="仿宋_GB2312" w:hAnsi="宋体" w:eastAsia="仿宋_GB2312"/>
                <w:kern w:val="0"/>
                <w:sz w:val="32"/>
                <w:szCs w:val="32"/>
              </w:rPr>
            </w:pPr>
          </w:p>
        </w:tc>
        <w:tc>
          <w:tcPr>
            <w:tcW w:w="536"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tcPr>
          <w:p>
            <w:pPr>
              <w:widowControl/>
              <w:jc w:val="left"/>
              <w:outlineLvl w:val="1"/>
              <w:rPr>
                <w:rFonts w:hint="eastAsia" w:ascii="仿宋_GB2312" w:hAnsi="宋体" w:eastAsia="仿宋_GB2312"/>
                <w:kern w:val="0"/>
                <w:sz w:val="32"/>
                <w:szCs w:val="32"/>
                <w:lang w:eastAsia="zh-CN"/>
              </w:rPr>
            </w:pPr>
          </w:p>
        </w:tc>
        <w:tc>
          <w:tcPr>
            <w:tcW w:w="750" w:type="dxa"/>
          </w:tcPr>
          <w:p>
            <w:pPr>
              <w:widowControl/>
              <w:jc w:val="left"/>
              <w:outlineLvl w:val="1"/>
              <w:rPr>
                <w:rFonts w:hint="eastAsia" w:ascii="仿宋_GB2312" w:hAnsi="宋体" w:eastAsia="仿宋_GB2312"/>
                <w:kern w:val="0"/>
                <w:sz w:val="32"/>
                <w:szCs w:val="32"/>
                <w:lang w:val="en-US" w:eastAsia="zh-CN"/>
              </w:rPr>
            </w:pPr>
          </w:p>
        </w:tc>
        <w:tc>
          <w:tcPr>
            <w:tcW w:w="569" w:type="dxa"/>
            <w:gridSpan w:val="2"/>
          </w:tcPr>
          <w:p>
            <w:pPr>
              <w:widowControl/>
              <w:jc w:val="left"/>
              <w:outlineLvl w:val="1"/>
              <w:rPr>
                <w:rFonts w:hint="eastAsia" w:ascii="仿宋_GB2312" w:hAnsi="宋体" w:eastAsia="仿宋_GB2312"/>
                <w:kern w:val="0"/>
                <w:sz w:val="32"/>
                <w:szCs w:val="32"/>
              </w:rPr>
            </w:pPr>
          </w:p>
        </w:tc>
        <w:tc>
          <w:tcPr>
            <w:tcW w:w="536"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tcPr>
          <w:p>
            <w:pPr>
              <w:widowControl/>
              <w:jc w:val="left"/>
              <w:outlineLvl w:val="1"/>
              <w:rPr>
                <w:rFonts w:hint="eastAsia" w:ascii="仿宋_GB2312" w:hAnsi="宋体" w:eastAsia="仿宋_GB2312"/>
                <w:kern w:val="0"/>
                <w:sz w:val="32"/>
                <w:szCs w:val="32"/>
                <w:lang w:eastAsia="zh-CN"/>
              </w:rPr>
            </w:pPr>
          </w:p>
        </w:tc>
        <w:tc>
          <w:tcPr>
            <w:tcW w:w="750" w:type="dxa"/>
          </w:tcPr>
          <w:p>
            <w:pPr>
              <w:widowControl/>
              <w:jc w:val="left"/>
              <w:outlineLvl w:val="1"/>
              <w:rPr>
                <w:rFonts w:hint="eastAsia" w:ascii="仿宋_GB2312" w:hAnsi="宋体" w:eastAsia="仿宋_GB2312"/>
                <w:kern w:val="0"/>
                <w:sz w:val="32"/>
                <w:szCs w:val="32"/>
                <w:lang w:val="en-US" w:eastAsia="zh-CN"/>
              </w:rPr>
            </w:pPr>
          </w:p>
        </w:tc>
        <w:tc>
          <w:tcPr>
            <w:tcW w:w="569" w:type="dxa"/>
            <w:gridSpan w:val="2"/>
          </w:tcPr>
          <w:p>
            <w:pPr>
              <w:widowControl/>
              <w:jc w:val="left"/>
              <w:outlineLvl w:val="1"/>
              <w:rPr>
                <w:rFonts w:hint="eastAsia" w:ascii="仿宋_GB2312" w:hAnsi="宋体" w:eastAsia="仿宋_GB2312"/>
                <w:kern w:val="0"/>
                <w:sz w:val="32"/>
                <w:szCs w:val="32"/>
              </w:rPr>
            </w:pPr>
          </w:p>
        </w:tc>
        <w:tc>
          <w:tcPr>
            <w:tcW w:w="536"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tcPr>
          <w:p>
            <w:pPr>
              <w:widowControl/>
              <w:jc w:val="left"/>
              <w:outlineLvl w:val="1"/>
              <w:rPr>
                <w:rFonts w:hint="eastAsia" w:ascii="仿宋_GB2312" w:hAnsi="宋体" w:eastAsia="仿宋_GB2312"/>
                <w:kern w:val="0"/>
                <w:sz w:val="32"/>
                <w:szCs w:val="32"/>
                <w:lang w:eastAsia="zh-CN"/>
              </w:rPr>
            </w:pPr>
          </w:p>
        </w:tc>
        <w:tc>
          <w:tcPr>
            <w:tcW w:w="750" w:type="dxa"/>
          </w:tcPr>
          <w:p>
            <w:pPr>
              <w:widowControl/>
              <w:jc w:val="left"/>
              <w:outlineLvl w:val="1"/>
              <w:rPr>
                <w:rFonts w:hint="eastAsia" w:ascii="仿宋_GB2312" w:hAnsi="宋体" w:eastAsia="仿宋_GB2312"/>
                <w:kern w:val="0"/>
                <w:sz w:val="32"/>
                <w:szCs w:val="32"/>
                <w:lang w:val="en-US" w:eastAsia="zh-CN"/>
              </w:rPr>
            </w:pPr>
          </w:p>
        </w:tc>
        <w:tc>
          <w:tcPr>
            <w:tcW w:w="569" w:type="dxa"/>
            <w:gridSpan w:val="2"/>
          </w:tcPr>
          <w:p>
            <w:pPr>
              <w:widowControl/>
              <w:jc w:val="left"/>
              <w:outlineLvl w:val="1"/>
              <w:rPr>
                <w:rFonts w:hint="eastAsia" w:ascii="仿宋_GB2312" w:hAnsi="宋体" w:eastAsia="仿宋_GB2312"/>
                <w:kern w:val="0"/>
                <w:sz w:val="32"/>
                <w:szCs w:val="32"/>
              </w:rPr>
            </w:pPr>
          </w:p>
        </w:tc>
        <w:tc>
          <w:tcPr>
            <w:tcW w:w="536"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tcPr>
          <w:p>
            <w:pPr>
              <w:widowControl/>
              <w:jc w:val="left"/>
              <w:outlineLvl w:val="1"/>
              <w:rPr>
                <w:rFonts w:hint="eastAsia" w:ascii="仿宋_GB2312" w:hAnsi="宋体" w:eastAsia="仿宋_GB2312"/>
                <w:kern w:val="0"/>
                <w:sz w:val="32"/>
                <w:szCs w:val="32"/>
                <w:lang w:eastAsia="zh-CN"/>
              </w:rPr>
            </w:pPr>
          </w:p>
        </w:tc>
        <w:tc>
          <w:tcPr>
            <w:tcW w:w="750" w:type="dxa"/>
          </w:tcPr>
          <w:p>
            <w:pPr>
              <w:widowControl/>
              <w:jc w:val="left"/>
              <w:outlineLvl w:val="1"/>
              <w:rPr>
                <w:rFonts w:hint="eastAsia" w:ascii="仿宋_GB2312" w:hAnsi="宋体" w:eastAsia="仿宋_GB2312"/>
                <w:kern w:val="0"/>
                <w:sz w:val="32"/>
                <w:szCs w:val="32"/>
                <w:lang w:val="en-US" w:eastAsia="zh-CN"/>
              </w:rPr>
            </w:pPr>
          </w:p>
        </w:tc>
        <w:tc>
          <w:tcPr>
            <w:tcW w:w="569" w:type="dxa"/>
            <w:gridSpan w:val="2"/>
          </w:tcPr>
          <w:p>
            <w:pPr>
              <w:widowControl/>
              <w:jc w:val="left"/>
              <w:outlineLvl w:val="1"/>
              <w:rPr>
                <w:rFonts w:hint="eastAsia" w:ascii="仿宋_GB2312" w:hAnsi="宋体" w:eastAsia="仿宋_GB2312"/>
                <w:kern w:val="0"/>
                <w:sz w:val="32"/>
                <w:szCs w:val="32"/>
              </w:rPr>
            </w:pPr>
          </w:p>
        </w:tc>
        <w:tc>
          <w:tcPr>
            <w:tcW w:w="536"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tcPr>
          <w:p>
            <w:pPr>
              <w:widowControl/>
              <w:jc w:val="left"/>
              <w:outlineLvl w:val="1"/>
              <w:rPr>
                <w:rFonts w:hint="eastAsia" w:ascii="仿宋_GB2312" w:hAnsi="宋体" w:eastAsia="仿宋_GB2312"/>
                <w:kern w:val="0"/>
                <w:sz w:val="32"/>
                <w:szCs w:val="32"/>
                <w:lang w:eastAsia="zh-CN"/>
              </w:rPr>
            </w:pPr>
          </w:p>
        </w:tc>
        <w:tc>
          <w:tcPr>
            <w:tcW w:w="750" w:type="dxa"/>
          </w:tcPr>
          <w:p>
            <w:pPr>
              <w:widowControl/>
              <w:jc w:val="left"/>
              <w:outlineLvl w:val="1"/>
              <w:rPr>
                <w:rFonts w:hint="eastAsia" w:ascii="仿宋_GB2312" w:hAnsi="宋体" w:eastAsia="仿宋_GB2312"/>
                <w:kern w:val="0"/>
                <w:sz w:val="32"/>
                <w:szCs w:val="32"/>
                <w:lang w:val="en-US" w:eastAsia="zh-CN"/>
              </w:rPr>
            </w:pPr>
          </w:p>
        </w:tc>
        <w:tc>
          <w:tcPr>
            <w:tcW w:w="569" w:type="dxa"/>
            <w:gridSpan w:val="2"/>
          </w:tcPr>
          <w:p>
            <w:pPr>
              <w:widowControl/>
              <w:jc w:val="left"/>
              <w:outlineLvl w:val="1"/>
              <w:rPr>
                <w:rFonts w:hint="eastAsia" w:ascii="仿宋_GB2312" w:hAnsi="宋体" w:eastAsia="仿宋_GB2312"/>
                <w:kern w:val="0"/>
                <w:sz w:val="32"/>
                <w:szCs w:val="32"/>
              </w:rPr>
            </w:pPr>
          </w:p>
        </w:tc>
        <w:tc>
          <w:tcPr>
            <w:tcW w:w="536"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397" w:type="dxa"/>
            <w:vAlign w:val="top"/>
          </w:tcPr>
          <w:p>
            <w:pPr>
              <w:widowControl/>
              <w:jc w:val="left"/>
              <w:outlineLvl w:val="1"/>
              <w:rPr>
                <w:rFonts w:hint="eastAsia" w:ascii="仿宋_GB2312" w:hAnsi="宋体" w:eastAsia="仿宋_GB2312"/>
                <w:kern w:val="0"/>
                <w:sz w:val="32"/>
                <w:szCs w:val="32"/>
                <w:lang w:val="en-US" w:eastAsia="zh-CN"/>
              </w:rPr>
            </w:pPr>
          </w:p>
        </w:tc>
        <w:tc>
          <w:tcPr>
            <w:tcW w:w="851" w:type="dxa"/>
            <w:vAlign w:val="top"/>
          </w:tcPr>
          <w:p>
            <w:pPr>
              <w:widowControl/>
              <w:jc w:val="left"/>
              <w:outlineLvl w:val="1"/>
              <w:rPr>
                <w:rFonts w:hint="eastAsia" w:ascii="仿宋_GB2312" w:hAnsi="宋体" w:eastAsia="仿宋_GB2312"/>
                <w:kern w:val="0"/>
                <w:sz w:val="32"/>
                <w:szCs w:val="32"/>
                <w:lang w:eastAsia="zh-CN"/>
              </w:rPr>
            </w:pPr>
          </w:p>
        </w:tc>
        <w:tc>
          <w:tcPr>
            <w:tcW w:w="1456" w:type="dxa"/>
            <w:vAlign w:val="top"/>
          </w:tcPr>
          <w:p>
            <w:pPr>
              <w:widowControl/>
              <w:jc w:val="left"/>
              <w:rPr>
                <w:rFonts w:hint="eastAsia" w:ascii="仿宋_GB2312" w:hAnsi="宋体" w:eastAsia="仿宋_GB2312"/>
                <w:kern w:val="0"/>
                <w:sz w:val="32"/>
                <w:szCs w:val="32"/>
                <w:lang w:eastAsia="zh-CN"/>
              </w:rPr>
            </w:pPr>
            <w:r>
              <w:rPr>
                <w:rFonts w:hint="eastAsia" w:ascii="宋体" w:hAnsi="宋体" w:cs="宋体"/>
                <w:color w:val="000000"/>
                <w:kern w:val="0"/>
                <w:sz w:val="20"/>
                <w:szCs w:val="20"/>
                <w:lang w:eastAsia="zh-CN"/>
              </w:rPr>
              <w:t>合计</w:t>
            </w:r>
          </w:p>
        </w:tc>
        <w:tc>
          <w:tcPr>
            <w:tcW w:w="750" w:type="dxa"/>
            <w:vAlign w:val="top"/>
          </w:tcPr>
          <w:p>
            <w:pPr>
              <w:widowControl/>
              <w:jc w:val="left"/>
              <w:rPr>
                <w:rFonts w:hint="eastAsia" w:ascii="仿宋_GB2312" w:hAnsi="宋体" w:eastAsia="仿宋_GB2312"/>
                <w:kern w:val="0"/>
                <w:sz w:val="32"/>
                <w:szCs w:val="32"/>
                <w:lang w:val="en-US" w:eastAsia="zh-CN"/>
              </w:rPr>
            </w:pPr>
            <w:r>
              <w:rPr>
                <w:rFonts w:hint="eastAsia" w:ascii="宋体" w:hAnsi="宋体" w:cs="宋体"/>
                <w:color w:val="000000"/>
                <w:kern w:val="0"/>
                <w:sz w:val="20"/>
                <w:szCs w:val="20"/>
                <w:lang w:val="en-US" w:eastAsia="zh-CN"/>
              </w:rPr>
              <w:t>40.00</w:t>
            </w:r>
          </w:p>
        </w:tc>
        <w:tc>
          <w:tcPr>
            <w:tcW w:w="569" w:type="dxa"/>
            <w:gridSpan w:val="2"/>
            <w:vAlign w:val="top"/>
          </w:tcPr>
          <w:p>
            <w:pPr>
              <w:widowControl/>
              <w:jc w:val="left"/>
              <w:rPr>
                <w:rFonts w:hint="eastAsia" w:ascii="仿宋_GB2312" w:hAnsi="宋体" w:eastAsia="仿宋_GB2312"/>
                <w:kern w:val="0"/>
                <w:sz w:val="32"/>
                <w:szCs w:val="32"/>
              </w:rPr>
            </w:pPr>
          </w:p>
        </w:tc>
        <w:tc>
          <w:tcPr>
            <w:tcW w:w="536" w:type="dxa"/>
            <w:vAlign w:val="top"/>
          </w:tcPr>
          <w:p>
            <w:pPr>
              <w:widowControl/>
              <w:jc w:val="left"/>
              <w:rPr>
                <w:rFonts w:hint="eastAsia" w:ascii="仿宋_GB2312" w:hAnsi="宋体" w:eastAsia="仿宋_GB2312"/>
                <w:kern w:val="0"/>
                <w:sz w:val="32"/>
                <w:szCs w:val="32"/>
                <w:lang w:val="en-US" w:eastAsia="zh-CN"/>
              </w:rPr>
            </w:pPr>
            <w:r>
              <w:rPr>
                <w:rFonts w:hint="eastAsia" w:ascii="宋体" w:hAnsi="宋体" w:cs="宋体"/>
                <w:color w:val="000000"/>
                <w:kern w:val="0"/>
                <w:sz w:val="20"/>
                <w:szCs w:val="20"/>
                <w:lang w:val="en-US" w:eastAsia="zh-CN"/>
              </w:rPr>
              <w:t>40.00</w:t>
            </w:r>
          </w:p>
        </w:tc>
        <w:tc>
          <w:tcPr>
            <w:tcW w:w="652" w:type="dxa"/>
          </w:tcPr>
          <w:p>
            <w:pPr>
              <w:widowControl/>
              <w:jc w:val="left"/>
              <w:outlineLvl w:val="1"/>
              <w:rPr>
                <w:rFonts w:hint="eastAsia" w:ascii="仿宋_GB2312" w:hAnsi="宋体" w:eastAsia="仿宋_GB2312"/>
                <w:kern w:val="0"/>
                <w:sz w:val="32"/>
                <w:szCs w:val="32"/>
                <w:lang w:val="en-US" w:eastAsia="zh-CN"/>
              </w:rPr>
            </w:pPr>
          </w:p>
        </w:tc>
        <w:tc>
          <w:tcPr>
            <w:tcW w:w="652"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克孜勒苏柯尔克孜自治州国土资源规划勘测院</w:t>
      </w:r>
      <w:r>
        <w:rPr>
          <w:rFonts w:hint="eastAsia" w:ascii="仿宋_GB2312" w:hAnsi="宋体" w:eastAsia="仿宋_GB2312"/>
          <w:kern w:val="0"/>
          <w:sz w:val="24"/>
        </w:rPr>
        <w:t>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11.00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10.00</w:t>
            </w:r>
          </w:p>
        </w:tc>
        <w:tc>
          <w:tcPr>
            <w:tcW w:w="171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5.00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4.00</w:t>
            </w:r>
          </w:p>
        </w:tc>
        <w:tc>
          <w:tcPr>
            <w:tcW w:w="171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6.00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6.00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6.00</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克孜勒苏柯尔克孜自治州国土资源规划勘测院</w:t>
      </w:r>
      <w:r>
        <w:rPr>
          <w:rFonts w:hint="eastAsia" w:ascii="仿宋_GB2312" w:hAnsi="宋体" w:eastAsia="仿宋_GB2312"/>
          <w:kern w:val="0"/>
          <w:sz w:val="24"/>
        </w:rPr>
        <w:t>单位：万元</w:t>
      </w: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hint="eastAsia" w:ascii="仿宋_GB2312" w:hAnsi="宋体" w:eastAsia="仿宋_GB2312"/>
          <w:kern w:val="0"/>
          <w:sz w:val="24"/>
          <w:lang w:val="en-US" w:eastAsia="zh-CN"/>
        </w:rPr>
      </w:pPr>
      <w:r>
        <w:rPr>
          <w:rFonts w:hint="eastAsia" w:ascii="仿宋_GB2312" w:hAnsi="宋体" w:eastAsia="仿宋_GB2312"/>
          <w:b/>
          <w:kern w:val="0"/>
          <w:sz w:val="28"/>
          <w:szCs w:val="32"/>
        </w:rPr>
        <w:t>备注：</w:t>
      </w:r>
      <w:r>
        <w:rPr>
          <w:rFonts w:hint="eastAsia" w:ascii="仿宋_GB2312" w:hAnsi="宋体" w:eastAsia="仿宋_GB2312"/>
          <w:kern w:val="0"/>
          <w:sz w:val="24"/>
          <w:lang w:eastAsia="zh-CN"/>
        </w:rPr>
        <w:t>克孜勒苏柯尔克孜自治州国土资源规划勘测院</w:t>
      </w:r>
      <w:r>
        <w:rPr>
          <w:rFonts w:hint="eastAsia" w:ascii="仿宋_GB2312" w:hAnsi="宋体" w:eastAsia="仿宋_GB2312"/>
          <w:kern w:val="0"/>
          <w:sz w:val="24"/>
          <w:lang w:val="en-US" w:eastAsia="zh-CN"/>
        </w:rPr>
        <w:t>2021年无政府性基金预算拨款情况说明支出本表为空表 金额精确到小数点后2位。</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val="en-US" w:eastAsia="zh-CN"/>
        </w:rPr>
        <w:t>克孜勒苏柯尔克孜自治州国土资源规划勘测院预算</w:t>
      </w:r>
      <w:r>
        <w:rPr>
          <w:rFonts w:hint="eastAsia" w:ascii="黑体" w:hAnsi="黑体" w:eastAsia="黑体"/>
          <w:kern w:val="0"/>
          <w:sz w:val="32"/>
          <w:szCs w:val="32"/>
        </w:rPr>
        <w:t>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克孜勒苏柯尔克孜自治州国土资源规划勘测院</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年所有收入和支出均纳入部门（单位）预算管理。收支总预算</w:t>
      </w:r>
      <w:r>
        <w:rPr>
          <w:rFonts w:hint="eastAsia" w:ascii="仿宋_GB2312" w:hAnsi="宋体" w:eastAsia="仿宋_GB2312" w:cs="宋体"/>
          <w:kern w:val="0"/>
          <w:sz w:val="32"/>
          <w:szCs w:val="32"/>
          <w:lang w:val="en-US" w:eastAsia="zh-CN"/>
        </w:rPr>
        <w:t>445.02</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支出预算包括：自然资源海洋气象等支出。</w:t>
      </w:r>
    </w:p>
    <w:p>
      <w:p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克孜勒苏柯尔克孜自治州国土资源规划勘测院</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445.02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445.02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195.23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：根据克孜勒苏柯尔克孜自治州事业单位改革工作领导小组办公室发的克事改办【</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5号文件精神，我单位改为公益性1类事业单位，收费资格已取消</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，财政返还公用经费改为人头经费，所以预算收入比去年减少。</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国有资本经营预算</w:t>
      </w:r>
      <w:r>
        <w:rPr>
          <w:rFonts w:hint="eastAsia" w:ascii="仿宋_GB2312" w:hAnsi="宋体" w:eastAsia="仿宋_GB2312" w:cs="宋体"/>
          <w:kern w:val="0"/>
          <w:sz w:val="32"/>
          <w:szCs w:val="32"/>
        </w:rPr>
        <w:t>未安排</w:t>
      </w:r>
      <w:r>
        <w:rPr>
          <w:rFonts w:hint="eastAsia" w:ascii="仿宋_GB2312" w:hAnsi="宋体" w:eastAsia="仿宋_GB2312" w:cs="宋体"/>
          <w:kern w:val="0"/>
          <w:sz w:val="32"/>
          <w:szCs w:val="32"/>
          <w:lang w:val="en-US"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克孜勒苏柯尔克孜自治州国土资源规划勘测院</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445.02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405.02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91.01</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14.77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2020年3月调正常晋升工资</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40.00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8.99</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305.00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：根据克孜勒苏柯尔克孜自治州事业单位改革工作领导小组办公室发的克事改办【</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5号文件精神，我单位改为公益性1类事业单位，收费资格已取消</w:t>
      </w:r>
      <w:r>
        <w:rPr>
          <w:rFonts w:hint="eastAsia" w:ascii="仿宋_GB2312" w:hAnsi="宋体" w:eastAsia="仿宋_GB2312" w:cs="宋体"/>
          <w:kern w:val="0"/>
          <w:sz w:val="32"/>
          <w:szCs w:val="32"/>
          <w:lang w:eastAsia="zh-CN"/>
        </w:rPr>
        <w:t>，财政返还公用经费改为人头经费，所以预算收入比去年减少。</w:t>
      </w:r>
    </w:p>
    <w:p>
      <w:pPr>
        <w:spacing w:line="560" w:lineRule="exact"/>
        <w:ind w:firstLine="640" w:firstLineChars="200"/>
        <w:rPr>
          <w:rFonts w:hint="eastAsia"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克孜勒苏柯尔克孜自治州国土资源规划勘测院</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445.02</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收入全部为一般公共预算拨款。无政府性基金预算拨款和国有资本经营预算。</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收入预算包括：一般公共预算拨款</w:t>
      </w:r>
      <w:r>
        <w:rPr>
          <w:rFonts w:hint="eastAsia" w:ascii="仿宋_GB2312" w:hAnsi="宋体" w:eastAsia="仿宋_GB2312" w:cs="宋体"/>
          <w:kern w:val="0"/>
          <w:sz w:val="32"/>
          <w:szCs w:val="32"/>
          <w:lang w:val="en-US" w:eastAsia="zh-CN"/>
        </w:rPr>
        <w:t>445.02万元。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一般公共预算支出包括：一般公共服务支出445.02万元，主要用于单位日常公用经费。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克孜勒苏柯尔克孜自治州国土资源规划勘测院</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lang w:val="en-US"/>
        </w:rPr>
      </w:pPr>
      <w:r>
        <w:rPr>
          <w:rFonts w:hint="eastAsia" w:ascii="仿宋_GB2312" w:hAnsi="宋体" w:eastAsia="仿宋_GB2312" w:cs="宋体"/>
          <w:kern w:val="0"/>
          <w:sz w:val="32"/>
          <w:szCs w:val="32"/>
          <w:lang w:val="en-US" w:eastAsia="zh-CN"/>
        </w:rPr>
        <w:t>克孜勒苏柯尔克孜自治州国土资源规划勘测院2021年一般</w:t>
      </w:r>
      <w:r>
        <w:rPr>
          <w:rFonts w:hint="eastAsia" w:ascii="仿宋_GB2312" w:hAnsi="宋体" w:eastAsia="仿宋_GB2312" w:cs="宋体"/>
          <w:kern w:val="0"/>
          <w:sz w:val="32"/>
          <w:szCs w:val="32"/>
        </w:rPr>
        <w:t>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445.02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其中：基本支出</w:t>
      </w:r>
      <w:r>
        <w:rPr>
          <w:rFonts w:hint="eastAsia" w:ascii="仿宋_GB2312" w:hAnsi="宋体" w:eastAsia="仿宋_GB2312" w:cs="宋体"/>
          <w:kern w:val="0"/>
          <w:sz w:val="32"/>
          <w:szCs w:val="32"/>
          <w:lang w:val="en-US" w:eastAsia="zh-CN"/>
        </w:rPr>
        <w:t>405.02万元，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14.77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3.65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2020年3月调正常晋升工资。项目支出40.00万元，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预算减少</w:t>
      </w:r>
      <w:r>
        <w:rPr>
          <w:rFonts w:hint="eastAsia" w:ascii="仿宋_GB2312" w:hAnsi="宋体" w:eastAsia="仿宋_GB2312" w:cs="宋体"/>
          <w:kern w:val="0"/>
          <w:sz w:val="32"/>
          <w:szCs w:val="32"/>
          <w:lang w:val="en-US" w:eastAsia="zh-CN"/>
        </w:rPr>
        <w:t>210.00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84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：根据克孜勒苏柯尔克孜自治州事业单位改革工作领导小组办公室发的克事改办【</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5号文件精神，我单位改为公益性1类事业单位，</w:t>
      </w:r>
      <w:r>
        <w:rPr>
          <w:rFonts w:hint="eastAsia" w:ascii="仿宋_GB2312" w:hAnsi="宋体" w:eastAsia="仿宋_GB2312" w:cs="宋体"/>
          <w:kern w:val="0"/>
          <w:sz w:val="32"/>
          <w:szCs w:val="32"/>
          <w:lang w:eastAsia="zh-CN"/>
        </w:rPr>
        <w:t>所以项目支出比去年减少。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960" w:firstLineChars="300"/>
        <w:rPr>
          <w:rFonts w:ascii="仿宋_GB2312" w:hAnsi="宋体" w:eastAsia="仿宋_GB2312" w:cs="宋体"/>
          <w:kern w:val="0"/>
          <w:sz w:val="32"/>
          <w:szCs w:val="32"/>
        </w:rPr>
      </w:pPr>
      <w:r>
        <w:rPr>
          <w:rFonts w:hint="eastAsia" w:ascii="仿宋_GB2312" w:eastAsia="仿宋_GB2312"/>
          <w:sz w:val="32"/>
          <w:szCs w:val="32"/>
        </w:rPr>
        <w:t>一般公共服务（</w:t>
      </w:r>
      <w:r>
        <w:rPr>
          <w:rFonts w:hint="eastAsia" w:ascii="仿宋_GB2312" w:eastAsia="仿宋_GB2312"/>
          <w:sz w:val="32"/>
          <w:szCs w:val="32"/>
          <w:lang w:val="en-US" w:eastAsia="zh-CN"/>
        </w:rPr>
        <w:t>220</w:t>
      </w:r>
      <w:r>
        <w:rPr>
          <w:rFonts w:hint="eastAsia" w:ascii="仿宋_GB2312" w:eastAsia="仿宋_GB2312"/>
          <w:sz w:val="32"/>
          <w:szCs w:val="32"/>
        </w:rPr>
        <w:t>）</w:t>
      </w:r>
      <w:r>
        <w:rPr>
          <w:rFonts w:hint="eastAsia" w:ascii="仿宋_GB2312" w:eastAsia="仿宋_GB2312"/>
          <w:sz w:val="32"/>
          <w:szCs w:val="32"/>
          <w:lang w:val="en-US" w:eastAsia="zh-CN"/>
        </w:rPr>
        <w:t>445.02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960" w:firstLineChars="300"/>
        <w:rPr>
          <w:rFonts w:hint="eastAsia" w:ascii="仿宋_GB2312" w:hAnsi="宋体" w:eastAsia="仿宋_GB2312" w:cs="宋体"/>
          <w:kern w:val="0"/>
          <w:sz w:val="32"/>
          <w:szCs w:val="32"/>
          <w:lang w:val="en-US" w:eastAsia="zh-CN"/>
        </w:rPr>
      </w:pPr>
      <w:r>
        <w:rPr>
          <w:rFonts w:hint="eastAsia" w:ascii="仿宋_GB2312" w:hAnsi="宋体" w:eastAsia="仿宋_GB2312" w:cs="宋体"/>
          <w:color w:val="auto"/>
          <w:kern w:val="0"/>
          <w:sz w:val="32"/>
          <w:szCs w:val="32"/>
          <w:lang w:val="en-US" w:eastAsia="zh-CN"/>
        </w:rPr>
        <w:t>1.</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220</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商品和服务支出</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01</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基本支出</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04</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自然资源规划及管理</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2021</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405.02</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预算增加</w:t>
      </w:r>
      <w:r>
        <w:rPr>
          <w:rFonts w:hint="eastAsia" w:ascii="仿宋_GB2312" w:hAnsi="宋体" w:eastAsia="仿宋_GB2312" w:cs="宋体"/>
          <w:color w:val="auto"/>
          <w:kern w:val="0"/>
          <w:sz w:val="32"/>
          <w:szCs w:val="32"/>
          <w:lang w:val="en-US" w:eastAsia="zh-CN"/>
        </w:rPr>
        <w:t>14.77</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增长</w:t>
      </w:r>
      <w:r>
        <w:rPr>
          <w:rFonts w:hint="eastAsia" w:ascii="仿宋_GB2312" w:hAnsi="宋体" w:eastAsia="仿宋_GB2312" w:cs="宋体"/>
          <w:color w:val="auto"/>
          <w:kern w:val="0"/>
          <w:sz w:val="32"/>
          <w:szCs w:val="32"/>
          <w:lang w:val="en-US" w:eastAsia="zh-CN"/>
        </w:rPr>
        <w:t>3.65</w:t>
      </w:r>
      <w:r>
        <w:rPr>
          <w:rFonts w:hint="eastAsia" w:ascii="仿宋_GB2312" w:hAnsi="宋体" w:eastAsia="仿宋_GB2312" w:cs="宋体"/>
          <w:color w:val="auto"/>
          <w:kern w:val="0"/>
          <w:sz w:val="32"/>
          <w:szCs w:val="32"/>
        </w:rPr>
        <w:t>%。主要原因是：</w:t>
      </w:r>
      <w:r>
        <w:rPr>
          <w:rFonts w:hint="eastAsia" w:ascii="仿宋_GB2312" w:hAnsi="宋体" w:eastAsia="仿宋_GB2312" w:cs="宋体"/>
          <w:kern w:val="0"/>
          <w:sz w:val="32"/>
          <w:szCs w:val="32"/>
          <w:lang w:val="en-US" w:eastAsia="zh-CN"/>
        </w:rPr>
        <w:t>2020年3月调正常晋升工资。</w:t>
      </w:r>
    </w:p>
    <w:p>
      <w:pPr>
        <w:spacing w:line="560" w:lineRule="exact"/>
        <w:ind w:firstLine="960" w:firstLineChars="300"/>
        <w:rPr>
          <w:rFonts w:hint="eastAsia" w:ascii="仿宋_GB2312" w:hAnsi="宋体" w:eastAsia="仿宋_GB2312" w:cs="宋体"/>
          <w:color w:val="auto"/>
          <w:kern w:val="0"/>
          <w:sz w:val="32"/>
          <w:szCs w:val="32"/>
          <w:lang w:eastAsia="zh-CN"/>
        </w:rPr>
      </w:pPr>
      <w:bookmarkStart w:id="1" w:name="_GoBack"/>
      <w:bookmarkEnd w:id="1"/>
      <w:r>
        <w:rPr>
          <w:rFonts w:hint="eastAsia" w:ascii="仿宋_GB2312" w:hAnsi="宋体" w:eastAsia="仿宋_GB2312" w:cs="宋体"/>
          <w:color w:val="auto"/>
          <w:kern w:val="0"/>
          <w:sz w:val="32"/>
          <w:szCs w:val="32"/>
          <w:lang w:val="en-US" w:eastAsia="zh-CN"/>
        </w:rPr>
        <w:t>2.</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220</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商品和服务支出</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01</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基本支出</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99</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其他自然资源事务支出：</w:t>
      </w:r>
      <w:r>
        <w:rPr>
          <w:rFonts w:hint="eastAsia" w:ascii="仿宋_GB2312" w:hAnsi="宋体" w:eastAsia="仿宋_GB2312" w:cs="宋体"/>
          <w:color w:val="auto"/>
          <w:kern w:val="0"/>
          <w:sz w:val="32"/>
          <w:szCs w:val="32"/>
          <w:lang w:val="en-US" w:eastAsia="zh-CN"/>
        </w:rPr>
        <w:t>2021</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40.00</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预算减少</w:t>
      </w:r>
      <w:r>
        <w:rPr>
          <w:rFonts w:hint="eastAsia" w:ascii="仿宋_GB2312" w:hAnsi="宋体" w:eastAsia="仿宋_GB2312" w:cs="宋体"/>
          <w:color w:val="auto"/>
          <w:kern w:val="0"/>
          <w:sz w:val="32"/>
          <w:szCs w:val="32"/>
          <w:lang w:val="en-US" w:eastAsia="zh-CN"/>
        </w:rPr>
        <w:t>210.00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84.00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根据克孜勒苏柯尔克孜自治州事业单位改革工作领导小组办公室发的克事改办【</w:t>
      </w:r>
      <w:r>
        <w:rPr>
          <w:rFonts w:hint="eastAsia" w:ascii="仿宋_GB2312" w:hAnsi="宋体" w:eastAsia="仿宋_GB2312" w:cs="宋体"/>
          <w:color w:val="auto"/>
          <w:kern w:val="0"/>
          <w:sz w:val="32"/>
          <w:szCs w:val="32"/>
          <w:lang w:val="en-US" w:eastAsia="zh-CN"/>
        </w:rPr>
        <w:t>2020</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5号文件精神，我单位改为公益性1类事业单位，收费资格已取消</w:t>
      </w:r>
      <w:r>
        <w:rPr>
          <w:rFonts w:hint="eastAsia" w:ascii="仿宋_GB2312" w:hAnsi="宋体" w:eastAsia="仿宋_GB2312" w:cs="宋体"/>
          <w:color w:val="auto"/>
          <w:kern w:val="0"/>
          <w:sz w:val="32"/>
          <w:szCs w:val="32"/>
          <w:lang w:eastAsia="zh-CN"/>
        </w:rPr>
        <w:t>，财政返还公用经费改为人头经费，所以预算收入比去年减少。</w:t>
      </w:r>
    </w:p>
    <w:p>
      <w:pPr>
        <w:spacing w:line="560" w:lineRule="exact"/>
        <w:ind w:firstLine="960" w:firstLineChars="300"/>
        <w:rPr>
          <w:rFonts w:hint="eastAsia" w:ascii="仿宋_GB2312" w:hAnsi="宋体" w:eastAsia="仿宋_GB2312" w:cs="宋体"/>
          <w:color w:val="auto"/>
          <w:kern w:val="0"/>
          <w:sz w:val="32"/>
          <w:szCs w:val="32"/>
          <w:lang w:val="en-US"/>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w:t>
      </w:r>
      <w:r>
        <w:rPr>
          <w:rFonts w:hint="eastAsia" w:ascii="黑体" w:hAnsi="宋体" w:eastAsia="黑体" w:cs="宋体"/>
          <w:kern w:val="0"/>
          <w:sz w:val="32"/>
          <w:szCs w:val="32"/>
          <w:lang w:eastAsia="zh-CN"/>
        </w:rPr>
        <w:t>克孜勒苏柯尔克孜自治州国土资源规划勘测院</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405.02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390.12</w:t>
      </w:r>
      <w:r>
        <w:rPr>
          <w:rFonts w:hint="eastAsia" w:ascii="仿宋_GB2312" w:hAnsi="宋体" w:eastAsia="仿宋_GB2312" w:cs="宋体"/>
          <w:kern w:val="0"/>
          <w:sz w:val="32"/>
          <w:szCs w:val="32"/>
        </w:rPr>
        <w:t>万元，主要包括：基本工资、津贴补贴、奖金、机关事业单位基本养老保险缴费、其他社会保障缴费、住房公积金、退休费、奖励金等。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14.91</w:t>
      </w:r>
      <w:r>
        <w:rPr>
          <w:rFonts w:hint="eastAsia" w:ascii="仿宋_GB2312" w:hAnsi="宋体" w:eastAsia="仿宋_GB2312" w:cs="宋体"/>
          <w:kern w:val="0"/>
          <w:sz w:val="32"/>
          <w:szCs w:val="32"/>
        </w:rPr>
        <w:t>万元，主要包括：办公费、印刷费、邮电费、差旅费、公务接待费、工会经费、福利费、公务用车运行维护费等。</w:t>
      </w:r>
    </w:p>
    <w:p>
      <w:pPr>
        <w:numPr>
          <w:ilvl w:val="0"/>
          <w:numId w:val="1"/>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克孜勒苏柯尔克孜自治州国土资源规划勘测院</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numPr>
          <w:ilvl w:val="0"/>
          <w:numId w:val="0"/>
        </w:numPr>
        <w:spacing w:line="560" w:lineRule="exact"/>
        <w:rPr>
          <w:rFonts w:hint="eastAsia" w:ascii="黑体" w:hAnsi="宋体" w:eastAsia="黑体" w:cs="宋体"/>
          <w:color w:val="auto"/>
          <w:kern w:val="0"/>
          <w:sz w:val="32"/>
          <w:szCs w:val="32"/>
          <w:lang w:val="en-US" w:eastAsia="zh-CN"/>
        </w:rPr>
      </w:pPr>
      <w:r>
        <w:rPr>
          <w:rFonts w:hint="eastAsia" w:ascii="黑体" w:hAnsi="宋体" w:eastAsia="黑体" w:cs="宋体"/>
          <w:kern w:val="0"/>
          <w:sz w:val="32"/>
          <w:szCs w:val="32"/>
          <w:lang w:val="en-US" w:eastAsia="zh-CN"/>
        </w:rPr>
        <w:t xml:space="preserve">    </w:t>
      </w:r>
      <w:r>
        <w:rPr>
          <w:rFonts w:hint="eastAsia" w:ascii="仿宋_GB2312" w:hAnsi="黑体" w:eastAsia="仿宋_GB2312"/>
          <w:b/>
          <w:bCs/>
          <w:color w:val="auto"/>
          <w:sz w:val="32"/>
          <w:szCs w:val="32"/>
          <w:lang w:val="en-US" w:eastAsia="zh-CN"/>
        </w:rPr>
        <w:t>情况一</w:t>
      </w:r>
      <w:r>
        <w:rPr>
          <w:rFonts w:hint="eastAsia" w:ascii="仿宋_GB2312" w:hAnsi="黑体" w:eastAsia="仿宋_GB2312"/>
          <w:color w:val="auto"/>
          <w:sz w:val="32"/>
          <w:szCs w:val="32"/>
          <w:lang w:val="en-US" w:eastAsia="zh-CN"/>
        </w:rPr>
        <w:t>：（项目支出，专项业务费按下列内容说明）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商品和服务支出</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用于解决和开展国土资源规划业务费用。</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40.00</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克孜勒苏柯尔克孜自治州国土资源规划勘测院</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商品和服务支出</w:t>
      </w:r>
      <w:r>
        <w:rPr>
          <w:rFonts w:hint="eastAsia" w:ascii="仿宋_GB2312" w:hAnsi="宋体" w:eastAsia="仿宋_GB2312" w:cs="宋体"/>
          <w:kern w:val="0"/>
          <w:sz w:val="32"/>
          <w:szCs w:val="32"/>
          <w:lang w:val="en-US" w:eastAsia="zh-CN"/>
        </w:rPr>
        <w:t>40.00万元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3" w:firstLineChars="200"/>
        <w:rPr>
          <w:rFonts w:hint="eastAsia" w:ascii="仿宋_GB2312" w:hAnsi="黑体" w:eastAsia="仿宋_GB2312"/>
          <w:sz w:val="32"/>
          <w:szCs w:val="32"/>
          <w:lang w:val="en-US" w:eastAsia="zh-CN"/>
        </w:rPr>
      </w:pPr>
      <w:r>
        <w:rPr>
          <w:rFonts w:hint="eastAsia" w:ascii="仿宋_GB2312" w:hAnsi="黑体" w:eastAsia="仿宋_GB2312"/>
          <w:b/>
          <w:bCs/>
          <w:sz w:val="32"/>
          <w:szCs w:val="32"/>
          <w:lang w:val="en-US" w:eastAsia="zh-CN"/>
        </w:rPr>
        <w:t>情况二</w:t>
      </w:r>
      <w:r>
        <w:rPr>
          <w:rFonts w:hint="eastAsia" w:ascii="仿宋_GB2312" w:hAnsi="黑体" w:eastAsia="仿宋_GB2312"/>
          <w:sz w:val="32"/>
          <w:szCs w:val="32"/>
          <w:lang w:val="en-US" w:eastAsia="zh-CN"/>
        </w:rPr>
        <w:t>：（属于对个人补贴的项目支出按下列内容说明）</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lang w:eastAsia="zh-CN"/>
        </w:rPr>
        <w:t>：</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资金来源：</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补贴人数：</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补贴标准</w:t>
      </w:r>
      <w:r>
        <w:rPr>
          <w:rFonts w:hint="eastAsia" w:ascii="仿宋_GB2312" w:hAnsi="黑体" w:eastAsia="仿宋_GB2312"/>
          <w:sz w:val="32"/>
          <w:szCs w:val="32"/>
          <w:lang w:val="en-US" w:eastAsia="zh-CN"/>
        </w:rPr>
        <w:t>:</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补贴范围：</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补贴方式：</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发放程序：</w:t>
      </w:r>
      <w:r>
        <w:rPr>
          <w:rFonts w:hint="eastAsia" w:ascii="Arial" w:hAnsi="Arial" w:eastAsia="仿宋_GB2312" w:cs="Arial"/>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受益人群和社会效益：</w:t>
      </w:r>
      <w:r>
        <w:rPr>
          <w:rFonts w:hint="eastAsia" w:ascii="Arial" w:hAnsi="Arial" w:eastAsia="仿宋_GB2312" w:cs="Arial"/>
          <w:sz w:val="32"/>
          <w:szCs w:val="32"/>
          <w:lang w:val="en-US" w:eastAsia="zh-CN"/>
        </w:rPr>
        <w:t>无</w:t>
      </w:r>
    </w:p>
    <w:p>
      <w:p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克孜勒苏柯尔克孜自治州国土资源规划勘测院</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11.00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10.00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未安排预算</w:t>
      </w:r>
      <w:r>
        <w:rPr>
          <w:rFonts w:hint="eastAsia" w:ascii="仿宋_GB2312" w:hAnsi="宋体" w:eastAsia="仿宋_GB2312" w:cs="宋体"/>
          <w:kern w:val="0"/>
          <w:sz w:val="32"/>
          <w:szCs w:val="32"/>
        </w:rPr>
        <w:t>；公务用车购置费为0，未安排预算；公务用车运行费增加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因我单位公务用车老化，维修费及油料费增多</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严格控制三公经费</w:t>
      </w:r>
      <w:r>
        <w:rPr>
          <w:rFonts w:hint="eastAsia" w:ascii="仿宋_GB2312" w:hAnsi="宋体" w:eastAsia="仿宋_GB2312" w:cs="宋体"/>
          <w:kern w:val="0"/>
          <w:sz w:val="32"/>
          <w:szCs w:val="32"/>
        </w:rPr>
        <w:t>。</w:t>
      </w:r>
    </w:p>
    <w:p>
      <w:pPr>
        <w:numPr>
          <w:ilvl w:val="0"/>
          <w:numId w:val="0"/>
        </w:numPr>
        <w:spacing w:line="560" w:lineRule="exact"/>
        <w:ind w:leftChars="200"/>
        <w:rPr>
          <w:rFonts w:hint="eastAsia" w:ascii="楷体_GB2312" w:hAnsi="宋体" w:eastAsia="楷体_GB2312" w:cs="宋体"/>
          <w:b/>
          <w:kern w:val="0"/>
          <w:sz w:val="32"/>
          <w:szCs w:val="32"/>
          <w:lang w:val="en-US" w:eastAsia="zh-CN"/>
        </w:rPr>
      </w:pPr>
      <w:r>
        <w:rPr>
          <w:rFonts w:hint="eastAsia" w:ascii="黑体" w:hAnsi="宋体" w:eastAsia="黑体" w:cs="宋体"/>
          <w:kern w:val="0"/>
          <w:sz w:val="32"/>
          <w:szCs w:val="32"/>
          <w:lang w:eastAsia="zh-CN"/>
        </w:rPr>
        <w:t>九</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克孜勒苏柯尔克孜自治州国土资源规划勘测院</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r>
        <w:rPr>
          <w:rFonts w:hint="eastAsia" w:ascii="黑体" w:hAnsi="宋体" w:eastAsia="黑体" w:cs="宋体"/>
          <w:kern w:val="0"/>
          <w:sz w:val="32"/>
          <w:szCs w:val="32"/>
          <w:lang w:val="en-US" w:eastAsia="zh-CN"/>
        </w:rPr>
        <w:t xml:space="preserve"> </w:t>
      </w:r>
      <w:r>
        <w:rPr>
          <w:rFonts w:hint="eastAsia" w:ascii="楷体_GB2312" w:hAnsi="宋体" w:eastAsia="楷体_GB2312" w:cs="宋体"/>
          <w:b/>
          <w:kern w:val="0"/>
          <w:sz w:val="32"/>
          <w:szCs w:val="32"/>
          <w:lang w:val="en-US" w:eastAsia="zh-CN"/>
        </w:rPr>
        <w:t xml:space="preserve">  </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克孜勒苏柯尔克孜自治州国土资源规划勘测院2021年没有使用政府性基金预算拨款安排的支出，政府性基金预算支出请况表为空表。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31.00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21.00</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年度本部门（单位）面向中小企业预留政府采购项目预算金额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rPr>
        <w:t>及下属各预算单位占用使用国有资产总体情况为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58.31</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58.31</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32.67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276.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rPr>
        <w:t>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40.00</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ascii="仿宋_GB2312" w:hAnsi="宋体" w:eastAsia="仿宋_GB2312" w:cs="宋体"/>
          <w:kern w:val="0"/>
          <w:sz w:val="32"/>
          <w:szCs w:val="32"/>
        </w:rPr>
      </w:pPr>
    </w:p>
    <w:tbl>
      <w:tblPr>
        <w:tblStyle w:val="10"/>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仿宋_GB2312" w:hAnsi="宋体" w:eastAsia="仿宋_GB2312"/>
                <w:kern w:val="0"/>
                <w:sz w:val="24"/>
                <w:lang w:eastAsia="zh-CN"/>
              </w:rPr>
              <w:t>克孜勒苏柯尔克孜自治州国土资源规划勘测院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商品和服务支出</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40.00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40.00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该项目资金用于国土规划工作经费，通过该项目实施，更好地保障三县一市项目用地保障，确保全州三县一市招商引资扶贫项目用地保障。</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国土规划修编数量（个）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解决农村乱占耕地建房（个）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tbl>
            <w:tblPr>
              <w:tblStyle w:val="10"/>
              <w:tblW w:w="43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3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4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1329"/>
                      <w:tab w:val="center" w:pos="2235"/>
                    </w:tabs>
                    <w:jc w:val="left"/>
                    <w:textAlignment w:val="center"/>
                    <w:rPr>
                      <w:rFonts w:ascii="宋体" w:hAnsi="宋体" w:eastAsia="宋体" w:cs="宋体"/>
                      <w:i w:val="0"/>
                      <w:color w:val="000000"/>
                      <w:sz w:val="20"/>
                      <w:szCs w:val="20"/>
                      <w:u w:val="none"/>
                    </w:rPr>
                  </w:pPr>
                  <w:r>
                    <w:rPr>
                      <w:rStyle w:val="23"/>
                      <w:rFonts w:hint="eastAsia"/>
                      <w:lang w:val="en-US" w:eastAsia="zh-CN" w:bidi="ar"/>
                    </w:rPr>
                    <w:tab/>
                  </w:r>
                  <w:r>
                    <w:rPr>
                      <w:rStyle w:val="23"/>
                      <w:rFonts w:hint="eastAsia"/>
                      <w:lang w:val="en-US" w:eastAsia="zh-CN" w:bidi="ar"/>
                    </w:rPr>
                    <w:t>≥90%</w:t>
                  </w:r>
                  <w:r>
                    <w:rPr>
                      <w:rStyle w:val="23"/>
                      <w:rFonts w:hint="eastAsia"/>
                      <w:lang w:val="en-US" w:eastAsia="zh-CN" w:bidi="ar"/>
                    </w:rPr>
                    <w:tab/>
                  </w:r>
                </w:p>
              </w:tc>
            </w:tr>
          </w:tbl>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2021-12-1</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保障三县一市项目用地保障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提升公共服务水平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有效提升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克孜勒苏柯尔克孜自治州国土资源规划勘测院无其他需说明的事项。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hAnsi="宋体" w:eastAsia="仿宋_GB2312" w:cs="宋体"/>
          <w:kern w:val="0"/>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160" w:hanging="4160" w:hangingChars="1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克孜勒苏柯尔克孜自治州国土资源规划勘测院</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bookmarkStart w:id="0" w:name="RANGE!A1:P11"/>
      <w:bookmarkEnd w:id="0"/>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- 33 -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E64578"/>
    <w:multiLevelType w:val="singleLevel"/>
    <w:tmpl w:val="C9E64578"/>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F23808"/>
    <w:rsid w:val="00F54FE8"/>
    <w:rsid w:val="00F830A1"/>
    <w:rsid w:val="00F83503"/>
    <w:rsid w:val="00F90952"/>
    <w:rsid w:val="042033F6"/>
    <w:rsid w:val="05A22150"/>
    <w:rsid w:val="06171103"/>
    <w:rsid w:val="062224DF"/>
    <w:rsid w:val="08245898"/>
    <w:rsid w:val="0CA35CED"/>
    <w:rsid w:val="0DC66F99"/>
    <w:rsid w:val="0FFD0448"/>
    <w:rsid w:val="12C268A1"/>
    <w:rsid w:val="131F0C7C"/>
    <w:rsid w:val="147D4BE8"/>
    <w:rsid w:val="195738F2"/>
    <w:rsid w:val="1A465E3D"/>
    <w:rsid w:val="1A7A14E4"/>
    <w:rsid w:val="1ADB67D3"/>
    <w:rsid w:val="1C0C6D0E"/>
    <w:rsid w:val="20F230CA"/>
    <w:rsid w:val="225E3539"/>
    <w:rsid w:val="253B0A3E"/>
    <w:rsid w:val="28B51E3F"/>
    <w:rsid w:val="2C7A4CF2"/>
    <w:rsid w:val="2D6036DC"/>
    <w:rsid w:val="2FEC4C7E"/>
    <w:rsid w:val="316F0713"/>
    <w:rsid w:val="37461434"/>
    <w:rsid w:val="416A2520"/>
    <w:rsid w:val="46F5234A"/>
    <w:rsid w:val="471254BC"/>
    <w:rsid w:val="47F20144"/>
    <w:rsid w:val="4D486957"/>
    <w:rsid w:val="4EE514F8"/>
    <w:rsid w:val="51587A4F"/>
    <w:rsid w:val="52BD026D"/>
    <w:rsid w:val="5B9B661A"/>
    <w:rsid w:val="5BAA371F"/>
    <w:rsid w:val="5C3404F8"/>
    <w:rsid w:val="5D47050B"/>
    <w:rsid w:val="5DBE58A4"/>
    <w:rsid w:val="5F1A0703"/>
    <w:rsid w:val="649C05B3"/>
    <w:rsid w:val="66BA4997"/>
    <w:rsid w:val="675143A0"/>
    <w:rsid w:val="6BA11FBD"/>
    <w:rsid w:val="6BCC0AFD"/>
    <w:rsid w:val="77C571EB"/>
    <w:rsid w:val="7CE17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7"/>
    <w:link w:val="4"/>
    <w:qFormat/>
    <w:uiPriority w:val="0"/>
    <w:rPr>
      <w:sz w:val="18"/>
      <w:szCs w:val="18"/>
    </w:rPr>
  </w:style>
  <w:style w:type="character" w:customStyle="1" w:styleId="13">
    <w:name w:val="页脚 字符"/>
    <w:basedOn w:val="7"/>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 w:type="character" w:customStyle="1" w:styleId="23">
    <w:name w:val="font11"/>
    <w:basedOn w:val="7"/>
    <w:qFormat/>
    <w:uiPriority w:val="0"/>
    <w:rPr>
      <w:rFonts w:ascii="宋体" w:hAnsi="宋体" w:eastAsia="宋体" w:cs="宋体"/>
      <w:color w:val="000000"/>
      <w:sz w:val="20"/>
      <w:szCs w:val="20"/>
      <w:u w:val="none"/>
    </w:rPr>
  </w:style>
  <w:style w:type="character" w:customStyle="1" w:styleId="24">
    <w:name w:val="font0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1</TotalTime>
  <ScaleCrop>false</ScaleCrop>
  <LinksUpToDate>false</LinksUpToDate>
  <CharactersWithSpaces>16055</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dcterms:modified xsi:type="dcterms:W3CDTF">2021-03-02T04:17:21Z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