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kern w:val="0"/>
          <w:sz w:val="44"/>
          <w:szCs w:val="44"/>
          <w:lang w:eastAsia="zh-CN"/>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新疆帕米尔高原湿地自然保护区管理站</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lang w:eastAsia="zh-CN"/>
        </w:rPr>
        <w:t>新疆帕米尔高原湿地自然保护区管理站</w:t>
      </w:r>
      <w:r>
        <w:rPr>
          <w:rFonts w:hint="eastAsia" w:ascii="仿宋_GB2312" w:hAnsi="宋体" w:eastAsia="仿宋_GB2312"/>
          <w:b/>
          <w:kern w:val="0"/>
          <w:sz w:val="32"/>
          <w:szCs w:val="32"/>
        </w:rPr>
        <w:t>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hint="eastAsia" w:ascii="仿宋_GB2312" w:hAnsi="宋体" w:eastAsia="仿宋_GB2312"/>
          <w:b/>
          <w:kern w:val="0"/>
          <w:sz w:val="32"/>
          <w:szCs w:val="32"/>
          <w:lang w:val="en-US" w:eastAsia="zh-CN"/>
        </w:rPr>
        <w:t xml:space="preserve"> </w:t>
      </w:r>
      <w:r>
        <w:rPr>
          <w:rFonts w:hint="default" w:ascii="仿宋_GB2312" w:hAnsi="宋体" w:eastAsia="仿宋_GB2312"/>
          <w:b/>
          <w:kern w:val="0"/>
          <w:sz w:val="32"/>
          <w:szCs w:val="32"/>
          <w:lang w:val="en-US"/>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新疆帕米尔高原湿地自然保护区管理站</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hint="default" w:ascii="仿宋_GB2312" w:hAnsi="宋体" w:eastAsia="仿宋_GB2312"/>
          <w:b/>
          <w:kern w:val="0"/>
          <w:sz w:val="32"/>
          <w:szCs w:val="32"/>
          <w:lang w:val="en-US"/>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val="en-US" w:eastAsia="zh-CN"/>
        </w:rPr>
        <w:t>新疆帕米尔高原湿地自然保护区管理站</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新疆帕米尔高原湿地自然保护区管理站</w:t>
      </w:r>
      <w:r>
        <w:rPr>
          <w:rFonts w:hint="default" w:ascii="仿宋_GB2312" w:hAnsi="宋体" w:eastAsia="仿宋_GB2312"/>
          <w:kern w:val="0"/>
          <w:sz w:val="32"/>
          <w:szCs w:val="32"/>
          <w:lang w:val="en-US"/>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hint="eastAsia" w:ascii="黑体" w:hAnsi="黑体" w:eastAsia="黑体"/>
          <w:kern w:val="0"/>
          <w:sz w:val="32"/>
          <w:szCs w:val="32"/>
          <w:lang w:eastAsia="zh-CN"/>
        </w:rPr>
        <w:t>新疆帕米尔高原湿地自然保护区管理站</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仿宋_GB2312" w:eastAsia="仿宋_GB2312" w:cs="宋体"/>
          <w:bCs/>
          <w:kern w:val="0"/>
          <w:sz w:val="32"/>
          <w:szCs w:val="32"/>
        </w:rPr>
        <w:t>新疆帕米尔高原湿地自然保护区管理站职能为</w:t>
      </w:r>
      <w:r>
        <w:rPr>
          <w:rFonts w:hint="eastAsia" w:ascii="仿宋_GB2312" w:hAnsi="仿宋_GB2312" w:eastAsia="仿宋_GB2312"/>
          <w:kern w:val="0"/>
          <w:sz w:val="32"/>
          <w:szCs w:val="32"/>
        </w:rPr>
        <w:t>加强湿地自然保护区的保护和管理，改善生态环境，防治河流干涸及湖滨荒漠沙化，根据《中华人民共和国环境保护法》、《中华人民共和国自然保护区条例》、《新疆维吾尔自治区自然保护区管理条例》及有关法律、法规结合帕米尔高原湿地实际制定自然保护区管理办法；组织协调有关部门开展科学研究和科普教育工作；组织调查自然资源并建立档案、组织自然保护区环境监测，定期提出环境与资源变化与发展趋势报告，保护自然保护区自然环境和自然资源；负责保护区内水资源、净化水质、蓄洪防旱、调节气候和维护生物多样性；在保护区境内和周边设立管理站，负责保护区的社会治安秩序，依法保护自然资源，查处破坏生态环境和自然资源的违法行为并进行整改；通过保护逐步恢复湿地生态系统，充分发挥湿地的最大生态效益、社会效益和经济效益，达到可持续的开发利用；审查、申报保护管理和开发利用的重要事项。</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新疆帕米尔高原湿地自然保护区管理站</w:t>
      </w:r>
      <w:r>
        <w:rPr>
          <w:rFonts w:hint="eastAsia" w:ascii="仿宋_GB2312" w:hAnsi="黑体" w:eastAsia="仿宋_GB2312" w:cs="宋体"/>
          <w:bCs/>
          <w:kern w:val="0"/>
          <w:sz w:val="32"/>
          <w:szCs w:val="32"/>
        </w:rPr>
        <w:t>无下属预算单位，下设</w:t>
      </w:r>
      <w:r>
        <w:rPr>
          <w:rFonts w:hint="default" w:ascii="仿宋_GB2312" w:hAnsi="黑体" w:eastAsia="仿宋_GB2312" w:cs="宋体"/>
          <w:bCs/>
          <w:kern w:val="0"/>
          <w:sz w:val="32"/>
          <w:szCs w:val="32"/>
          <w:lang w:val="en-US"/>
        </w:rPr>
        <w:t>3</w:t>
      </w:r>
      <w:r>
        <w:rPr>
          <w:rFonts w:hint="eastAsia" w:ascii="仿宋_GB2312" w:hAnsi="黑体" w:eastAsia="仿宋_GB2312" w:cs="宋体"/>
          <w:bCs/>
          <w:kern w:val="0"/>
          <w:sz w:val="32"/>
          <w:szCs w:val="32"/>
        </w:rPr>
        <w:t>个处室，分别是：</w:t>
      </w:r>
      <w:r>
        <w:rPr>
          <w:rFonts w:hint="eastAsia" w:ascii="仿宋_GB2312" w:hAnsi="仿宋_GB2312" w:eastAsia="仿宋_GB2312" w:cs="宋体"/>
          <w:kern w:val="0"/>
          <w:sz w:val="32"/>
          <w:szCs w:val="32"/>
        </w:rPr>
        <w:t>业务室、财务室、办公室</w:t>
      </w:r>
      <w:r>
        <w:rPr>
          <w:rFonts w:hint="eastAsia" w:ascii="仿宋_GB2312" w:hAnsi="宋体" w:eastAsia="仿宋_GB2312" w:cs="宋体"/>
          <w:kern w:val="0"/>
          <w:sz w:val="32"/>
          <w:szCs w:val="32"/>
        </w:rPr>
        <w:t>。</w:t>
      </w:r>
    </w:p>
    <w:p>
      <w:pPr>
        <w:widowControl/>
        <w:spacing w:line="560" w:lineRule="exact"/>
        <w:ind w:firstLine="640"/>
        <w:jc w:val="left"/>
        <w:rPr>
          <w:rFonts w:hint="eastAsia" w:ascii="黑体" w:hAnsi="黑体" w:eastAsia="黑体"/>
          <w:kern w:val="0"/>
          <w:sz w:val="32"/>
          <w:szCs w:val="32"/>
        </w:rPr>
      </w:pPr>
      <w:r>
        <w:rPr>
          <w:rFonts w:hint="eastAsia" w:ascii="仿宋_GB2312" w:hAnsi="黑体" w:eastAsia="仿宋_GB2312" w:cs="宋体"/>
          <w:bCs/>
          <w:kern w:val="0"/>
          <w:sz w:val="32"/>
          <w:szCs w:val="32"/>
          <w:lang w:eastAsia="zh-CN"/>
        </w:rPr>
        <w:t>新疆帕米尔高原湿地自然保护区管理站</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 xml:space="preserve">人，其中：在职 </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  </w:t>
      </w:r>
    </w:p>
    <w:p>
      <w:pPr>
        <w:widowControl/>
        <w:numPr>
          <w:ilvl w:val="0"/>
          <w:numId w:val="1"/>
        </w:numPr>
        <w:jc w:val="center"/>
        <w:outlineLvl w:val="1"/>
        <w:rPr>
          <w:rFonts w:hint="eastAsia" w:ascii="黑体" w:hAnsi="黑体" w:eastAsia="黑体"/>
          <w:kern w:val="0"/>
          <w:sz w:val="32"/>
          <w:szCs w:val="32"/>
          <w:lang w:eastAsia="zh-CN"/>
        </w:rPr>
      </w:pP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新疆帕米尔高原湿地自然保护区管理站</w:t>
      </w:r>
    </w:p>
    <w:p>
      <w:pPr>
        <w:widowControl/>
        <w:numPr>
          <w:ilvl w:val="0"/>
          <w:numId w:val="1"/>
        </w:numPr>
        <w:jc w:val="center"/>
        <w:outlineLvl w:val="1"/>
        <w:rPr>
          <w:rFonts w:hint="eastAsia" w:ascii="黑体" w:hAnsi="黑体" w:eastAsia="黑体"/>
          <w:kern w:val="0"/>
          <w:sz w:val="32"/>
          <w:szCs w:val="32"/>
        </w:rPr>
      </w:pPr>
      <w:r>
        <w:rPr>
          <w:rFonts w:hint="eastAsia" w:ascii="黑体" w:hAnsi="黑体" w:eastAsia="黑体"/>
          <w:kern w:val="0"/>
          <w:sz w:val="32"/>
          <w:szCs w:val="32"/>
        </w:rPr>
        <w:t>预算公开表</w:t>
      </w: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新疆帕米尔高原湿地自然保护区管理站</w:t>
      </w:r>
      <w:r>
        <w:rPr>
          <w:rFonts w:hint="eastAsia" w:ascii="仿宋_GB2312" w:hAnsi="宋体" w:eastAsia="仿宋_GB2312"/>
          <w:kern w:val="0"/>
          <w:sz w:val="24"/>
        </w:rPr>
        <w:t xml:space="preserve">     单位：万元                                         </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151.93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151.93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151.93</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151.93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151.93</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both"/>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新疆帕米尔高原湿地自然保护区管理站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default" w:ascii="仿宋_GB2312" w:hAnsi="宋体" w:eastAsia="仿宋_GB2312"/>
          <w:kern w:val="0"/>
          <w:sz w:val="24"/>
          <w:lang w:val="en-US" w:eastAsia="zh-CN"/>
        </w:rPr>
        <w:t xml:space="preserve">        </w:t>
      </w:r>
      <w:r>
        <w:rPr>
          <w:rFonts w:hint="eastAsia" w:ascii="仿宋_GB2312" w:hAnsi="宋体" w:eastAsia="仿宋_GB2312"/>
          <w:kern w:val="0"/>
          <w:sz w:val="24"/>
        </w:rPr>
        <w:t>单位：万元</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                                        </w:t>
      </w:r>
    </w:p>
    <w:tbl>
      <w:tblPr>
        <w:tblStyle w:val="5"/>
        <w:tblW w:w="9026" w:type="dxa"/>
        <w:tblInd w:w="-450" w:type="dxa"/>
        <w:tblLayout w:type="fixed"/>
        <w:tblCellMar>
          <w:top w:w="0" w:type="dxa"/>
          <w:left w:w="108" w:type="dxa"/>
          <w:bottom w:w="0" w:type="dxa"/>
          <w:right w:w="108" w:type="dxa"/>
        </w:tblCellMar>
      </w:tblPr>
      <w:tblGrid>
        <w:gridCol w:w="281"/>
        <w:gridCol w:w="281"/>
        <w:gridCol w:w="281"/>
        <w:gridCol w:w="1446"/>
        <w:gridCol w:w="1017"/>
        <w:gridCol w:w="835"/>
        <w:gridCol w:w="435"/>
        <w:gridCol w:w="608"/>
        <w:gridCol w:w="445"/>
        <w:gridCol w:w="445"/>
        <w:gridCol w:w="477"/>
        <w:gridCol w:w="477"/>
        <w:gridCol w:w="462"/>
        <w:gridCol w:w="458"/>
        <w:gridCol w:w="545"/>
        <w:gridCol w:w="533"/>
      </w:tblGrid>
      <w:tr>
        <w:tblPrEx>
          <w:tblLayout w:type="fixed"/>
          <w:tblCellMar>
            <w:top w:w="0" w:type="dxa"/>
            <w:left w:w="108" w:type="dxa"/>
            <w:bottom w:w="0" w:type="dxa"/>
            <w:right w:w="108" w:type="dxa"/>
          </w:tblCellMar>
        </w:tblPrEx>
        <w:trPr>
          <w:trHeight w:val="2671" w:hRule="atLeast"/>
        </w:trPr>
        <w:tc>
          <w:tcPr>
            <w:tcW w:w="84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3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0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国有资本经营预算</w:t>
            </w:r>
          </w:p>
        </w:tc>
        <w:tc>
          <w:tcPr>
            <w:tcW w:w="44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77"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7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6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5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53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28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eastAsia="zh-CN"/>
              </w:rPr>
              <w:t>农林水</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eastAsia="仿宋_GB2312"/>
                <w:color w:val="000000"/>
                <w:sz w:val="20"/>
                <w:szCs w:val="20"/>
                <w:highlight w:val="none"/>
                <w:lang w:val="en-US" w:eastAsia="zh-CN"/>
              </w:rPr>
              <w:t>151.93</w:t>
            </w:r>
          </w:p>
        </w:tc>
        <w:tc>
          <w:tcPr>
            <w:tcW w:w="8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val="en-US" w:eastAsia="zh-CN"/>
              </w:rPr>
            </w:pPr>
          </w:p>
          <w:p>
            <w:pPr>
              <w:jc w:val="center"/>
              <w:rPr>
                <w:rFonts w:hint="eastAsia" w:ascii="仿宋_GB2312" w:eastAsia="仿宋_GB2312"/>
                <w:color w:val="000000"/>
                <w:sz w:val="20"/>
                <w:szCs w:val="20"/>
                <w:highlight w:val="none"/>
                <w:lang w:val="en-US"/>
              </w:rPr>
            </w:pPr>
            <w:r>
              <w:rPr>
                <w:rFonts w:hint="eastAsia" w:ascii="仿宋_GB2312" w:eastAsia="仿宋_GB2312"/>
                <w:color w:val="000000"/>
                <w:sz w:val="20"/>
                <w:szCs w:val="20"/>
                <w:highlight w:val="none"/>
                <w:lang w:val="en-US" w:eastAsia="zh-CN"/>
              </w:rPr>
              <w:t>151.93</w:t>
            </w:r>
            <w:r>
              <w:rPr>
                <w:rFonts w:hint="eastAsia" w:ascii="仿宋_GB2312" w:eastAsia="仿宋_GB2312"/>
                <w:color w:val="000000"/>
                <w:sz w:val="20"/>
                <w:szCs w:val="20"/>
                <w:highlight w:val="none"/>
                <w:lang w:val="en-US"/>
              </w:rPr>
              <w:t>　</w:t>
            </w:r>
          </w:p>
          <w:p>
            <w:pPr>
              <w:jc w:val="center"/>
              <w:rPr>
                <w:rFonts w:hint="default" w:ascii="仿宋_GB2312" w:eastAsia="仿宋_GB2312"/>
                <w:color w:val="000000"/>
                <w:sz w:val="20"/>
                <w:szCs w:val="20"/>
                <w:highlight w:val="none"/>
                <w:lang w:val="en-US" w:eastAsia="zh-CN"/>
              </w:rPr>
            </w:pP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0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highlight w:val="none"/>
              </w:rPr>
            </w:pPr>
          </w:p>
        </w:tc>
        <w:tc>
          <w:tcPr>
            <w:tcW w:w="44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77"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highlight w:val="none"/>
              </w:rPr>
            </w:pPr>
          </w:p>
        </w:tc>
        <w:tc>
          <w:tcPr>
            <w:tcW w:w="47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2"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3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林业和草原</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eastAsia="仿宋_GB2312"/>
                <w:color w:val="000000"/>
                <w:sz w:val="20"/>
                <w:szCs w:val="20"/>
                <w:highlight w:val="none"/>
                <w:lang w:val="en-US" w:eastAsia="zh-CN"/>
              </w:rPr>
              <w:t>151.93</w:t>
            </w:r>
          </w:p>
        </w:tc>
        <w:tc>
          <w:tcPr>
            <w:tcW w:w="835"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rPr>
            </w:pPr>
            <w:r>
              <w:rPr>
                <w:rFonts w:hint="eastAsia" w:ascii="仿宋_GB2312" w:eastAsia="仿宋_GB2312"/>
                <w:color w:val="000000"/>
                <w:sz w:val="20"/>
                <w:szCs w:val="20"/>
                <w:highlight w:val="none"/>
                <w:lang w:val="en-US" w:eastAsia="zh-CN"/>
              </w:rPr>
              <w:t>151.93</w:t>
            </w:r>
            <w:r>
              <w:rPr>
                <w:rFonts w:hint="eastAsia" w:ascii="仿宋_GB2312" w:eastAsia="仿宋_GB2312"/>
                <w:color w:val="000000"/>
                <w:sz w:val="20"/>
                <w:szCs w:val="20"/>
                <w:highlight w:val="none"/>
                <w:lang w:val="en-US"/>
              </w:rPr>
              <w:t>　</w:t>
            </w:r>
          </w:p>
        </w:tc>
        <w:tc>
          <w:tcPr>
            <w:tcW w:w="43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0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highlight w:val="none"/>
              </w:rPr>
            </w:pPr>
          </w:p>
        </w:tc>
        <w:tc>
          <w:tcPr>
            <w:tcW w:w="44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77"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highlight w:val="none"/>
              </w:rPr>
            </w:pPr>
          </w:p>
        </w:tc>
        <w:tc>
          <w:tcPr>
            <w:tcW w:w="47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2"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3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12</w:t>
            </w:r>
            <w:r>
              <w:rPr>
                <w:rFonts w:hint="eastAsia" w:ascii="仿宋_GB2312" w:eastAsia="仿宋_GB2312"/>
                <w:color w:val="000000"/>
                <w:sz w:val="20"/>
                <w:szCs w:val="20"/>
                <w:highlight w:val="none"/>
              </w:rPr>
              <w:t>　</w:t>
            </w:r>
          </w:p>
        </w:tc>
        <w:tc>
          <w:tcPr>
            <w:tcW w:w="1446"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湿地保护</w:t>
            </w:r>
          </w:p>
        </w:tc>
        <w:tc>
          <w:tcPr>
            <w:tcW w:w="1017" w:type="dxa"/>
            <w:tcBorders>
              <w:top w:val="single" w:color="auto" w:sz="4" w:space="0"/>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eastAsia="仿宋_GB2312"/>
                <w:color w:val="000000"/>
                <w:sz w:val="20"/>
                <w:szCs w:val="20"/>
                <w:highlight w:val="none"/>
                <w:lang w:val="en-US" w:eastAsia="zh-CN"/>
              </w:rPr>
              <w:t>145.93</w:t>
            </w:r>
          </w:p>
        </w:tc>
        <w:tc>
          <w:tcPr>
            <w:tcW w:w="835" w:type="dxa"/>
            <w:tcBorders>
              <w:top w:val="single" w:color="auto" w:sz="4" w:space="0"/>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eastAsia="仿宋_GB2312"/>
                <w:color w:val="000000"/>
                <w:sz w:val="20"/>
                <w:szCs w:val="20"/>
                <w:highlight w:val="none"/>
                <w:lang w:val="en-US" w:eastAsia="zh-CN"/>
              </w:rPr>
              <w:t>145.93</w:t>
            </w:r>
          </w:p>
        </w:tc>
        <w:tc>
          <w:tcPr>
            <w:tcW w:w="43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608"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5" w:type="dxa"/>
            <w:tcBorders>
              <w:top w:val="single" w:color="auto" w:sz="4" w:space="0"/>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rPr>
            </w:pPr>
          </w:p>
        </w:tc>
        <w:tc>
          <w:tcPr>
            <w:tcW w:w="445"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77" w:type="dxa"/>
            <w:tcBorders>
              <w:top w:val="single" w:color="auto" w:sz="4" w:space="0"/>
              <w:left w:val="nil"/>
              <w:bottom w:val="single" w:color="auto" w:sz="4" w:space="0"/>
              <w:right w:val="nil"/>
            </w:tcBorders>
          </w:tcPr>
          <w:p>
            <w:pPr>
              <w:jc w:val="right"/>
              <w:rPr>
                <w:rFonts w:ascii="仿宋_GB2312" w:eastAsia="仿宋_GB2312"/>
                <w:color w:val="000000"/>
                <w:sz w:val="20"/>
                <w:szCs w:val="20"/>
                <w:highlight w:val="none"/>
              </w:rPr>
            </w:pPr>
          </w:p>
        </w:tc>
        <w:tc>
          <w:tcPr>
            <w:tcW w:w="477"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2"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8"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45"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33"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val="en-US" w:eastAsia="zh-CN"/>
              </w:rPr>
              <w:t>99</w:t>
            </w:r>
            <w:r>
              <w:rPr>
                <w:rFonts w:hint="eastAsia" w:ascii="仿宋_GB2312" w:eastAsia="仿宋_GB2312"/>
                <w:color w:val="000000"/>
                <w:sz w:val="20"/>
                <w:szCs w:val="20"/>
                <w:highlight w:val="none"/>
              </w:rPr>
              <w:t>　</w:t>
            </w:r>
          </w:p>
        </w:tc>
        <w:tc>
          <w:tcPr>
            <w:tcW w:w="1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lang w:eastAsia="zh-CN"/>
              </w:rPr>
              <w:t>其他林业和草原支出</w:t>
            </w:r>
          </w:p>
        </w:tc>
        <w:tc>
          <w:tcPr>
            <w:tcW w:w="10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default" w:ascii="仿宋_GB2312" w:eastAsia="仿宋_GB2312"/>
                <w:color w:val="000000"/>
                <w:sz w:val="20"/>
                <w:szCs w:val="20"/>
                <w:highlight w:val="none"/>
                <w:lang w:val="en-US"/>
              </w:rPr>
              <w:t>6.00</w:t>
            </w:r>
          </w:p>
        </w:tc>
        <w:tc>
          <w:tcPr>
            <w:tcW w:w="8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default" w:ascii="仿宋_GB2312" w:eastAsia="仿宋_GB2312"/>
                <w:color w:val="000000"/>
                <w:sz w:val="20"/>
                <w:szCs w:val="20"/>
                <w:highlight w:val="none"/>
                <w:lang w:val="en-US"/>
              </w:rPr>
              <w:t>6.00</w:t>
            </w:r>
            <w:r>
              <w:rPr>
                <w:rFonts w:hint="eastAsia" w:ascii="仿宋_GB2312" w:eastAsia="仿宋_GB2312"/>
                <w:color w:val="000000"/>
                <w:sz w:val="20"/>
                <w:szCs w:val="20"/>
                <w:highlight w:val="none"/>
                <w:lang w:val="en-US"/>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rPr>
            </w:pP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77" w:type="dxa"/>
            <w:tcBorders>
              <w:top w:val="nil"/>
              <w:left w:val="nil"/>
              <w:bottom w:val="single" w:color="auto" w:sz="4" w:space="0"/>
              <w:right w:val="nil"/>
            </w:tcBorders>
            <w:vAlign w:val="top"/>
          </w:tcPr>
          <w:p>
            <w:pPr>
              <w:jc w:val="right"/>
              <w:rPr>
                <w:rFonts w:ascii="仿宋_GB2312" w:eastAsia="仿宋_GB2312"/>
                <w:color w:val="000000"/>
                <w:sz w:val="20"/>
                <w:szCs w:val="20"/>
                <w:highlight w:val="none"/>
              </w:rPr>
            </w:pPr>
          </w:p>
        </w:tc>
        <w:tc>
          <w:tcPr>
            <w:tcW w:w="4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4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3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r>
              <w:rPr>
                <w:rFonts w:hint="eastAsia" w:ascii="仿宋_GB2312" w:eastAsia="仿宋_GB2312"/>
                <w:color w:val="000000"/>
                <w:sz w:val="20"/>
                <w:szCs w:val="20"/>
                <w:highlight w:val="none"/>
              </w:rPr>
              <w:t>　</w:t>
            </w:r>
          </w:p>
        </w:tc>
      </w:tr>
      <w:tr>
        <w:tblPrEx>
          <w:tblLayout w:type="fixed"/>
          <w:tblCellMar>
            <w:top w:w="0" w:type="dxa"/>
            <w:left w:w="108" w:type="dxa"/>
            <w:bottom w:w="0" w:type="dxa"/>
            <w:right w:w="108" w:type="dxa"/>
          </w:tblCellMar>
        </w:tblPrEx>
        <w:trPr>
          <w:trHeight w:val="465" w:hRule="atLeast"/>
        </w:trPr>
        <w:tc>
          <w:tcPr>
            <w:tcW w:w="28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44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10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4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rPr>
            </w:pP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77" w:type="dxa"/>
            <w:tcBorders>
              <w:top w:val="nil"/>
              <w:left w:val="nil"/>
              <w:bottom w:val="single" w:color="auto" w:sz="4" w:space="0"/>
              <w:right w:val="nil"/>
            </w:tcBorders>
            <w:vAlign w:val="top"/>
          </w:tcPr>
          <w:p>
            <w:pPr>
              <w:jc w:val="right"/>
              <w:rPr>
                <w:rFonts w:ascii="仿宋_GB2312" w:eastAsia="仿宋_GB2312"/>
                <w:color w:val="000000"/>
                <w:sz w:val="20"/>
                <w:szCs w:val="20"/>
                <w:highlight w:val="none"/>
              </w:rPr>
            </w:pPr>
          </w:p>
        </w:tc>
        <w:tc>
          <w:tcPr>
            <w:tcW w:w="4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4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53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r>
              <w:rPr>
                <w:rFonts w:hint="eastAsia" w:ascii="仿宋_GB2312" w:eastAsia="仿宋_GB2312"/>
                <w:color w:val="000000"/>
                <w:sz w:val="20"/>
                <w:szCs w:val="20"/>
                <w:highlight w:val="none"/>
              </w:rPr>
              <w:t>　</w:t>
            </w:r>
          </w:p>
        </w:tc>
      </w:tr>
      <w:tr>
        <w:tblPrEx>
          <w:tblLayout w:type="fixed"/>
          <w:tblCellMar>
            <w:top w:w="0" w:type="dxa"/>
            <w:left w:w="108" w:type="dxa"/>
            <w:bottom w:w="0" w:type="dxa"/>
            <w:right w:w="108" w:type="dxa"/>
          </w:tblCellMar>
        </w:tblPrEx>
        <w:trPr>
          <w:trHeight w:val="681" w:hRule="atLeast"/>
        </w:trPr>
        <w:tc>
          <w:tcPr>
            <w:tcW w:w="28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default" w:ascii="仿宋_GB2312" w:eastAsia="仿宋_GB2312"/>
                <w:color w:val="000000"/>
                <w:sz w:val="20"/>
                <w:szCs w:val="20"/>
                <w:lang w:val="en-US"/>
              </w:rPr>
              <w:t>151.93</w:t>
            </w:r>
            <w:r>
              <w:rPr>
                <w:rFonts w:hint="eastAsia" w:ascii="仿宋_GB2312" w:eastAsia="仿宋_GB2312"/>
                <w:color w:val="000000"/>
                <w:sz w:val="20"/>
                <w:szCs w:val="20"/>
              </w:rPr>
              <w:t>　</w:t>
            </w:r>
          </w:p>
        </w:tc>
        <w:tc>
          <w:tcPr>
            <w:tcW w:w="8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default" w:ascii="仿宋_GB2312" w:eastAsia="仿宋_GB2312"/>
                <w:color w:val="000000"/>
                <w:sz w:val="20"/>
                <w:szCs w:val="20"/>
                <w:lang w:val="en-US"/>
              </w:rPr>
              <w:t>151.93</w:t>
            </w: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7" w:type="dxa"/>
            <w:tcBorders>
              <w:top w:val="nil"/>
              <w:left w:val="nil"/>
              <w:bottom w:val="single" w:color="auto" w:sz="4" w:space="0"/>
              <w:right w:val="nil"/>
            </w:tcBorders>
          </w:tcPr>
          <w:p>
            <w:pPr>
              <w:jc w:val="right"/>
              <w:rPr>
                <w:rFonts w:ascii="仿宋_GB2312" w:eastAsia="仿宋_GB2312"/>
                <w:color w:val="000000"/>
                <w:sz w:val="20"/>
                <w:szCs w:val="20"/>
              </w:rPr>
            </w:pPr>
          </w:p>
        </w:tc>
        <w:tc>
          <w:tcPr>
            <w:tcW w:w="47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4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3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新疆帕米尔高原湿地自然保护区管理站</w:t>
      </w:r>
      <w:r>
        <w:rPr>
          <w:rFonts w:hint="eastAsia" w:ascii="仿宋_GB2312" w:hAnsi="宋体" w:eastAsia="仿宋_GB2312"/>
          <w:kern w:val="0"/>
          <w:sz w:val="24"/>
        </w:rPr>
        <w:t xml:space="preserve">            单位：万元</w:t>
      </w:r>
    </w:p>
    <w:tbl>
      <w:tblPr>
        <w:tblStyle w:val="5"/>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hint="default" w:ascii="宋体" w:hAnsi="宋体" w:cs="宋体"/>
                <w:b/>
                <w:bCs/>
                <w:color w:val="000000"/>
                <w:kern w:val="0"/>
                <w:sz w:val="16"/>
                <w:szCs w:val="16"/>
                <w:highlight w:val="yellow"/>
                <w:lang w:val="en-US"/>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hint="default" w:ascii="宋体" w:hAnsi="宋体" w:cs="宋体"/>
                <w:b/>
                <w:bCs/>
                <w:color w:val="000000"/>
                <w:kern w:val="0"/>
                <w:sz w:val="16"/>
                <w:szCs w:val="16"/>
                <w:highlight w:val="yellow"/>
                <w:lang w:val="en-US"/>
              </w:rPr>
            </w:pP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hint="default" w:ascii="宋体" w:hAnsi="宋体" w:cs="宋体"/>
                <w:b/>
                <w:bCs/>
                <w:color w:val="000000"/>
                <w:kern w:val="0"/>
                <w:sz w:val="16"/>
                <w:szCs w:val="16"/>
                <w:highlight w:val="yellow"/>
                <w:lang w:val="en-US"/>
              </w:rPr>
            </w:pPr>
            <w:r>
              <w:rPr>
                <w:rFonts w:hint="eastAsia" w:ascii="仿宋_GB2312" w:eastAsia="仿宋_GB2312"/>
                <w:color w:val="000000"/>
                <w:sz w:val="20"/>
                <w:szCs w:val="20"/>
                <w:highlight w:val="none"/>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highlight w:val="yellow"/>
              </w:rPr>
            </w:pPr>
            <w:r>
              <w:rPr>
                <w:rFonts w:hint="eastAsia" w:ascii="仿宋_GB2312" w:eastAsia="仿宋_GB2312"/>
                <w:color w:val="000000"/>
                <w:sz w:val="20"/>
                <w:szCs w:val="20"/>
                <w:highlight w:val="none"/>
                <w:lang w:eastAsia="zh-CN"/>
              </w:rPr>
              <w:t>农林水</w:t>
            </w:r>
          </w:p>
        </w:tc>
        <w:tc>
          <w:tcPr>
            <w:tcW w:w="185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rPr>
            </w:pPr>
            <w:r>
              <w:rPr>
                <w:rFonts w:hint="eastAsia" w:ascii="仿宋_GB2312" w:eastAsia="仿宋_GB2312"/>
                <w:color w:val="000000"/>
                <w:sz w:val="20"/>
                <w:szCs w:val="20"/>
                <w:highlight w:val="none"/>
                <w:lang w:val="en-US" w:eastAsia="zh-CN"/>
              </w:rPr>
              <w:t>151.93</w:t>
            </w:r>
          </w:p>
        </w:tc>
        <w:tc>
          <w:tcPr>
            <w:tcW w:w="1856"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rPr>
            </w:pPr>
            <w:r>
              <w:rPr>
                <w:rFonts w:hint="eastAsia" w:ascii="仿宋_GB2312" w:eastAsia="仿宋_GB2312"/>
                <w:color w:val="000000"/>
                <w:sz w:val="20"/>
                <w:szCs w:val="20"/>
                <w:highlight w:val="none"/>
                <w:lang w:val="en-US" w:eastAsia="zh-CN"/>
              </w:rPr>
              <w:t>145.93</w:t>
            </w:r>
          </w:p>
        </w:tc>
        <w:tc>
          <w:tcPr>
            <w:tcW w:w="1904"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rPr>
            </w:pPr>
            <w:r>
              <w:rPr>
                <w:rFonts w:hint="eastAsia" w:ascii="仿宋_GB2312" w:eastAsia="仿宋_GB2312"/>
                <w:color w:val="000000"/>
                <w:sz w:val="20"/>
                <w:szCs w:val="20"/>
                <w:highlight w:val="none"/>
                <w:lang w:val="en-US" w:eastAsia="zh-CN"/>
              </w:rPr>
              <w:t>6.00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hint="default" w:ascii="宋体" w:hAnsi="宋体" w:cs="宋体"/>
                <w:b/>
                <w:bCs/>
                <w:color w:val="000000"/>
                <w:kern w:val="0"/>
                <w:sz w:val="16"/>
                <w:szCs w:val="16"/>
                <w:highlight w:val="yellow"/>
                <w:lang w:val="en-US"/>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hint="default" w:ascii="宋体" w:hAnsi="宋体" w:cs="宋体"/>
                <w:b/>
                <w:bCs/>
                <w:color w:val="000000"/>
                <w:kern w:val="0"/>
                <w:sz w:val="16"/>
                <w:szCs w:val="16"/>
                <w:highlight w:val="yellow"/>
                <w:lang w:val="en-US"/>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center"/>
              <w:rPr>
                <w:rFonts w:hint="default" w:ascii="宋体" w:hAnsi="宋体" w:cs="宋体"/>
                <w:b/>
                <w:bCs/>
                <w:color w:val="000000"/>
                <w:kern w:val="0"/>
                <w:sz w:val="16"/>
                <w:szCs w:val="16"/>
                <w:highlight w:val="yellow"/>
                <w:lang w:val="en-US"/>
              </w:rPr>
            </w:pPr>
            <w:r>
              <w:rPr>
                <w:rFonts w:hint="eastAsia" w:ascii="仿宋_GB2312" w:eastAsia="仿宋_GB2312"/>
                <w:color w:val="000000"/>
                <w:sz w:val="20"/>
                <w:szCs w:val="20"/>
                <w:highlight w:val="none"/>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highlight w:val="yellow"/>
              </w:rPr>
            </w:pPr>
            <w:r>
              <w:rPr>
                <w:rFonts w:hint="eastAsia" w:ascii="仿宋_GB2312" w:hAnsi="宋体" w:eastAsia="仿宋_GB2312" w:cs="宋体"/>
                <w:color w:val="000000"/>
                <w:sz w:val="20"/>
                <w:szCs w:val="20"/>
                <w:highlight w:val="none"/>
                <w:lang w:eastAsia="zh-CN"/>
              </w:rPr>
              <w:t>林业和草原</w:t>
            </w:r>
          </w:p>
        </w:tc>
        <w:tc>
          <w:tcPr>
            <w:tcW w:w="185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151.93</w:t>
            </w:r>
          </w:p>
        </w:tc>
        <w:tc>
          <w:tcPr>
            <w:tcW w:w="1856"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145.93</w:t>
            </w:r>
          </w:p>
        </w:tc>
        <w:tc>
          <w:tcPr>
            <w:tcW w:w="1904"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6.00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highlight w:val="yellow"/>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highlight w:val="yellow"/>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highlight w:val="yellow"/>
              </w:rPr>
            </w:pPr>
            <w:r>
              <w:rPr>
                <w:rFonts w:hint="eastAsia" w:ascii="仿宋_GB2312" w:eastAsia="仿宋_GB2312"/>
                <w:color w:val="000000"/>
                <w:sz w:val="20"/>
                <w:szCs w:val="20"/>
                <w:highlight w:val="none"/>
                <w:lang w:val="en-US" w:eastAsia="zh-CN"/>
              </w:rPr>
              <w:t>12</w:t>
            </w:r>
            <w:r>
              <w:rPr>
                <w:rFonts w:hint="eastAsia" w:ascii="仿宋_GB2312" w:eastAsia="仿宋_GB2312"/>
                <w:color w:val="000000"/>
                <w:sz w:val="20"/>
                <w:szCs w:val="20"/>
                <w:highlight w:val="none"/>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highlight w:val="yellow"/>
              </w:rPr>
            </w:pPr>
            <w:r>
              <w:rPr>
                <w:rFonts w:hint="eastAsia" w:ascii="仿宋_GB2312" w:hAnsi="宋体" w:eastAsia="仿宋_GB2312" w:cs="宋体"/>
                <w:color w:val="000000"/>
                <w:sz w:val="20"/>
                <w:szCs w:val="20"/>
                <w:highlight w:val="none"/>
                <w:lang w:eastAsia="zh-CN"/>
              </w:rPr>
              <w:t>湿地保护</w:t>
            </w:r>
          </w:p>
        </w:tc>
        <w:tc>
          <w:tcPr>
            <w:tcW w:w="185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145.93</w:t>
            </w:r>
          </w:p>
        </w:tc>
        <w:tc>
          <w:tcPr>
            <w:tcW w:w="1856"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val="en-US" w:eastAsia="zh-CN"/>
              </w:rPr>
            </w:pPr>
            <w:r>
              <w:rPr>
                <w:rFonts w:hint="default" w:ascii="仿宋_GB2312" w:eastAsia="仿宋_GB2312"/>
                <w:color w:val="000000"/>
                <w:sz w:val="20"/>
                <w:szCs w:val="20"/>
                <w:highlight w:val="none"/>
                <w:lang w:val="en-US" w:eastAsia="zh-CN"/>
              </w:rPr>
              <w:t>145.93</w:t>
            </w:r>
          </w:p>
        </w:tc>
        <w:tc>
          <w:tcPr>
            <w:tcW w:w="1904"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highlight w:val="none"/>
                <w:lang w:val="en-US" w:eastAsia="zh-CN"/>
              </w:rPr>
              <w:t>213</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highlight w:val="none"/>
                <w:lang w:val="en-US" w:eastAsia="zh-CN"/>
              </w:rPr>
              <w:t>02</w:t>
            </w: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highlight w:val="none"/>
                <w:lang w:val="en-US" w:eastAsia="zh-CN"/>
              </w:rPr>
              <w:t>99</w:t>
            </w:r>
            <w:r>
              <w:rPr>
                <w:rFonts w:hint="eastAsia" w:ascii="仿宋_GB2312" w:eastAsia="仿宋_GB2312"/>
                <w:color w:val="000000"/>
                <w:sz w:val="20"/>
                <w:szCs w:val="20"/>
                <w:highlight w:val="none"/>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highlight w:val="none"/>
                <w:lang w:eastAsia="zh-CN"/>
              </w:rPr>
              <w:t>其他林业和草原支出</w:t>
            </w:r>
          </w:p>
        </w:tc>
        <w:tc>
          <w:tcPr>
            <w:tcW w:w="185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6.00　</w:t>
            </w:r>
          </w:p>
        </w:tc>
        <w:tc>
          <w:tcPr>
            <w:tcW w:w="1856"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　</w:t>
            </w:r>
          </w:p>
        </w:tc>
        <w:tc>
          <w:tcPr>
            <w:tcW w:w="1904"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6.00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highlight w:val="none"/>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cs="宋体"/>
                <w:color w:val="000000"/>
                <w:kern w:val="0"/>
                <w:sz w:val="24"/>
                <w:lang w:val="en-US"/>
              </w:rPr>
            </w:pPr>
            <w:r>
              <w:rPr>
                <w:rFonts w:hint="eastAsia" w:ascii="宋体" w:hAnsi="宋体" w:cs="宋体"/>
                <w:color w:val="000000"/>
                <w:kern w:val="0"/>
                <w:sz w:val="24"/>
              </w:rPr>
              <w:t>　</w:t>
            </w:r>
            <w:r>
              <w:rPr>
                <w:rFonts w:hint="default" w:ascii="宋体" w:hAnsi="宋体" w:cs="宋体"/>
                <w:color w:val="000000"/>
                <w:kern w:val="0"/>
                <w:sz w:val="24"/>
                <w:lang w:val="en-US"/>
              </w:rPr>
              <w:t>151.93</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cs="宋体"/>
                <w:color w:val="000000"/>
                <w:kern w:val="0"/>
                <w:sz w:val="24"/>
                <w:lang w:val="en-US"/>
              </w:rPr>
            </w:pPr>
            <w:r>
              <w:rPr>
                <w:rFonts w:hint="eastAsia" w:ascii="宋体" w:hAnsi="宋体" w:cs="宋体"/>
                <w:color w:val="000000"/>
                <w:kern w:val="0"/>
                <w:sz w:val="24"/>
              </w:rPr>
              <w:t>　</w:t>
            </w:r>
            <w:r>
              <w:rPr>
                <w:rFonts w:hint="default" w:ascii="宋体" w:hAnsi="宋体" w:cs="宋体"/>
                <w:color w:val="000000"/>
                <w:kern w:val="0"/>
                <w:sz w:val="24"/>
                <w:lang w:val="en-US"/>
              </w:rPr>
              <w:t>145.93</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cs="宋体"/>
                <w:color w:val="000000"/>
                <w:kern w:val="0"/>
                <w:sz w:val="24"/>
                <w:lang w:val="en-US"/>
              </w:rPr>
            </w:pPr>
            <w:r>
              <w:rPr>
                <w:rFonts w:hint="eastAsia" w:ascii="宋体" w:hAnsi="宋体" w:cs="宋体"/>
                <w:color w:val="000000"/>
                <w:kern w:val="0"/>
                <w:sz w:val="24"/>
              </w:rPr>
              <w:t>　</w:t>
            </w:r>
            <w:r>
              <w:rPr>
                <w:rFonts w:hint="default" w:ascii="宋体" w:hAnsi="宋体" w:cs="宋体"/>
                <w:color w:val="000000"/>
                <w:kern w:val="0"/>
                <w:sz w:val="24"/>
                <w:lang w:val="en-US"/>
              </w:rPr>
              <w:t>6.00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新疆帕米尔高原湿地自然保护区管理站</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5"/>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2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151.93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151.93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eastAsia="zh-CN"/>
              </w:rPr>
              <w:t>国有资本经营预算</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151.93</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151.93</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151.93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151.93　</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151.93　</w:t>
            </w:r>
          </w:p>
        </w:tc>
        <w:tc>
          <w:tcPr>
            <w:tcW w:w="132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214" w:type="dxa"/>
        <w:tblInd w:w="-34" w:type="dxa"/>
        <w:tblLayout w:type="fixed"/>
        <w:tblCellMar>
          <w:top w:w="0" w:type="dxa"/>
          <w:left w:w="108" w:type="dxa"/>
          <w:bottom w:w="0" w:type="dxa"/>
          <w:right w:w="108" w:type="dxa"/>
        </w:tblCellMar>
      </w:tblPr>
      <w:tblGrid>
        <w:gridCol w:w="568"/>
        <w:gridCol w:w="492"/>
        <w:gridCol w:w="475"/>
        <w:gridCol w:w="2452"/>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top"/>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：新疆帕米尔高原湿地自然保护区管理站</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r>
              <w:rPr>
                <w:rFonts w:hint="eastAsia" w:ascii="仿宋_GB2312" w:hAnsi="宋体" w:eastAsia="仿宋_GB2312" w:cs="宋体"/>
                <w:color w:val="000000"/>
                <w:kern w:val="0"/>
                <w:sz w:val="24"/>
                <w:lang w:val="en-US" w:eastAsia="zh-CN"/>
              </w:rPr>
              <w:t xml:space="preserve">  </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3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5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5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hint="default" w:ascii="仿宋_GB2312" w:hAnsi="宋体" w:eastAsia="仿宋_GB2312" w:cs="宋体"/>
                <w:b/>
                <w:color w:val="000000"/>
                <w:kern w:val="0"/>
                <w:sz w:val="20"/>
                <w:szCs w:val="20"/>
                <w:highlight w:val="yellow"/>
                <w:lang w:val="en-US"/>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492"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color w:val="000000"/>
                <w:kern w:val="0"/>
                <w:sz w:val="20"/>
                <w:szCs w:val="20"/>
                <w:highlight w:val="yellow"/>
                <w:lang w:val="en-US"/>
              </w:rPr>
            </w:pPr>
            <w:r>
              <w:rPr>
                <w:rFonts w:hint="eastAsia" w:ascii="仿宋_GB2312" w:eastAsia="仿宋_GB2312"/>
                <w:color w:val="000000"/>
                <w:sz w:val="20"/>
                <w:szCs w:val="20"/>
                <w:highlight w:val="none"/>
              </w:rPr>
              <w:t>　</w:t>
            </w:r>
          </w:p>
        </w:tc>
        <w:tc>
          <w:tcPr>
            <w:tcW w:w="47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color w:val="000000"/>
                <w:kern w:val="0"/>
                <w:sz w:val="20"/>
                <w:szCs w:val="20"/>
                <w:highlight w:val="yellow"/>
                <w:lang w:val="en-US"/>
              </w:rPr>
            </w:pPr>
            <w:r>
              <w:rPr>
                <w:rFonts w:hint="eastAsia" w:ascii="仿宋_GB2312" w:eastAsia="仿宋_GB2312"/>
                <w:color w:val="000000"/>
                <w:sz w:val="20"/>
                <w:szCs w:val="20"/>
                <w:highlight w:val="none"/>
              </w:rPr>
              <w:t>　</w:t>
            </w:r>
          </w:p>
        </w:tc>
        <w:tc>
          <w:tcPr>
            <w:tcW w:w="245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color w:val="000000"/>
                <w:kern w:val="0"/>
                <w:sz w:val="20"/>
                <w:szCs w:val="20"/>
                <w:highlight w:val="yellow"/>
                <w:lang w:val="en-US" w:eastAsia="zh-CN"/>
              </w:rPr>
            </w:pPr>
            <w:r>
              <w:rPr>
                <w:rFonts w:hint="eastAsia" w:ascii="仿宋_GB2312" w:eastAsia="仿宋_GB2312"/>
                <w:color w:val="000000"/>
                <w:sz w:val="20"/>
                <w:szCs w:val="20"/>
                <w:highlight w:val="none"/>
                <w:lang w:eastAsia="zh-CN"/>
              </w:rPr>
              <w:t>农林水</w:t>
            </w:r>
          </w:p>
        </w:tc>
        <w:tc>
          <w:tcPr>
            <w:tcW w:w="1684"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151.93</w:t>
            </w:r>
          </w:p>
        </w:tc>
        <w:tc>
          <w:tcPr>
            <w:tcW w:w="1842"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145.93</w:t>
            </w:r>
          </w:p>
        </w:tc>
        <w:tc>
          <w:tcPr>
            <w:tcW w:w="170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eastAsia="zh-CN"/>
              </w:rPr>
            </w:pPr>
            <w:r>
              <w:rPr>
                <w:rFonts w:hint="eastAsia" w:ascii="仿宋_GB2312" w:eastAsia="仿宋_GB2312"/>
                <w:color w:val="000000"/>
                <w:sz w:val="20"/>
                <w:szCs w:val="20"/>
                <w:highlight w:val="none"/>
                <w:lang w:val="en-US" w:eastAsia="zh-CN"/>
              </w:rPr>
              <w:t>6</w:t>
            </w:r>
            <w:r>
              <w:rPr>
                <w:rFonts w:hint="default" w:ascii="仿宋_GB2312" w:eastAsia="仿宋_GB2312"/>
                <w:color w:val="000000"/>
                <w:sz w:val="20"/>
                <w:szCs w:val="20"/>
                <w:highlight w:val="none"/>
                <w:lang w:val="en-US" w:eastAsia="zh-CN"/>
              </w:rPr>
              <w:t>.00</w:t>
            </w:r>
          </w:p>
        </w:tc>
      </w:tr>
      <w:tr>
        <w:tblPrEx>
          <w:tblLayout w:type="fixed"/>
          <w:tblCellMar>
            <w:top w:w="0" w:type="dxa"/>
            <w:left w:w="108" w:type="dxa"/>
            <w:bottom w:w="0" w:type="dxa"/>
            <w:right w:w="108" w:type="dxa"/>
          </w:tblCellMar>
        </w:tblPrEx>
        <w:trPr>
          <w:trHeight w:val="758" w:hRule="atLeast"/>
        </w:trPr>
        <w:tc>
          <w:tcPr>
            <w:tcW w:w="56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hint="default" w:ascii="仿宋_GB2312" w:hAnsi="宋体" w:eastAsia="仿宋_GB2312" w:cs="宋体"/>
                <w:b/>
                <w:color w:val="000000"/>
                <w:kern w:val="0"/>
                <w:sz w:val="20"/>
                <w:szCs w:val="20"/>
                <w:highlight w:val="yellow"/>
                <w:lang w:val="en-US"/>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492"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0</w:t>
            </w:r>
          </w:p>
          <w:p>
            <w:pPr>
              <w:jc w:val="right"/>
              <w:rPr>
                <w:rFonts w:hint="default" w:ascii="仿宋_GB2312" w:hAnsi="宋体" w:eastAsia="仿宋_GB2312" w:cs="宋体"/>
                <w:b/>
                <w:color w:val="000000"/>
                <w:kern w:val="0"/>
                <w:sz w:val="20"/>
                <w:szCs w:val="20"/>
                <w:highlight w:val="yellow"/>
                <w:lang w:val="en-US"/>
              </w:rPr>
            </w:pPr>
            <w:r>
              <w:rPr>
                <w:rFonts w:hint="eastAsia" w:ascii="仿宋_GB2312" w:eastAsia="仿宋_GB2312"/>
                <w:color w:val="000000"/>
                <w:sz w:val="20"/>
                <w:szCs w:val="20"/>
                <w:highlight w:val="none"/>
                <w:lang w:val="en-US" w:eastAsia="zh-CN"/>
              </w:rPr>
              <w:t>2</w:t>
            </w:r>
            <w:r>
              <w:rPr>
                <w:rFonts w:hint="eastAsia" w:ascii="仿宋_GB2312" w:eastAsia="仿宋_GB2312"/>
                <w:color w:val="000000"/>
                <w:sz w:val="20"/>
                <w:szCs w:val="20"/>
                <w:highlight w:val="none"/>
              </w:rPr>
              <w:t>　</w:t>
            </w:r>
          </w:p>
        </w:tc>
        <w:tc>
          <w:tcPr>
            <w:tcW w:w="47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color w:val="000000"/>
                <w:kern w:val="0"/>
                <w:sz w:val="20"/>
                <w:szCs w:val="20"/>
                <w:highlight w:val="yellow"/>
                <w:lang w:val="en-US"/>
              </w:rPr>
            </w:pPr>
            <w:r>
              <w:rPr>
                <w:rFonts w:hint="eastAsia" w:ascii="仿宋_GB2312" w:eastAsia="仿宋_GB2312"/>
                <w:color w:val="000000"/>
                <w:sz w:val="20"/>
                <w:szCs w:val="20"/>
                <w:highlight w:val="none"/>
              </w:rPr>
              <w:t>　</w:t>
            </w:r>
          </w:p>
        </w:tc>
        <w:tc>
          <w:tcPr>
            <w:tcW w:w="24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yellow"/>
              </w:rPr>
            </w:pPr>
            <w:r>
              <w:rPr>
                <w:rFonts w:hint="eastAsia" w:ascii="仿宋_GB2312" w:hAnsi="宋体" w:eastAsia="仿宋_GB2312" w:cs="宋体"/>
                <w:color w:val="000000"/>
                <w:sz w:val="20"/>
                <w:szCs w:val="20"/>
                <w:highlight w:val="none"/>
                <w:lang w:eastAsia="zh-CN"/>
              </w:rPr>
              <w:t>林业和草原</w:t>
            </w:r>
          </w:p>
        </w:tc>
        <w:tc>
          <w:tcPr>
            <w:tcW w:w="1684"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151.93</w:t>
            </w:r>
          </w:p>
        </w:tc>
        <w:tc>
          <w:tcPr>
            <w:tcW w:w="1842"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lang w:eastAsia="zh-CN"/>
              </w:rPr>
            </w:pPr>
            <w:r>
              <w:rPr>
                <w:rFonts w:hint="eastAsia" w:ascii="仿宋_GB2312" w:eastAsia="仿宋_GB2312"/>
                <w:color w:val="000000"/>
                <w:sz w:val="20"/>
                <w:szCs w:val="20"/>
                <w:highlight w:val="none"/>
                <w:lang w:val="en-US" w:eastAsia="zh-CN"/>
              </w:rPr>
              <w:t>145.93</w:t>
            </w:r>
          </w:p>
        </w:tc>
        <w:tc>
          <w:tcPr>
            <w:tcW w:w="1701"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6</w:t>
            </w:r>
            <w:r>
              <w:rPr>
                <w:rFonts w:hint="default" w:ascii="仿宋_GB2312" w:eastAsia="仿宋_GB2312"/>
                <w:color w:val="000000"/>
                <w:sz w:val="20"/>
                <w:szCs w:val="20"/>
                <w:highlight w:val="none"/>
                <w:lang w:val="en-US" w:eastAsia="zh-CN"/>
              </w:rPr>
              <w:t>.00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ascii="宋体" w:hAnsi="宋体" w:cs="宋体"/>
                <w:color w:val="000000"/>
                <w:kern w:val="0"/>
                <w:sz w:val="20"/>
                <w:szCs w:val="20"/>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492"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0</w:t>
            </w:r>
          </w:p>
          <w:p>
            <w:pPr>
              <w:jc w:val="right"/>
              <w:rPr>
                <w:rFonts w:ascii="宋体" w:hAnsi="宋体" w:cs="宋体"/>
                <w:color w:val="000000"/>
                <w:kern w:val="0"/>
                <w:sz w:val="20"/>
                <w:szCs w:val="20"/>
              </w:rPr>
            </w:pPr>
            <w:r>
              <w:rPr>
                <w:rFonts w:hint="eastAsia" w:ascii="仿宋_GB2312" w:eastAsia="仿宋_GB2312"/>
                <w:color w:val="000000"/>
                <w:sz w:val="20"/>
                <w:szCs w:val="20"/>
                <w:highlight w:val="none"/>
                <w:lang w:val="en-US" w:eastAsia="zh-CN"/>
              </w:rPr>
              <w:t>2</w:t>
            </w:r>
            <w:r>
              <w:rPr>
                <w:rFonts w:hint="eastAsia" w:ascii="仿宋_GB2312" w:eastAsia="仿宋_GB2312"/>
                <w:color w:val="000000"/>
                <w:sz w:val="20"/>
                <w:szCs w:val="20"/>
                <w:highlight w:val="none"/>
              </w:rPr>
              <w:t>　</w:t>
            </w:r>
          </w:p>
        </w:tc>
        <w:tc>
          <w:tcPr>
            <w:tcW w:w="47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ascii="宋体" w:hAnsi="宋体" w:cs="宋体"/>
                <w:color w:val="000000"/>
                <w:kern w:val="0"/>
                <w:sz w:val="20"/>
                <w:szCs w:val="20"/>
              </w:rPr>
            </w:pPr>
            <w:r>
              <w:rPr>
                <w:rFonts w:hint="eastAsia" w:ascii="仿宋_GB2312" w:eastAsia="仿宋_GB2312"/>
                <w:color w:val="000000"/>
                <w:sz w:val="20"/>
                <w:szCs w:val="20"/>
                <w:highlight w:val="none"/>
                <w:lang w:val="en-US" w:eastAsia="zh-CN"/>
              </w:rPr>
              <w:t>2</w:t>
            </w:r>
            <w:r>
              <w:rPr>
                <w:rFonts w:hint="eastAsia" w:ascii="仿宋_GB2312" w:eastAsia="仿宋_GB2312"/>
                <w:color w:val="000000"/>
                <w:sz w:val="20"/>
                <w:szCs w:val="20"/>
                <w:highlight w:val="none"/>
              </w:rPr>
              <w:t>　</w:t>
            </w:r>
          </w:p>
        </w:tc>
        <w:tc>
          <w:tcPr>
            <w:tcW w:w="24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highlight w:val="none"/>
                <w:lang w:eastAsia="zh-CN"/>
              </w:rPr>
              <w:t>湿地保护</w:t>
            </w:r>
          </w:p>
        </w:tc>
        <w:tc>
          <w:tcPr>
            <w:tcW w:w="168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145.93</w:t>
            </w:r>
          </w:p>
        </w:tc>
        <w:tc>
          <w:tcPr>
            <w:tcW w:w="184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145.93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ascii="宋体" w:hAnsi="宋体" w:cs="宋体"/>
                <w:color w:val="000000"/>
                <w:kern w:val="0"/>
                <w:sz w:val="20"/>
                <w:szCs w:val="20"/>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492"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0</w:t>
            </w:r>
          </w:p>
          <w:p>
            <w:pPr>
              <w:jc w:val="right"/>
              <w:rPr>
                <w:rFonts w:ascii="宋体" w:hAnsi="宋体" w:cs="宋体"/>
                <w:color w:val="000000"/>
                <w:kern w:val="0"/>
                <w:sz w:val="20"/>
                <w:szCs w:val="20"/>
              </w:rPr>
            </w:pPr>
            <w:r>
              <w:rPr>
                <w:rFonts w:hint="eastAsia" w:ascii="仿宋_GB2312" w:eastAsia="仿宋_GB2312"/>
                <w:color w:val="000000"/>
                <w:sz w:val="20"/>
                <w:szCs w:val="20"/>
                <w:highlight w:val="none"/>
                <w:lang w:val="en-US" w:eastAsia="zh-CN"/>
              </w:rPr>
              <w:t>2</w:t>
            </w:r>
            <w:r>
              <w:rPr>
                <w:rFonts w:hint="eastAsia" w:ascii="仿宋_GB2312" w:eastAsia="仿宋_GB2312"/>
                <w:color w:val="000000"/>
                <w:sz w:val="20"/>
                <w:szCs w:val="20"/>
                <w:highlight w:val="none"/>
              </w:rPr>
              <w:t>　</w:t>
            </w:r>
          </w:p>
        </w:tc>
        <w:tc>
          <w:tcPr>
            <w:tcW w:w="47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9</w:t>
            </w:r>
          </w:p>
          <w:p>
            <w:pPr>
              <w:jc w:val="right"/>
              <w:rPr>
                <w:rFonts w:ascii="宋体" w:hAnsi="宋体" w:cs="宋体"/>
                <w:color w:val="000000"/>
                <w:kern w:val="0"/>
                <w:sz w:val="20"/>
                <w:szCs w:val="20"/>
              </w:rPr>
            </w:pPr>
            <w:r>
              <w:rPr>
                <w:rFonts w:hint="eastAsia" w:ascii="仿宋_GB2312" w:eastAsia="仿宋_GB2312"/>
                <w:color w:val="000000"/>
                <w:sz w:val="20"/>
                <w:szCs w:val="20"/>
                <w:highlight w:val="none"/>
                <w:lang w:val="en-US" w:eastAsia="zh-CN"/>
              </w:rPr>
              <w:t>9</w:t>
            </w:r>
            <w:r>
              <w:rPr>
                <w:rFonts w:hint="eastAsia" w:ascii="仿宋_GB2312" w:eastAsia="仿宋_GB2312"/>
                <w:color w:val="000000"/>
                <w:sz w:val="20"/>
                <w:szCs w:val="20"/>
                <w:highlight w:val="none"/>
              </w:rPr>
              <w:t>　</w:t>
            </w:r>
          </w:p>
        </w:tc>
        <w:tc>
          <w:tcPr>
            <w:tcW w:w="245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highlight w:val="none"/>
                <w:lang w:eastAsia="zh-CN"/>
              </w:rPr>
              <w:t>其他林业和草原支出</w:t>
            </w:r>
          </w:p>
        </w:tc>
        <w:tc>
          <w:tcPr>
            <w:tcW w:w="1684"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6.00</w:t>
            </w:r>
          </w:p>
        </w:tc>
        <w:tc>
          <w:tcPr>
            <w:tcW w:w="18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highlight w:val="none"/>
              </w:rPr>
              <w:t>　</w:t>
            </w:r>
          </w:p>
        </w:tc>
        <w:tc>
          <w:tcPr>
            <w:tcW w:w="49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highlight w:val="none"/>
              </w:rPr>
              <w:t>　</w:t>
            </w:r>
          </w:p>
        </w:tc>
        <w:tc>
          <w:tcPr>
            <w:tcW w:w="475"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highlight w:val="none"/>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highlight w:val="none"/>
              </w:rPr>
              <w:t>　</w:t>
            </w:r>
          </w:p>
        </w:tc>
        <w:tc>
          <w:tcPr>
            <w:tcW w:w="49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highlight w:val="none"/>
              </w:rPr>
              <w:t>　</w:t>
            </w:r>
          </w:p>
        </w:tc>
        <w:tc>
          <w:tcPr>
            <w:tcW w:w="47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highlight w:val="none"/>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45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151.93</w:t>
            </w:r>
          </w:p>
        </w:tc>
        <w:tc>
          <w:tcPr>
            <w:tcW w:w="184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145.93</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w:t>
            </w:r>
            <w:r>
              <w:rPr>
                <w:rFonts w:hint="default" w:ascii="宋体" w:hAnsi="宋体" w:cs="宋体"/>
                <w:color w:val="000000"/>
                <w:kern w:val="0"/>
                <w:sz w:val="20"/>
                <w:szCs w:val="20"/>
                <w:lang w:val="en-US" w:eastAsia="zh-CN"/>
              </w:rPr>
              <w:t>.00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新疆帕米尔高原湿地自然保护区管理站</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lang w:eastAsia="zh-CN"/>
              </w:rPr>
              <w:t>基本工资</w:t>
            </w:r>
          </w:p>
        </w:tc>
        <w:tc>
          <w:tcPr>
            <w:tcW w:w="1701" w:type="dxa"/>
            <w:tcBorders>
              <w:top w:val="nil"/>
              <w:left w:val="nil"/>
              <w:bottom w:val="single" w:color="auto" w:sz="4" w:space="0"/>
              <w:right w:val="single" w:color="auto" w:sz="4" w:space="0"/>
            </w:tcBorders>
            <w:vAlign w:val="center"/>
          </w:tcPr>
          <w:p>
            <w:pPr>
              <w:widowControl/>
              <w:ind w:firstLine="200" w:firstLineChars="10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33.19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33.19</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lang w:eastAsia="zh-CN"/>
              </w:rPr>
              <w:t>退休费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lang w:eastAsia="zh-CN"/>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15.07</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15.07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办公费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福利费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公务用车运行维护费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取暖费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0.95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0.95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其他社会保险缴费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8.10</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8.10</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工会经费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津贴补贴</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67.38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67.38</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奖金</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2.77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2.77</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水费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邮电费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差旅费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rPr>
              <w:t>　</w:t>
            </w:r>
            <w:r>
              <w:rPr>
                <w:rFonts w:hint="eastAsia" w:ascii="仿宋_GB2312" w:hAnsi="宋体" w:eastAsia="仿宋_GB2312" w:cs="宋体"/>
                <w:b w:val="0"/>
                <w:bCs w:val="0"/>
                <w:color w:val="000000"/>
                <w:kern w:val="0"/>
                <w:szCs w:val="21"/>
                <w:lang w:eastAsia="zh-CN"/>
              </w:rPr>
              <w:t>奖励金</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0.01</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0.01</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lang w:eastAsia="zh-CN"/>
              </w:rPr>
              <w:t>住房公积金</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10.97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10.97</w:t>
            </w:r>
          </w:p>
          <w:p>
            <w:pPr>
              <w:widowControl/>
              <w:jc w:val="center"/>
              <w:rPr>
                <w:rFonts w:hint="default"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lang w:eastAsia="zh-CN"/>
              </w:rPr>
            </w:pPr>
            <w:r>
              <w:rPr>
                <w:rFonts w:hint="eastAsia" w:ascii="仿宋_GB2312" w:hAnsi="宋体" w:eastAsia="仿宋_GB2312" w:cs="宋体"/>
                <w:b w:val="0"/>
                <w:bCs w:val="0"/>
                <w:color w:val="000000"/>
                <w:kern w:val="0"/>
                <w:szCs w:val="21"/>
                <w:lang w:eastAsia="zh-CN"/>
              </w:rPr>
              <w:t>电费</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9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145.93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139.37</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6.56</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860"/>
        <w:gridCol w:w="459"/>
        <w:gridCol w:w="733"/>
        <w:gridCol w:w="455"/>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新疆帕米尔高原湿地自然保护区管理站</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86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5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3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6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3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ascii="仿宋_GB2312" w:hAnsi="宋体" w:eastAsia="仿宋_GB2312"/>
                <w:kern w:val="0"/>
                <w:sz w:val="22"/>
                <w:szCs w:val="22"/>
                <w:highlight w:val="yellow"/>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397" w:type="dxa"/>
            <w:vAlign w:val="center"/>
          </w:tcPr>
          <w:p>
            <w:pPr>
              <w:jc w:val="right"/>
              <w:rPr>
                <w:rFonts w:ascii="仿宋_GB2312" w:hAnsi="宋体" w:eastAsia="仿宋_GB2312"/>
                <w:kern w:val="0"/>
                <w:sz w:val="22"/>
                <w:szCs w:val="22"/>
                <w:highlight w:val="yellow"/>
              </w:rPr>
            </w:pPr>
            <w:r>
              <w:rPr>
                <w:rFonts w:hint="eastAsia" w:ascii="仿宋_GB2312" w:eastAsia="仿宋_GB2312"/>
                <w:color w:val="000000"/>
                <w:sz w:val="20"/>
                <w:szCs w:val="20"/>
                <w:highlight w:val="none"/>
              </w:rPr>
              <w:t>　</w:t>
            </w:r>
          </w:p>
        </w:tc>
        <w:tc>
          <w:tcPr>
            <w:tcW w:w="397" w:type="dxa"/>
            <w:vAlign w:val="center"/>
          </w:tcPr>
          <w:p>
            <w:pPr>
              <w:jc w:val="right"/>
              <w:rPr>
                <w:rFonts w:ascii="仿宋_GB2312" w:hAnsi="宋体" w:eastAsia="仿宋_GB2312"/>
                <w:kern w:val="0"/>
                <w:sz w:val="22"/>
                <w:szCs w:val="22"/>
                <w:highlight w:val="yellow"/>
              </w:rPr>
            </w:pPr>
            <w:r>
              <w:rPr>
                <w:rFonts w:hint="eastAsia" w:ascii="仿宋_GB2312" w:eastAsia="仿宋_GB2312"/>
                <w:color w:val="000000"/>
                <w:sz w:val="20"/>
                <w:szCs w:val="20"/>
                <w:highlight w:val="none"/>
              </w:rPr>
              <w:t>　</w:t>
            </w:r>
          </w:p>
        </w:tc>
        <w:tc>
          <w:tcPr>
            <w:tcW w:w="851" w:type="dxa"/>
            <w:vAlign w:val="center"/>
          </w:tcPr>
          <w:p>
            <w:pPr>
              <w:jc w:val="center"/>
              <w:rPr>
                <w:rFonts w:hint="eastAsia" w:ascii="仿宋_GB2312" w:hAnsi="宋体" w:eastAsia="仿宋_GB2312"/>
                <w:kern w:val="0"/>
                <w:sz w:val="22"/>
                <w:szCs w:val="22"/>
                <w:highlight w:val="yellow"/>
                <w:lang w:eastAsia="zh-CN"/>
              </w:rPr>
            </w:pPr>
            <w:r>
              <w:rPr>
                <w:rFonts w:hint="eastAsia" w:ascii="仿宋_GB2312" w:eastAsia="仿宋_GB2312"/>
                <w:color w:val="000000"/>
                <w:sz w:val="20"/>
                <w:szCs w:val="20"/>
                <w:highlight w:val="none"/>
                <w:lang w:eastAsia="zh-CN"/>
              </w:rPr>
              <w:t>农林水</w:t>
            </w:r>
          </w:p>
        </w:tc>
        <w:tc>
          <w:tcPr>
            <w:tcW w:w="1456" w:type="dxa"/>
          </w:tcPr>
          <w:p>
            <w:pPr>
              <w:widowControl/>
              <w:jc w:val="center"/>
              <w:outlineLvl w:val="1"/>
              <w:rPr>
                <w:rFonts w:hint="eastAsia" w:ascii="仿宋_GB2312" w:hAnsi="宋体" w:eastAsia="仿宋_GB2312"/>
                <w:kern w:val="0"/>
                <w:sz w:val="22"/>
                <w:szCs w:val="22"/>
                <w:highlight w:val="yellow"/>
                <w:lang w:eastAsia="zh-CN"/>
              </w:rPr>
            </w:pPr>
          </w:p>
          <w:p>
            <w:pPr>
              <w:widowControl/>
              <w:jc w:val="center"/>
              <w:outlineLvl w:val="1"/>
              <w:rPr>
                <w:rFonts w:ascii="仿宋_GB2312" w:hAnsi="宋体" w:eastAsia="仿宋_GB2312"/>
                <w:kern w:val="0"/>
                <w:sz w:val="22"/>
                <w:szCs w:val="22"/>
                <w:highlight w:val="yellow"/>
              </w:rPr>
            </w:pPr>
          </w:p>
        </w:tc>
        <w:tc>
          <w:tcPr>
            <w:tcW w:w="860" w:type="dxa"/>
          </w:tcPr>
          <w:p>
            <w:pPr>
              <w:widowControl/>
              <w:jc w:val="center"/>
              <w:outlineLvl w:val="1"/>
              <w:rPr>
                <w:rFonts w:hint="eastAsia" w:ascii="仿宋_GB2312" w:hAnsi="宋体" w:eastAsia="仿宋_GB2312"/>
                <w:kern w:val="0"/>
                <w:sz w:val="22"/>
                <w:szCs w:val="22"/>
                <w:highlight w:val="none"/>
                <w:lang w:val="en-US" w:eastAsia="zh-CN"/>
              </w:rPr>
            </w:pPr>
          </w:p>
          <w:p>
            <w:pPr>
              <w:widowControl/>
              <w:jc w:val="center"/>
              <w:outlineLvl w:val="1"/>
              <w:rPr>
                <w:rFonts w:hint="default"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6.00</w:t>
            </w:r>
          </w:p>
        </w:tc>
        <w:tc>
          <w:tcPr>
            <w:tcW w:w="459" w:type="dxa"/>
          </w:tcPr>
          <w:p>
            <w:pPr>
              <w:widowControl/>
              <w:jc w:val="center"/>
              <w:outlineLvl w:val="1"/>
              <w:rPr>
                <w:rFonts w:ascii="仿宋_GB2312" w:hAnsi="宋体" w:eastAsia="仿宋_GB2312"/>
                <w:kern w:val="0"/>
                <w:sz w:val="22"/>
                <w:szCs w:val="22"/>
                <w:highlight w:val="none"/>
              </w:rPr>
            </w:pPr>
          </w:p>
        </w:tc>
        <w:tc>
          <w:tcPr>
            <w:tcW w:w="733" w:type="dxa"/>
          </w:tcPr>
          <w:p>
            <w:pPr>
              <w:widowControl/>
              <w:jc w:val="center"/>
              <w:outlineLvl w:val="1"/>
              <w:rPr>
                <w:rFonts w:hint="eastAsia" w:ascii="仿宋_GB2312" w:hAnsi="宋体" w:eastAsia="仿宋_GB2312"/>
                <w:kern w:val="0"/>
                <w:sz w:val="22"/>
                <w:szCs w:val="22"/>
                <w:highlight w:val="none"/>
                <w:lang w:val="en-US" w:eastAsia="zh-CN"/>
              </w:rPr>
            </w:pPr>
          </w:p>
          <w:p>
            <w:pPr>
              <w:widowControl/>
              <w:jc w:val="center"/>
              <w:outlineLvl w:val="1"/>
              <w:rPr>
                <w:rFonts w:hint="default"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6.00</w:t>
            </w:r>
          </w:p>
        </w:tc>
        <w:tc>
          <w:tcPr>
            <w:tcW w:w="455" w:type="dxa"/>
          </w:tcPr>
          <w:p>
            <w:pPr>
              <w:widowControl/>
              <w:jc w:val="center"/>
              <w:outlineLvl w:val="1"/>
              <w:rPr>
                <w:rFonts w:ascii="仿宋_GB2312" w:hAnsi="宋体" w:eastAsia="仿宋_GB2312"/>
                <w:kern w:val="0"/>
                <w:sz w:val="22"/>
                <w:szCs w:val="22"/>
                <w:highlight w:val="none"/>
              </w:rPr>
            </w:pP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ascii="仿宋_GB2312" w:hAnsi="宋体" w:eastAsia="仿宋_GB2312"/>
                <w:kern w:val="0"/>
                <w:sz w:val="32"/>
                <w:szCs w:val="32"/>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397" w:type="dxa"/>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0</w:t>
            </w:r>
          </w:p>
          <w:p>
            <w:pPr>
              <w:jc w:val="right"/>
              <w:rPr>
                <w:rFonts w:ascii="仿宋_GB2312" w:hAnsi="宋体" w:eastAsia="仿宋_GB2312"/>
                <w:kern w:val="0"/>
                <w:sz w:val="32"/>
                <w:szCs w:val="32"/>
              </w:rPr>
            </w:pPr>
            <w:r>
              <w:rPr>
                <w:rFonts w:hint="eastAsia" w:ascii="仿宋_GB2312" w:eastAsia="仿宋_GB2312"/>
                <w:color w:val="000000"/>
                <w:sz w:val="20"/>
                <w:szCs w:val="20"/>
                <w:highlight w:val="none"/>
                <w:lang w:val="en-US" w:eastAsia="zh-CN"/>
              </w:rPr>
              <w:t>2</w:t>
            </w:r>
            <w:r>
              <w:rPr>
                <w:rFonts w:hint="eastAsia" w:ascii="仿宋_GB2312" w:eastAsia="仿宋_GB2312"/>
                <w:color w:val="000000"/>
                <w:sz w:val="20"/>
                <w:szCs w:val="20"/>
                <w:highlight w:val="none"/>
              </w:rPr>
              <w:t>　</w:t>
            </w:r>
          </w:p>
        </w:tc>
        <w:tc>
          <w:tcPr>
            <w:tcW w:w="397"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highlight w:val="none"/>
              </w:rPr>
              <w:t>　</w:t>
            </w:r>
          </w:p>
        </w:tc>
        <w:tc>
          <w:tcPr>
            <w:tcW w:w="851"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highlight w:val="none"/>
                <w:lang w:eastAsia="zh-CN"/>
              </w:rPr>
              <w:t>林业和草原</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center"/>
              <w:outlineLvl w:val="1"/>
              <w:rPr>
                <w:rFonts w:hint="default"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6.00</w:t>
            </w:r>
          </w:p>
        </w:tc>
        <w:tc>
          <w:tcPr>
            <w:tcW w:w="459" w:type="dxa"/>
          </w:tcPr>
          <w:p>
            <w:pPr>
              <w:widowControl/>
              <w:jc w:val="center"/>
              <w:outlineLvl w:val="1"/>
              <w:rPr>
                <w:rFonts w:hint="eastAsia"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w:t>
            </w:r>
          </w:p>
        </w:tc>
        <w:tc>
          <w:tcPr>
            <w:tcW w:w="733" w:type="dxa"/>
          </w:tcPr>
          <w:p>
            <w:pPr>
              <w:widowControl/>
              <w:jc w:val="center"/>
              <w:outlineLvl w:val="1"/>
              <w:rPr>
                <w:rFonts w:hint="default"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6.00</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2</w:t>
            </w:r>
          </w:p>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1</w:t>
            </w:r>
          </w:p>
          <w:p>
            <w:pPr>
              <w:jc w:val="right"/>
              <w:rPr>
                <w:rFonts w:ascii="仿宋_GB2312" w:hAnsi="宋体" w:eastAsia="仿宋_GB2312"/>
                <w:kern w:val="0"/>
                <w:sz w:val="32"/>
                <w:szCs w:val="32"/>
              </w:rPr>
            </w:pPr>
            <w:r>
              <w:rPr>
                <w:rFonts w:hint="eastAsia" w:ascii="仿宋_GB2312" w:eastAsia="仿宋_GB2312"/>
                <w:color w:val="000000"/>
                <w:sz w:val="20"/>
                <w:szCs w:val="20"/>
                <w:highlight w:val="none"/>
                <w:lang w:val="en-US" w:eastAsia="zh-CN"/>
              </w:rPr>
              <w:t>3</w:t>
            </w:r>
            <w:r>
              <w:rPr>
                <w:rFonts w:hint="eastAsia" w:ascii="仿宋_GB2312" w:eastAsia="仿宋_GB2312"/>
                <w:color w:val="000000"/>
                <w:sz w:val="20"/>
                <w:szCs w:val="20"/>
                <w:highlight w:val="none"/>
              </w:rPr>
              <w:t>　</w:t>
            </w:r>
          </w:p>
        </w:tc>
        <w:tc>
          <w:tcPr>
            <w:tcW w:w="397" w:type="dxa"/>
            <w:vAlign w:val="center"/>
          </w:tcPr>
          <w:p>
            <w:pPr>
              <w:jc w:val="right"/>
              <w:rPr>
                <w:rFonts w:hint="eastAsia" w:ascii="仿宋_GB2312" w:eastAsia="仿宋_GB2312"/>
                <w:color w:val="000000"/>
                <w:sz w:val="20"/>
                <w:szCs w:val="20"/>
                <w:highlight w:val="none"/>
                <w:lang w:val="en-US" w:eastAsia="zh-CN"/>
              </w:rPr>
            </w:pPr>
            <w:r>
              <w:rPr>
                <w:rFonts w:hint="eastAsia" w:ascii="仿宋_GB2312" w:eastAsia="仿宋_GB2312"/>
                <w:color w:val="000000"/>
                <w:sz w:val="20"/>
                <w:szCs w:val="20"/>
                <w:highlight w:val="none"/>
                <w:lang w:val="en-US" w:eastAsia="zh-CN"/>
              </w:rPr>
              <w:t>0</w:t>
            </w:r>
          </w:p>
          <w:p>
            <w:pPr>
              <w:jc w:val="right"/>
              <w:rPr>
                <w:rFonts w:ascii="仿宋_GB2312" w:hAnsi="宋体" w:eastAsia="仿宋_GB2312"/>
                <w:kern w:val="0"/>
                <w:sz w:val="32"/>
                <w:szCs w:val="32"/>
              </w:rPr>
            </w:pPr>
            <w:r>
              <w:rPr>
                <w:rFonts w:hint="eastAsia" w:ascii="仿宋_GB2312" w:eastAsia="仿宋_GB2312"/>
                <w:color w:val="000000"/>
                <w:sz w:val="20"/>
                <w:szCs w:val="20"/>
                <w:highlight w:val="none"/>
                <w:lang w:val="en-US" w:eastAsia="zh-CN"/>
              </w:rPr>
              <w:t>2</w:t>
            </w:r>
            <w:r>
              <w:rPr>
                <w:rFonts w:hint="eastAsia" w:ascii="仿宋_GB2312" w:eastAsia="仿宋_GB2312"/>
                <w:color w:val="000000"/>
                <w:sz w:val="20"/>
                <w:szCs w:val="20"/>
                <w:highlight w:val="none"/>
              </w:rPr>
              <w:t>　</w:t>
            </w:r>
          </w:p>
        </w:tc>
        <w:tc>
          <w:tcPr>
            <w:tcW w:w="397" w:type="dxa"/>
            <w:vAlign w:val="center"/>
          </w:tcPr>
          <w:p>
            <w:pPr>
              <w:jc w:val="right"/>
              <w:rPr>
                <w:rFonts w:ascii="仿宋_GB2312" w:hAnsi="宋体" w:eastAsia="仿宋_GB2312"/>
                <w:kern w:val="0"/>
                <w:sz w:val="32"/>
                <w:szCs w:val="32"/>
              </w:rPr>
            </w:pPr>
            <w:r>
              <w:rPr>
                <w:rFonts w:hint="eastAsia" w:ascii="仿宋_GB2312" w:eastAsia="仿宋_GB2312"/>
                <w:color w:val="000000"/>
                <w:sz w:val="20"/>
                <w:szCs w:val="20"/>
                <w:highlight w:val="none"/>
                <w:lang w:val="en-US" w:eastAsia="zh-CN"/>
              </w:rPr>
              <w:t>99</w:t>
            </w:r>
            <w:r>
              <w:rPr>
                <w:rFonts w:hint="eastAsia" w:ascii="仿宋_GB2312" w:eastAsia="仿宋_GB2312"/>
                <w:color w:val="000000"/>
                <w:sz w:val="20"/>
                <w:szCs w:val="20"/>
                <w:highlight w:val="none"/>
              </w:rPr>
              <w:t>　</w:t>
            </w:r>
          </w:p>
        </w:tc>
        <w:tc>
          <w:tcPr>
            <w:tcW w:w="851"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highlight w:val="none"/>
                <w:lang w:eastAsia="zh-CN"/>
              </w:rPr>
              <w:t>其他林业和草原支出</w:t>
            </w:r>
          </w:p>
        </w:tc>
        <w:tc>
          <w:tcPr>
            <w:tcW w:w="1456" w:type="dxa"/>
          </w:tcPr>
          <w:p>
            <w:pPr>
              <w:widowControl/>
              <w:jc w:val="center"/>
              <w:outlineLvl w:val="1"/>
              <w:rPr>
                <w:rFonts w:ascii="仿宋_GB2312" w:hAnsi="宋体" w:eastAsia="仿宋_GB2312"/>
                <w:kern w:val="0"/>
                <w:sz w:val="32"/>
                <w:szCs w:val="32"/>
              </w:rPr>
            </w:pPr>
            <w:r>
              <w:rPr>
                <w:rFonts w:hint="eastAsia" w:ascii="仿宋_GB2312" w:hAnsi="宋体" w:eastAsia="仿宋_GB2312" w:cs="宋体"/>
                <w:color w:val="000000"/>
                <w:sz w:val="20"/>
                <w:szCs w:val="20"/>
                <w:highlight w:val="none"/>
                <w:lang w:eastAsia="zh-CN"/>
              </w:rPr>
              <w:t>湿地保护与宣传项目</w:t>
            </w:r>
          </w:p>
        </w:tc>
        <w:tc>
          <w:tcPr>
            <w:tcW w:w="860" w:type="dxa"/>
          </w:tcPr>
          <w:p>
            <w:pPr>
              <w:widowControl/>
              <w:jc w:val="center"/>
              <w:outlineLvl w:val="1"/>
              <w:rPr>
                <w:rFonts w:hint="default"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6.00</w:t>
            </w:r>
          </w:p>
        </w:tc>
        <w:tc>
          <w:tcPr>
            <w:tcW w:w="459" w:type="dxa"/>
          </w:tcPr>
          <w:p>
            <w:pPr>
              <w:widowControl/>
              <w:jc w:val="center"/>
              <w:outlineLvl w:val="1"/>
              <w:rPr>
                <w:rFonts w:hint="eastAsia"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w:t>
            </w:r>
          </w:p>
        </w:tc>
        <w:tc>
          <w:tcPr>
            <w:tcW w:w="733" w:type="dxa"/>
          </w:tcPr>
          <w:p>
            <w:pPr>
              <w:widowControl/>
              <w:jc w:val="center"/>
              <w:outlineLvl w:val="1"/>
              <w:rPr>
                <w:rFonts w:hint="eastAsia" w:ascii="仿宋_GB2312" w:hAnsi="宋体" w:eastAsia="仿宋_GB2312"/>
                <w:kern w:val="0"/>
                <w:sz w:val="22"/>
                <w:szCs w:val="22"/>
                <w:highlight w:val="none"/>
                <w:lang w:val="en-US" w:eastAsia="zh-CN"/>
              </w:rPr>
            </w:pPr>
          </w:p>
          <w:p>
            <w:pPr>
              <w:widowControl/>
              <w:jc w:val="center"/>
              <w:outlineLvl w:val="1"/>
              <w:rPr>
                <w:rFonts w:hint="eastAsia"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6.00　</w:t>
            </w:r>
          </w:p>
        </w:tc>
        <w:tc>
          <w:tcPr>
            <w:tcW w:w="455" w:type="dxa"/>
          </w:tcPr>
          <w:p>
            <w:pPr>
              <w:widowControl/>
              <w:jc w:val="center"/>
              <w:outlineLvl w:val="1"/>
              <w:rPr>
                <w:rFonts w:hint="eastAsia"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w:t>
            </w:r>
          </w:p>
        </w:tc>
        <w:tc>
          <w:tcPr>
            <w:tcW w:w="652" w:type="dxa"/>
          </w:tcPr>
          <w:p>
            <w:pPr>
              <w:widowControl/>
              <w:jc w:val="center"/>
              <w:outlineLvl w:val="1"/>
              <w:rPr>
                <w:rFonts w:hint="eastAsia"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w:t>
            </w:r>
          </w:p>
        </w:tc>
        <w:tc>
          <w:tcPr>
            <w:tcW w:w="578" w:type="dxa"/>
            <w:gridSpan w:val="2"/>
          </w:tcPr>
          <w:p>
            <w:pPr>
              <w:widowControl/>
              <w:jc w:val="center"/>
              <w:outlineLvl w:val="1"/>
              <w:rPr>
                <w:rFonts w:hint="eastAsia" w:ascii="仿宋_GB2312" w:hAnsi="宋体" w:eastAsia="仿宋_GB2312"/>
                <w:kern w:val="0"/>
                <w:sz w:val="22"/>
                <w:szCs w:val="22"/>
                <w:highlight w:val="none"/>
                <w:lang w:val="en-US" w:eastAsia="zh-CN"/>
              </w:rPr>
            </w:pPr>
            <w:r>
              <w:rPr>
                <w:rFonts w:hint="eastAsia" w:ascii="仿宋_GB2312" w:hAnsi="宋体" w:eastAsia="仿宋_GB2312"/>
                <w:kern w:val="0"/>
                <w:sz w:val="22"/>
                <w:szCs w:val="22"/>
                <w:highlight w:val="none"/>
                <w:lang w:val="en-US" w:eastAsia="zh-CN"/>
              </w:rPr>
              <w:t>　</w:t>
            </w:r>
          </w:p>
        </w:tc>
        <w:tc>
          <w:tcPr>
            <w:tcW w:w="419" w:type="dxa"/>
          </w:tcPr>
          <w:p>
            <w:pPr>
              <w:widowControl/>
              <w:jc w:val="center"/>
              <w:outlineLvl w:val="1"/>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　</w:t>
            </w:r>
          </w:p>
        </w:tc>
        <w:tc>
          <w:tcPr>
            <w:tcW w:w="578" w:type="dxa"/>
          </w:tcPr>
          <w:p>
            <w:pPr>
              <w:widowControl/>
              <w:jc w:val="center"/>
              <w:outlineLvl w:val="1"/>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　</w:t>
            </w:r>
          </w:p>
        </w:tc>
        <w:tc>
          <w:tcPr>
            <w:tcW w:w="420" w:type="dxa"/>
          </w:tcPr>
          <w:p>
            <w:pPr>
              <w:widowControl/>
              <w:jc w:val="center"/>
              <w:outlineLvl w:val="1"/>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　</w:t>
            </w:r>
          </w:p>
        </w:tc>
        <w:tc>
          <w:tcPr>
            <w:tcW w:w="420" w:type="dxa"/>
          </w:tcPr>
          <w:p>
            <w:pPr>
              <w:widowControl/>
              <w:jc w:val="center"/>
              <w:outlineLvl w:val="1"/>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　</w:t>
            </w:r>
          </w:p>
        </w:tc>
        <w:tc>
          <w:tcPr>
            <w:tcW w:w="468" w:type="dxa"/>
            <w:gridSpan w:val="2"/>
          </w:tcPr>
          <w:p>
            <w:pPr>
              <w:widowControl/>
              <w:jc w:val="center"/>
              <w:outlineLvl w:val="1"/>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860" w:type="dxa"/>
            <w:vAlign w:val="top"/>
          </w:tcPr>
          <w:p>
            <w:pPr>
              <w:widowControl/>
              <w:jc w:val="center"/>
              <w:outlineLvl w:val="1"/>
              <w:rPr>
                <w:rFonts w:hint="eastAsia" w:ascii="仿宋_GB2312" w:hAnsi="宋体" w:eastAsia="仿宋_GB2312"/>
                <w:kern w:val="0"/>
                <w:sz w:val="22"/>
                <w:szCs w:val="22"/>
                <w:lang w:val="en-US" w:eastAsia="zh-CN"/>
              </w:rPr>
            </w:pPr>
          </w:p>
          <w:p>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 w:val="22"/>
                <w:szCs w:val="22"/>
                <w:lang w:val="en-US" w:eastAsia="zh-CN"/>
              </w:rPr>
              <w:t>6.00</w:t>
            </w:r>
          </w:p>
        </w:tc>
        <w:tc>
          <w:tcPr>
            <w:tcW w:w="459" w:type="dxa"/>
            <w:vAlign w:val="top"/>
          </w:tcPr>
          <w:p>
            <w:pPr>
              <w:widowControl/>
              <w:jc w:val="center"/>
              <w:outlineLvl w:val="1"/>
              <w:rPr>
                <w:rFonts w:ascii="仿宋_GB2312" w:hAnsi="宋体" w:eastAsia="仿宋_GB2312"/>
                <w:kern w:val="0"/>
                <w:sz w:val="32"/>
                <w:szCs w:val="32"/>
              </w:rPr>
            </w:pPr>
          </w:p>
        </w:tc>
        <w:tc>
          <w:tcPr>
            <w:tcW w:w="733" w:type="dxa"/>
            <w:vAlign w:val="top"/>
          </w:tcPr>
          <w:p>
            <w:pPr>
              <w:widowControl/>
              <w:jc w:val="center"/>
              <w:outlineLvl w:val="1"/>
              <w:rPr>
                <w:rFonts w:hint="eastAsia" w:ascii="仿宋_GB2312" w:hAnsi="宋体" w:eastAsia="仿宋_GB2312"/>
                <w:kern w:val="0"/>
                <w:sz w:val="22"/>
                <w:szCs w:val="22"/>
                <w:lang w:val="en-US" w:eastAsia="zh-CN"/>
              </w:rPr>
            </w:pPr>
          </w:p>
          <w:p>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 w:val="22"/>
                <w:szCs w:val="22"/>
                <w:lang w:val="en-US" w:eastAsia="zh-CN"/>
              </w:rPr>
              <w:t>6.00</w:t>
            </w:r>
          </w:p>
        </w:tc>
        <w:tc>
          <w:tcPr>
            <w:tcW w:w="455"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新疆帕米尔高原湿地自然保护区管理站</w:t>
      </w:r>
      <w:r>
        <w:rPr>
          <w:rFonts w:hint="eastAsia" w:ascii="仿宋_GB2312" w:hAnsi="宋体" w:eastAsia="仿宋_GB2312"/>
          <w:kern w:val="0"/>
          <w:sz w:val="24"/>
        </w:rPr>
        <w:t xml:space="preserve">            单位：万元</w:t>
      </w:r>
    </w:p>
    <w:tbl>
      <w:tblPr>
        <w:tblStyle w:val="5"/>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0.50</w:t>
            </w:r>
          </w:p>
        </w:tc>
        <w:tc>
          <w:tcPr>
            <w:tcW w:w="141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0.50</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0.50</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新疆帕米尔高原湿地自然保护区管理站</w:t>
      </w:r>
      <w:r>
        <w:rPr>
          <w:rFonts w:hint="eastAsia" w:ascii="仿宋_GB2312" w:hAnsi="宋体" w:eastAsia="仿宋_GB2312"/>
          <w:kern w:val="0"/>
          <w:sz w:val="24"/>
        </w:rPr>
        <w:t xml:space="preserve">        单位：万元</w:t>
      </w:r>
    </w:p>
    <w:tbl>
      <w:tblPr>
        <w:tblStyle w:val="5"/>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keepNext w:val="0"/>
        <w:keepLines w:val="0"/>
        <w:pageBreakBefore w:val="0"/>
        <w:widowControl/>
        <w:kinsoku/>
        <w:wordWrap/>
        <w:overflowPunct/>
        <w:topLinePunct w:val="0"/>
        <w:autoSpaceDE/>
        <w:autoSpaceDN/>
        <w:bidi w:val="0"/>
        <w:adjustRightInd/>
        <w:snapToGrid/>
        <w:spacing w:line="380" w:lineRule="exact"/>
        <w:textAlignment w:val="auto"/>
        <w:outlineLvl w:val="1"/>
        <w:rPr>
          <w:rFonts w:hint="eastAsia" w:ascii="仿宋_GB2312" w:hAnsi="宋体" w:eastAsia="仿宋_GB2312"/>
          <w:kern w:val="0"/>
          <w:sz w:val="24"/>
          <w:lang w:eastAsia="zh-CN"/>
        </w:rPr>
      </w:pPr>
      <w:r>
        <w:rPr>
          <w:rFonts w:hint="eastAsia" w:ascii="仿宋_GB2312" w:hAnsi="宋体" w:eastAsia="仿宋_GB2312"/>
          <w:b/>
          <w:kern w:val="0"/>
          <w:sz w:val="28"/>
          <w:szCs w:val="32"/>
        </w:rPr>
        <w:t>备注：</w:t>
      </w:r>
      <w:r>
        <w:rPr>
          <w:rFonts w:hint="eastAsia" w:ascii="仿宋_GB2312" w:hAnsi="宋体" w:eastAsia="仿宋_GB2312"/>
          <w:kern w:val="0"/>
          <w:sz w:val="24"/>
          <w:lang w:eastAsia="zh-CN"/>
        </w:rPr>
        <w:t>新疆帕米尔高原湿地自然保护区管理站部门</w:t>
      </w:r>
      <w:r>
        <w:rPr>
          <w:rFonts w:hint="eastAsia" w:ascii="仿宋_GB2312" w:hAnsi="宋体" w:eastAsia="仿宋_GB2312"/>
          <w:kern w:val="0"/>
          <w:sz w:val="24"/>
          <w:lang w:val="en-US" w:eastAsia="zh-CN"/>
        </w:rPr>
        <w:t>20201</w:t>
      </w:r>
      <w:r>
        <w:rPr>
          <w:rFonts w:hint="eastAsia" w:ascii="仿宋_GB2312" w:hAnsi="宋体" w:eastAsia="仿宋_GB2312"/>
          <w:kern w:val="0"/>
          <w:sz w:val="24"/>
          <w:lang w:eastAsia="zh-CN"/>
        </w:rPr>
        <w:t>年没有使用政府性基金预算拨款安排的支出，政府性基金预算支出情况表为空表。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531" w:bottom="2098" w:left="1531" w:header="851" w:footer="992" w:gutter="0"/>
          <w:pgNumType w:fmt="numberInDash"/>
          <w:cols w:space="720" w:num="1"/>
          <w:docGrid w:linePitch="312" w:charSpace="0"/>
        </w:sectPr>
      </w:pPr>
    </w:p>
    <w:p>
      <w:pPr>
        <w:spacing w:line="560" w:lineRule="exact"/>
        <w:jc w:val="center"/>
        <w:rPr>
          <w:rFonts w:hint="eastAsia" w:ascii="黑体" w:hAnsi="黑体" w:eastAsia="黑体"/>
          <w:kern w:val="0"/>
          <w:sz w:val="32"/>
          <w:szCs w:val="32"/>
          <w:lang w:eastAsia="zh-CN"/>
        </w:rPr>
      </w:pPr>
      <w:r>
        <w:rPr>
          <w:rFonts w:hint="eastAsia" w:ascii="黑体" w:hAnsi="黑体" w:eastAsia="黑体"/>
          <w:kern w:val="0"/>
          <w:sz w:val="32"/>
          <w:szCs w:val="32"/>
        </w:rPr>
        <w:t>第三部分</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新疆帕米尔高原湿地自然保护区管理站</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年所有收入和支出均纳入部门预算管理。收支总预算 </w:t>
      </w:r>
      <w:r>
        <w:rPr>
          <w:rFonts w:hint="eastAsia" w:ascii="仿宋_GB2312" w:hAnsi="宋体" w:eastAsia="仿宋_GB2312" w:cs="宋体"/>
          <w:kern w:val="0"/>
          <w:sz w:val="32"/>
          <w:szCs w:val="32"/>
          <w:lang w:val="en-US" w:eastAsia="zh-CN"/>
        </w:rPr>
        <w:t>151.93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151.93万元</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151.93万元。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151.93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151.93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355.03</w:t>
      </w:r>
      <w:r>
        <w:rPr>
          <w:rFonts w:hint="eastAsia" w:ascii="仿宋_GB2312" w:hAnsi="宋体" w:eastAsia="仿宋_GB2312" w:cs="宋体"/>
          <w:kern w:val="0"/>
          <w:sz w:val="32"/>
          <w:szCs w:val="32"/>
        </w:rPr>
        <w:t xml:space="preserve">   万元，</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中央专项结余资金未安排预算</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w:t>
      </w:r>
      <w:r>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t>2020</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年预算有中央专项资金上年结余，1、2017年退牧还湿项目资金8</w:t>
      </w:r>
      <w:r>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w:t>
      </w:r>
      <w:r>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t>48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万元，2、2018年湿地生态效益补偿项目71.55万元，3、2019年湿地生态效益补偿项目200万元）。</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新疆帕米尔高原湿自然保护区管理站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151.93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145.93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96.05</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比上年</w:t>
      </w:r>
      <w:r>
        <w:rPr>
          <w:rFonts w:hint="eastAsia" w:ascii="仿宋_GB2312" w:hAnsi="宋体" w:eastAsia="仿宋_GB2312" w:cs="宋体"/>
          <w:color w:val="000000" w:themeColor="text1"/>
          <w:kern w:val="0"/>
          <w:sz w:val="32"/>
          <w:szCs w:val="32"/>
          <w:lang w:eastAsia="zh-CN"/>
          <w14:textFill>
            <w14:solidFill>
              <w14:schemeClr w14:val="tx1"/>
            </w14:solidFill>
          </w14:textFill>
        </w:rPr>
        <w:t>预算</w:t>
      </w:r>
      <w:r>
        <w:rPr>
          <w:rFonts w:hint="eastAsia" w:ascii="仿宋_GB2312" w:hAnsi="宋体" w:eastAsia="仿宋_GB2312" w:cs="宋体"/>
          <w:color w:val="000000" w:themeColor="text1"/>
          <w:kern w:val="0"/>
          <w:sz w:val="32"/>
          <w:szCs w:val="32"/>
          <w14:textFill>
            <w14:solidFill>
              <w14:schemeClr w14:val="tx1"/>
            </w14:solidFill>
          </w14:textFill>
        </w:rPr>
        <w:t>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2.92</w:t>
      </w:r>
      <w:r>
        <w:rPr>
          <w:rFonts w:hint="eastAsia" w:ascii="仿宋_GB2312" w:hAnsi="宋体" w:eastAsia="仿宋_GB2312" w:cs="宋体"/>
          <w:color w:val="000000" w:themeColor="text1"/>
          <w:kern w:val="0"/>
          <w:sz w:val="32"/>
          <w:szCs w:val="32"/>
          <w14:textFill>
            <w14:solidFill>
              <w14:schemeClr w14:val="tx1"/>
            </w14:solidFill>
          </w14:textFill>
        </w:rPr>
        <w:t>万</w:t>
      </w:r>
      <w:r>
        <w:rPr>
          <w:rFonts w:hint="eastAsia" w:ascii="仿宋_GB2312" w:hAnsi="宋体" w:eastAsia="仿宋_GB2312" w:cs="宋体"/>
          <w:kern w:val="0"/>
          <w:sz w:val="32"/>
          <w:szCs w:val="32"/>
        </w:rPr>
        <w:t>元，主要原因是</w:t>
      </w:r>
      <w:r>
        <w:rPr>
          <w:rFonts w:hint="eastAsia" w:ascii="仿宋_GB2312" w:hAnsi="宋体" w:eastAsia="仿宋_GB2312" w:cs="宋体"/>
          <w:kern w:val="0"/>
          <w:sz w:val="32"/>
          <w:szCs w:val="32"/>
          <w:lang w:eastAsia="zh-CN"/>
        </w:rPr>
        <w:t>正常晋升工资调资工资福利追加，在职人员岗位工资变动等。</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3.95</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357.94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2021年度预算未安排中央专项资金结余资金。</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新疆帕米尔高原湿地自然保护区管理站</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151.93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r>
        <w:rPr>
          <w:rFonts w:hint="eastAsia" w:ascii="仿宋_GB2312" w:hAnsi="宋体" w:eastAsia="仿宋_GB2312" w:cs="宋体"/>
          <w:spacing w:val="-6"/>
          <w:kern w:val="0"/>
          <w:sz w:val="32"/>
          <w:szCs w:val="32"/>
          <w:lang w:eastAsia="zh-CN"/>
        </w:rPr>
        <w:t>和国有资本经营预算</w:t>
      </w:r>
      <w:r>
        <w:rPr>
          <w:rFonts w:hint="eastAsia" w:ascii="仿宋_GB2312" w:hAnsi="宋体" w:eastAsia="仿宋_GB2312" w:cs="宋体"/>
          <w:spacing w:val="-6"/>
          <w:kern w:val="0"/>
          <w:sz w:val="32"/>
          <w:szCs w:val="32"/>
        </w:rPr>
        <w:t>。</w:t>
      </w:r>
    </w:p>
    <w:p>
      <w:pPr>
        <w:spacing w:line="560" w:lineRule="exact"/>
        <w:ind w:firstLine="960" w:firstLineChars="3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151.93万元，其中：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145.93</w:t>
      </w:r>
      <w:r>
        <w:rPr>
          <w:rFonts w:hint="eastAsia" w:ascii="仿宋_GB2312" w:hAnsi="宋体" w:eastAsia="仿宋_GB2312" w:cs="宋体"/>
          <w:kern w:val="0"/>
          <w:sz w:val="32"/>
          <w:szCs w:val="32"/>
        </w:rPr>
        <w:t>万元，</w:t>
      </w:r>
      <w:r>
        <w:rPr>
          <w:rFonts w:hint="eastAsia" w:ascii="仿宋_GB2312" w:hAnsi="宋体" w:eastAsia="仿宋_GB2312" w:cs="宋体"/>
          <w:color w:val="000000" w:themeColor="text1"/>
          <w:kern w:val="0"/>
          <w:sz w:val="32"/>
          <w:szCs w:val="32"/>
          <w14:textFill>
            <w14:solidFill>
              <w14:schemeClr w14:val="tx1"/>
            </w14:solidFill>
          </w14:textFill>
        </w:rPr>
        <w:t>比上年</w:t>
      </w:r>
      <w:r>
        <w:rPr>
          <w:rFonts w:hint="eastAsia" w:ascii="仿宋_GB2312" w:hAnsi="宋体" w:eastAsia="仿宋_GB2312" w:cs="宋体"/>
          <w:color w:val="000000" w:themeColor="text1"/>
          <w:kern w:val="0"/>
          <w:sz w:val="32"/>
          <w:szCs w:val="32"/>
          <w:lang w:eastAsia="zh-CN"/>
          <w14:textFill>
            <w14:solidFill>
              <w14:schemeClr w14:val="tx1"/>
            </w14:solidFill>
          </w14:textFill>
        </w:rPr>
        <w:t>预算减少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3.08</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2.11</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奖金未安预算排。项目支出</w:t>
      </w:r>
      <w:r>
        <w:rPr>
          <w:rFonts w:hint="eastAsia" w:ascii="仿宋_GB2312" w:hAnsi="宋体" w:eastAsia="仿宋_GB2312" w:cs="宋体"/>
          <w:kern w:val="0"/>
          <w:sz w:val="32"/>
          <w:szCs w:val="32"/>
          <w:lang w:val="en-US" w:eastAsia="zh-CN"/>
        </w:rPr>
        <w:t>6万元，比上年预算增加0万元，增长0%，主要原因：湿地保护与宣传项目资金未变。</w:t>
      </w:r>
      <w:r>
        <w:rPr>
          <w:rFonts w:hint="eastAsia" w:ascii="仿宋_GB2312" w:hAnsi="宋体" w:eastAsia="仿宋_GB2312" w:cs="宋体"/>
          <w:kern w:val="0"/>
          <w:sz w:val="32"/>
          <w:szCs w:val="32"/>
        </w:rPr>
        <w:t xml:space="preserve">    </w:t>
      </w:r>
    </w:p>
    <w:p>
      <w:pPr>
        <w:spacing w:line="560" w:lineRule="exact"/>
        <w:ind w:firstLine="643" w:firstLineChars="200"/>
        <w:rPr>
          <w:rFonts w:hint="eastAsia" w:ascii="楷体_GB2312" w:hAnsi="宋体" w:eastAsia="楷体_GB2312" w:cs="宋体"/>
          <w:b/>
          <w:kern w:val="0"/>
          <w:sz w:val="32"/>
          <w:szCs w:val="32"/>
          <w:highlight w:val="none"/>
          <w:lang w:eastAsia="zh-CN"/>
        </w:rPr>
      </w:pPr>
      <w:r>
        <w:rPr>
          <w:rFonts w:hint="eastAsia" w:ascii="楷体_GB2312" w:hAnsi="宋体" w:eastAsia="楷体_GB2312" w:cs="宋体"/>
          <w:b/>
          <w:kern w:val="0"/>
          <w:sz w:val="32"/>
          <w:szCs w:val="32"/>
          <w:highlight w:val="none"/>
        </w:rPr>
        <w:t>（二）一般公共预算当年拨款结构情况</w:t>
      </w:r>
      <w:r>
        <w:rPr>
          <w:rFonts w:hint="eastAsia" w:ascii="楷体_GB2312" w:hAnsi="宋体" w:eastAsia="楷体_GB2312" w:cs="宋体"/>
          <w:b/>
          <w:kern w:val="0"/>
          <w:sz w:val="32"/>
          <w:szCs w:val="32"/>
          <w:highlight w:val="none"/>
          <w:lang w:eastAsia="zh-CN"/>
        </w:rPr>
        <w:t>（对照</w:t>
      </w:r>
      <w:r>
        <w:rPr>
          <w:rFonts w:hint="eastAsia" w:ascii="楷体_GB2312" w:hAnsi="宋体" w:eastAsia="楷体_GB2312" w:cs="宋体"/>
          <w:b/>
          <w:kern w:val="0"/>
          <w:sz w:val="32"/>
          <w:szCs w:val="32"/>
          <w:highlight w:val="none"/>
          <w:lang w:val="en-US" w:eastAsia="zh-CN"/>
        </w:rPr>
        <w:t>5</w:t>
      </w:r>
      <w:r>
        <w:rPr>
          <w:rFonts w:hint="eastAsia" w:ascii="楷体_GB2312" w:hAnsi="宋体" w:eastAsia="楷体_GB2312" w:cs="宋体"/>
          <w:b/>
          <w:kern w:val="0"/>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eastAsia="仿宋_GB2312"/>
          <w:sz w:val="32"/>
          <w:szCs w:val="32"/>
          <w:highlight w:val="none"/>
        </w:rPr>
        <w:t>1.一般公共服务</w:t>
      </w:r>
      <w:r>
        <w:rPr>
          <w:rFonts w:hint="eastAsia" w:ascii="仿宋_GB2312" w:eastAsia="仿宋_GB2312"/>
          <w:sz w:val="32"/>
          <w:szCs w:val="32"/>
          <w:highlight w:val="none"/>
          <w:lang w:eastAsia="zh-CN"/>
        </w:rPr>
        <w:t>农林水支出</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213</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lang w:val="en-US" w:eastAsia="zh-CN"/>
        </w:rPr>
        <w:t>151.93</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其中：湿地保护（</w:t>
      </w:r>
      <w:r>
        <w:rPr>
          <w:rFonts w:hint="eastAsia" w:ascii="仿宋_GB2312" w:hAnsi="宋体" w:eastAsia="仿宋_GB2312" w:cs="宋体"/>
          <w:kern w:val="0"/>
          <w:sz w:val="32"/>
          <w:szCs w:val="32"/>
          <w:highlight w:val="none"/>
          <w:lang w:val="en-US" w:eastAsia="zh-CN"/>
        </w:rPr>
        <w:t>2130212</w:t>
      </w:r>
      <w:r>
        <w:rPr>
          <w:rFonts w:hint="eastAsia" w:ascii="仿宋_GB2312" w:hAnsi="宋体" w:eastAsia="仿宋_GB2312" w:cs="宋体"/>
          <w:kern w:val="0"/>
          <w:sz w:val="32"/>
          <w:szCs w:val="32"/>
          <w:highlight w:val="none"/>
          <w:lang w:eastAsia="zh-CN"/>
        </w:rPr>
        <w:t>）基本支出</w:t>
      </w:r>
      <w:r>
        <w:rPr>
          <w:rFonts w:hint="eastAsia" w:ascii="仿宋_GB2312" w:hAnsi="宋体" w:eastAsia="仿宋_GB2312" w:cs="宋体"/>
          <w:kern w:val="0"/>
          <w:sz w:val="32"/>
          <w:szCs w:val="32"/>
          <w:highlight w:val="none"/>
          <w:lang w:val="en-US" w:eastAsia="zh-CN"/>
        </w:rPr>
        <w:t>145.93万元，占96.05%。其他林业和草原支出（2130299）项目支出6万元，占3.95%。</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黑体" w:hAnsi="宋体" w:eastAsia="黑体" w:cs="宋体"/>
          <w:kern w:val="0"/>
          <w:sz w:val="32"/>
          <w:szCs w:val="32"/>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eastAsia="zh-CN"/>
        </w:rPr>
        <w:t>农林水支出</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213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林业和草原</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02</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湿地保护</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12</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151.93</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数减少</w:t>
      </w:r>
      <w:r>
        <w:rPr>
          <w:rFonts w:hint="eastAsia" w:ascii="仿宋_GB2312" w:hAnsi="宋体" w:eastAsia="仿宋_GB2312" w:cs="宋体"/>
          <w:color w:val="auto"/>
          <w:kern w:val="0"/>
          <w:sz w:val="32"/>
          <w:szCs w:val="32"/>
          <w:lang w:val="en-US" w:eastAsia="zh-CN"/>
        </w:rPr>
        <w:t>3.08</w:t>
      </w:r>
      <w:r>
        <w:rPr>
          <w:rFonts w:hint="eastAsia" w:ascii="仿宋_GB2312" w:hAnsi="宋体" w:eastAsia="仿宋_GB2312" w:cs="宋体"/>
          <w:color w:val="auto"/>
          <w:kern w:val="0"/>
          <w:sz w:val="32"/>
          <w:szCs w:val="32"/>
        </w:rPr>
        <w:t>万元，下降</w:t>
      </w:r>
      <w:r>
        <w:rPr>
          <w:rFonts w:hint="eastAsia" w:ascii="仿宋_GB2312" w:hAnsi="宋体" w:eastAsia="仿宋_GB2312" w:cs="宋体"/>
          <w:color w:val="auto"/>
          <w:kern w:val="0"/>
          <w:sz w:val="32"/>
          <w:szCs w:val="32"/>
          <w:lang w:val="en-US" w:eastAsia="zh-CN"/>
        </w:rPr>
        <w:t>2.11</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缩减开支。</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145.93</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139.37</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33.19万元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67.38万元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2.77万元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15.07万元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8.10万元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10.97万元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1.90万元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0.01万元等</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6.56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1.80万元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0.05万元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0.05万元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0.95万元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0.72万元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1.30万元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numPr>
          <w:ilvl w:val="0"/>
          <w:numId w:val="0"/>
        </w:num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w:t>
      </w:r>
      <w:r>
        <w:rPr>
          <w:rFonts w:hint="eastAsia" w:ascii="仿宋_GB2312" w:hAnsi="黑体" w:eastAsia="仿宋_GB2312"/>
          <w:color w:val="auto"/>
          <w:sz w:val="32"/>
          <w:szCs w:val="32"/>
          <w:lang w:val="en-US" w:eastAsia="zh-CN"/>
        </w:rPr>
        <w:t>（项目支出，专项业务费按下列内容说明）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仿宋_GB2312" w:eastAsia="仿宋_GB2312" w:cs="宋体"/>
          <w:kern w:val="0"/>
          <w:sz w:val="32"/>
          <w:szCs w:val="32"/>
        </w:rPr>
        <w:t>湿地保护</w:t>
      </w:r>
      <w:r>
        <w:rPr>
          <w:rFonts w:hint="eastAsia" w:ascii="仿宋_GB2312" w:hAnsi="仿宋_GB2312" w:eastAsia="仿宋_GB2312" w:cs="宋体"/>
          <w:kern w:val="0"/>
          <w:sz w:val="32"/>
          <w:szCs w:val="32"/>
          <w:lang w:eastAsia="zh-CN"/>
        </w:rPr>
        <w:t>与宣传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新疆帕米尔高原湿地自然保护区管理站实施方案。</w:t>
      </w:r>
    </w:p>
    <w:p>
      <w:pPr>
        <w:widowControl/>
        <w:spacing w:line="520" w:lineRule="exact"/>
        <w:ind w:firstLine="640" w:firstLineChars="200"/>
        <w:jc w:val="left"/>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湿地自然保护区</w:t>
      </w:r>
    </w:p>
    <w:p>
      <w:pPr>
        <w:spacing w:line="580" w:lineRule="exact"/>
        <w:ind w:firstLine="640" w:firstLineChars="200"/>
        <w:rPr>
          <w:rFonts w:hint="default" w:ascii="仿宋_GB2312" w:hAnsi="仿宋_GB2312" w:eastAsia="仿宋_GB2312" w:cs="宋体"/>
          <w:kern w:val="0"/>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仿宋_GB2312" w:eastAsia="仿宋_GB2312" w:cs="宋体"/>
          <w:kern w:val="0"/>
          <w:sz w:val="32"/>
          <w:szCs w:val="32"/>
          <w:lang w:eastAsia="zh-CN"/>
        </w:rPr>
        <w:t>新疆帕米尔高原湿地自然保护区管理站</w:t>
      </w:r>
      <w:r>
        <w:rPr>
          <w:rFonts w:hint="default" w:ascii="仿宋_GB2312" w:hAnsi="仿宋_GB2312" w:eastAsia="仿宋_GB2312" w:cs="宋体"/>
          <w:kern w:val="0"/>
          <w:sz w:val="32"/>
          <w:szCs w:val="32"/>
          <w:lang w:val="en-US" w:eastAsia="zh-CN"/>
        </w:rPr>
        <w:t xml:space="preserve"> </w:t>
      </w:r>
    </w:p>
    <w:p>
      <w:pPr>
        <w:spacing w:line="580" w:lineRule="exact"/>
        <w:ind w:left="319" w:leftChars="152" w:firstLine="480" w:firstLineChars="150"/>
        <w:rPr>
          <w:rFonts w:hint="default" w:ascii="仿宋_GB2312" w:eastAsia="仿宋_GB2312"/>
          <w:color w:val="auto"/>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eastAsia="仿宋_GB2312"/>
          <w:color w:val="auto"/>
          <w:sz w:val="32"/>
          <w:szCs w:val="32"/>
          <w:lang w:val="en-US" w:eastAsia="zh-CN"/>
        </w:rPr>
        <w:t>购买采购农副产品0.5万元，印刷费1.7元，劳务费2万元，培训费1万元；电费0.5万元；差旅费0.3万元</w:t>
      </w:r>
      <w:r>
        <w:rPr>
          <w:rFonts w:hint="eastAsia" w:ascii="仿宋_GB2312" w:hAnsi="宋体" w:eastAsia="仿宋_GB2312" w:cs="宋体"/>
          <w:kern w:val="0"/>
          <w:sz w:val="32"/>
          <w:szCs w:val="32"/>
        </w:rPr>
        <w:t>。</w:t>
      </w:r>
    </w:p>
    <w:p>
      <w:pPr>
        <w:spacing w:line="58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w:t>
      </w:r>
    </w:p>
    <w:p>
      <w:pPr>
        <w:spacing w:line="560" w:lineRule="exact"/>
        <w:ind w:firstLine="643" w:firstLineChars="200"/>
        <w:rPr>
          <w:rFonts w:hint="eastAsia" w:ascii="仿宋_GB2312" w:hAnsi="黑体" w:eastAsia="仿宋_GB2312"/>
          <w:sz w:val="32"/>
          <w:szCs w:val="32"/>
          <w:lang w:val="en-US" w:eastAsia="zh-CN"/>
        </w:rPr>
      </w:pPr>
      <w:r>
        <w:rPr>
          <w:rFonts w:hint="eastAsia" w:ascii="仿宋_GB2312" w:hAnsi="黑体" w:eastAsia="仿宋_GB2312"/>
          <w:b/>
          <w:bCs/>
          <w:sz w:val="32"/>
          <w:szCs w:val="32"/>
          <w:lang w:val="en-US" w:eastAsia="zh-CN"/>
        </w:rPr>
        <w:t>情况二</w:t>
      </w:r>
      <w:r>
        <w:rPr>
          <w:rFonts w:hint="eastAsia" w:ascii="仿宋_GB2312" w:hAnsi="黑体" w:eastAsia="仿宋_GB2312"/>
          <w:sz w:val="32"/>
          <w:szCs w:val="32"/>
          <w:lang w:val="en-US" w:eastAsia="zh-CN"/>
        </w:rPr>
        <w:t>：（属于对个人补贴的项目支出按下列内容说明）</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资金来源：</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补贴人数：</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补贴标准</w:t>
      </w:r>
      <w:r>
        <w:rPr>
          <w:rFonts w:hint="eastAsia" w:ascii="仿宋_GB2312" w:hAnsi="黑体" w:eastAsia="仿宋_GB2312"/>
          <w:sz w:val="32"/>
          <w:szCs w:val="32"/>
          <w:lang w:val="en-US" w:eastAsia="zh-CN"/>
        </w:rPr>
        <w:t>:无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补贴范围：无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补贴方式：无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发放程序：无</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受益人群和社会效益：无</w:t>
      </w:r>
    </w:p>
    <w:p>
      <w:pPr>
        <w:spacing w:line="560" w:lineRule="exact"/>
        <w:ind w:firstLine="640" w:firstLineChars="200"/>
        <w:rPr>
          <w:rFonts w:hint="default" w:ascii="仿宋_GB2312" w:hAnsi="黑体" w:eastAsia="仿宋_GB2312"/>
          <w:sz w:val="32"/>
          <w:szCs w:val="32"/>
          <w:lang w:val="en-US" w:eastAsia="zh-CN"/>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0.50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0.50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无出国情况</w:t>
      </w:r>
      <w:r>
        <w:rPr>
          <w:rFonts w:hint="eastAsia" w:ascii="仿宋_GB2312" w:hAnsi="宋体" w:eastAsia="仿宋_GB2312" w:cs="宋体"/>
          <w:kern w:val="0"/>
          <w:sz w:val="32"/>
          <w:szCs w:val="32"/>
        </w:rPr>
        <w:t>；公务用车购置费为0，未安排预算。[或公务用车购置费增加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无原因</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公务用车运行维护费预算未变</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新疆帕米尔高原湿地自然保护区管理站是克州林业和草原局下属单位无接待任务</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新疆帕米尔高原湿地自然保护区管理站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6.56</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0.04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0.61</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工会经费增加</w:t>
      </w:r>
      <w:r>
        <w:rPr>
          <w:rFonts w:hint="eastAsia" w:ascii="仿宋_GB2312" w:hAnsi="宋体" w:eastAsia="仿宋_GB2312" w:cs="宋体"/>
          <w:color w:val="auto"/>
          <w:kern w:val="0"/>
          <w:sz w:val="32"/>
          <w:szCs w:val="32"/>
          <w:lang w:val="en-US" w:eastAsia="zh-CN"/>
        </w:rPr>
        <w:t>0.02万元，办公费增加0.02万元。</w:t>
      </w:r>
      <w:r>
        <w:rPr>
          <w:rFonts w:hint="eastAsia" w:ascii="仿宋_GB2312" w:hAnsi="宋体" w:eastAsia="仿宋_GB2312" w:cs="宋体"/>
          <w:color w:val="FF0000"/>
          <w:kern w:val="0"/>
          <w:sz w:val="32"/>
          <w:szCs w:val="32"/>
        </w:rPr>
        <w:t xml:space="preserve"> </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rPr>
        <w:t>政府采购预算</w:t>
      </w:r>
      <w:r>
        <w:rPr>
          <w:rFonts w:hint="default"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万元，其中：政府采购货物预算</w:t>
      </w:r>
      <w:r>
        <w:rPr>
          <w:rFonts w:hint="default"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default"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年度本部门面向中小企业预留政府采购项目预算金额</w:t>
      </w:r>
      <w:r>
        <w:rPr>
          <w:rFonts w:hint="default" w:ascii="仿宋_GB2312" w:hAnsi="仿宋_GB2312" w:eastAsia="仿宋_GB2312"/>
          <w:sz w:val="32"/>
          <w:lang w:val="en-US" w:eastAsia="zh-CN"/>
        </w:rPr>
        <w:t>5</w:t>
      </w:r>
      <w:r>
        <w:rPr>
          <w:rFonts w:hint="eastAsia" w:ascii="仿宋_GB2312" w:hAnsi="仿宋_GB2312" w:eastAsia="仿宋_GB2312"/>
          <w:sz w:val="32"/>
        </w:rPr>
        <w:t>万元，其中：面向小微企业预留政府采购项目预算金额</w:t>
      </w:r>
      <w:r>
        <w:rPr>
          <w:rFonts w:hint="default" w:ascii="仿宋_GB2312" w:hAnsi="仿宋_GB2312" w:eastAsia="仿宋_GB2312"/>
          <w:sz w:val="32"/>
          <w:lang w:val="en-US" w:eastAsia="zh-CN"/>
        </w:rPr>
        <w:t>3</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新疆帕米尔高原湿地自然保护区管理站</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500</w:t>
      </w:r>
      <w:r>
        <w:rPr>
          <w:rFonts w:hint="eastAsia" w:ascii="仿宋_GB2312" w:hAnsi="宋体" w:eastAsia="仿宋_GB2312" w:cs="宋体"/>
          <w:kern w:val="0"/>
          <w:sz w:val="32"/>
          <w:szCs w:val="32"/>
        </w:rPr>
        <w:t>平方米，价值</w:t>
      </w:r>
      <w:r>
        <w:rPr>
          <w:rFonts w:hint="default" w:ascii="仿宋_GB2312" w:hAnsi="宋体" w:eastAsia="仿宋_GB2312" w:cs="宋体"/>
          <w:kern w:val="0"/>
          <w:sz w:val="32"/>
          <w:szCs w:val="32"/>
          <w:lang w:val="en-US"/>
        </w:rPr>
        <w:t>107.96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20.55</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20.55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10.62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default" w:ascii="仿宋_GB2312" w:hAnsi="宋体" w:eastAsia="仿宋_GB2312" w:cs="宋体"/>
          <w:kern w:val="0"/>
          <w:sz w:val="32"/>
          <w:szCs w:val="32"/>
          <w:lang w:val="en-US"/>
        </w:rPr>
        <w:t>551.25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tbl>
      <w:tblPr>
        <w:tblStyle w:val="5"/>
        <w:tblpPr w:leftFromText="180" w:rightFromText="180" w:vertAnchor="text" w:horzAnchor="page" w:tblpX="1487" w:tblpY="18"/>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新疆帕米尔高原湿地自然保护区管理站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湿地保护与宣传</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通过湿地保护与宣传项目实施更好的落实湿地自然保护区进一步得到保护与增强湿地生态功能，落实好疫情防控措施，顺利开展湿地自然保护区各项工作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湿地保护面积(平方公)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1256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开展湿地保护宣传(次)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印制宣传单（份）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5000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开展湿地保护宣传效率（%）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劳务费（万元）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印刷费（万元）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湿地保护与宣传培训（万元）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购买采购农副产品（万元）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≥0.5</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提升村民生态环保意识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改善生态环境，保护湿地资源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有效改善</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560" w:lineRule="exact"/>
        <w:rPr>
          <w:rFonts w:ascii="仿宋_GB2312" w:hAnsi="宋体" w:eastAsia="仿宋_GB2312" w:cs="宋体"/>
          <w:kern w:val="0"/>
          <w:sz w:val="32"/>
          <w:szCs w:val="32"/>
        </w:rPr>
      </w:pPr>
    </w:p>
    <w:p>
      <w:pPr>
        <w:keepNext w:val="0"/>
        <w:keepLines w:val="0"/>
        <w:pageBreakBefore w:val="0"/>
        <w:widowControl/>
        <w:numPr>
          <w:ilvl w:val="0"/>
          <w:numId w:val="2"/>
        </w:numPr>
        <w:kinsoku/>
        <w:wordWrap/>
        <w:overflowPunct/>
        <w:topLinePunct w:val="0"/>
        <w:autoSpaceDE/>
        <w:autoSpaceDN/>
        <w:bidi w:val="0"/>
        <w:adjustRightInd/>
        <w:snapToGrid/>
        <w:spacing w:line="560" w:lineRule="exact"/>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keepNext w:val="0"/>
        <w:keepLines w:val="0"/>
        <w:pageBreakBefore w:val="0"/>
        <w:widowControl/>
        <w:kinsoku/>
        <w:wordWrap/>
        <w:overflowPunct/>
        <w:topLinePunct w:val="0"/>
        <w:autoSpaceDE/>
        <w:autoSpaceDN/>
        <w:bidi w:val="0"/>
        <w:adjustRightInd/>
        <w:snapToGrid/>
        <w:spacing w:line="560" w:lineRule="exact"/>
        <w:ind w:firstLine="320" w:firstLineChars="10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新疆帕米尔高原湿地自然保护区管理站无其他说明事项。</w:t>
      </w:r>
    </w:p>
    <w:p>
      <w:pPr>
        <w:keepNext w:val="0"/>
        <w:keepLines w:val="0"/>
        <w:pageBreakBefore w:val="0"/>
        <w:widowControl/>
        <w:kinsoku/>
        <w:wordWrap/>
        <w:overflowPunct/>
        <w:topLinePunct w:val="0"/>
        <w:autoSpaceDE/>
        <w:autoSpaceDN/>
        <w:bidi w:val="0"/>
        <w:adjustRightInd/>
        <w:snapToGrid/>
        <w:spacing w:line="300" w:lineRule="exact"/>
        <w:ind w:firstLine="320" w:firstLineChars="100"/>
        <w:jc w:val="left"/>
        <w:textAlignment w:val="auto"/>
        <w:rPr>
          <w:rFonts w:hint="eastAsia" w:ascii="仿宋_GB2312" w:hAnsi="宋体" w:eastAsia="仿宋_GB2312" w:cs="宋体"/>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300" w:lineRule="exact"/>
        <w:ind w:firstLine="320" w:firstLineChars="100"/>
        <w:jc w:val="center"/>
        <w:textAlignment w:val="auto"/>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300" w:lineRule="exact"/>
        <w:ind w:firstLine="320" w:firstLineChars="100"/>
        <w:jc w:val="center"/>
        <w:textAlignment w:val="auto"/>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300" w:lineRule="exact"/>
        <w:ind w:firstLine="320" w:firstLineChars="100"/>
        <w:jc w:val="center"/>
        <w:textAlignment w:val="auto"/>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300" w:lineRule="exact"/>
        <w:ind w:firstLine="320" w:firstLineChars="100"/>
        <w:jc w:val="center"/>
        <w:textAlignment w:val="auto"/>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300" w:lineRule="exact"/>
        <w:ind w:firstLine="320" w:firstLineChars="100"/>
        <w:jc w:val="center"/>
        <w:textAlignment w:val="auto"/>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w:t>
      </w:r>
      <w:r>
        <w:rPr>
          <w:rFonts w:hint="eastAsia" w:ascii="仿宋_GB2312" w:eastAsia="仿宋_GB2312"/>
          <w:sz w:val="32"/>
          <w:szCs w:val="32"/>
          <w:lang w:eastAsia="zh-CN"/>
        </w:rPr>
        <w:t>预算、国有资本经营</w:t>
      </w:r>
      <w:r>
        <w:rPr>
          <w:rFonts w:hint="eastAsia" w:ascii="仿宋_GB2312" w:eastAsia="仿宋_GB2312"/>
          <w:sz w:val="32"/>
          <w:szCs w:val="32"/>
        </w:rPr>
        <w:t>预算安排的财政拨款数。</w:t>
      </w:r>
    </w:p>
    <w:p>
      <w:pPr>
        <w:spacing w:line="520" w:lineRule="exact"/>
        <w:ind w:firstLine="642"/>
        <w:rPr>
          <w:rFonts w:ascii="仿宋_GB2312" w:eastAsia="仿宋_GB2312"/>
          <w:color w:val="auto"/>
          <w:sz w:val="32"/>
          <w:szCs w:val="32"/>
        </w:rPr>
      </w:pPr>
      <w:r>
        <w:rPr>
          <w:rFonts w:hint="eastAsia" w:ascii="黑体" w:hAnsi="黑体" w:eastAsia="黑体"/>
          <w:color w:val="auto"/>
          <w:sz w:val="32"/>
          <w:szCs w:val="32"/>
        </w:rPr>
        <w:t>二、一般公共预算：</w:t>
      </w:r>
      <w:r>
        <w:rPr>
          <w:rFonts w:hint="eastAsia" w:ascii="仿宋_GB2312" w:eastAsia="仿宋_GB2312"/>
          <w:color w:val="auto"/>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新疆帕米尔高原湿地自然保护区管理站</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bookmarkStart w:id="0" w:name="_GoBack"/>
      <w:bookmarkEnd w:id="0"/>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p/>
    <w:sectPr>
      <w:footerReference r:id="rId5" w:type="default"/>
      <w:footerReference r:id="rId6" w:type="even"/>
      <w:pgSz w:w="11906" w:h="16838"/>
      <w:pgMar w:top="1928" w:right="1276" w:bottom="1984"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631" w:y="37"/>
      <w:jc w:val="right"/>
      <w:rPr>
        <w:rStyle w:val="4"/>
        <w:rFonts w:ascii="宋体" w:hAnsi="宋体" w:eastAsia="宋体"/>
        <w:sz w:val="28"/>
      </w:rPr>
    </w:pPr>
    <w:r>
      <w:rPr>
        <w:rFonts w:ascii="宋体" w:hAnsi="宋体" w:eastAsia="宋体"/>
        <w:sz w:val="28"/>
      </w:rPr>
      <w:fldChar w:fldCharType="begin"/>
    </w:r>
    <w:r>
      <w:rPr>
        <w:rStyle w:val="4"/>
        <w:rFonts w:ascii="宋体" w:hAnsi="宋体" w:eastAsia="宋体"/>
        <w:sz w:val="28"/>
      </w:rPr>
      <w:instrText xml:space="preserve"> PAGE </w:instrText>
    </w:r>
    <w:r>
      <w:rPr>
        <w:rFonts w:ascii="宋体" w:hAnsi="宋体" w:eastAsia="宋体"/>
        <w:sz w:val="28"/>
      </w:rPr>
      <w:fldChar w:fldCharType="separate"/>
    </w:r>
    <w:r>
      <w:rPr>
        <w:rStyle w:val="4"/>
        <w:rFonts w:ascii="宋体" w:hAnsi="宋体" w:eastAsia="宋体"/>
        <w:sz w:val="28"/>
      </w:rPr>
      <w:t>- 33 -</w:t>
    </w:r>
    <w:r>
      <w:rPr>
        <w:rFonts w:ascii="宋体" w:hAnsi="宋体" w:eastAsia="宋体"/>
        <w:sz w:val="28"/>
      </w:rPr>
      <w:fldChar w:fldCharType="end"/>
    </w:r>
    <w:r>
      <w:rPr>
        <w:rStyle w:val="4"/>
        <w:rFonts w:hint="eastAsia" w:ascii="宋体" w:hAnsi="宋体" w:eastAsia="宋体"/>
        <w:sz w:val="28"/>
      </w:rPr>
      <w:t xml:space="preserve"> </w:t>
    </w:r>
  </w:p>
  <w:p>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756" w:y="37"/>
      <w:rPr>
        <w:rStyle w:val="4"/>
        <w:rFonts w:ascii="宋体" w:hAnsi="宋体" w:eastAsia="宋体"/>
        <w:sz w:val="28"/>
        <w:szCs w:val="28"/>
      </w:rPr>
    </w:pPr>
    <w:r>
      <w:rPr>
        <w:rFonts w:ascii="宋体" w:hAnsi="宋体" w:eastAsia="宋体"/>
        <w:sz w:val="28"/>
        <w:szCs w:val="28"/>
      </w:rPr>
      <w:fldChar w:fldCharType="begin"/>
    </w:r>
    <w:r>
      <w:rPr>
        <w:rStyle w:val="4"/>
        <w:rFonts w:ascii="宋体" w:hAnsi="宋体" w:eastAsia="宋体"/>
        <w:sz w:val="28"/>
        <w:szCs w:val="28"/>
      </w:rPr>
      <w:instrText xml:space="preserve">PAGE  </w:instrText>
    </w:r>
    <w:r>
      <w:rPr>
        <w:rFonts w:ascii="宋体" w:hAnsi="宋体" w:eastAsia="宋体"/>
        <w:sz w:val="28"/>
        <w:szCs w:val="28"/>
      </w:rPr>
      <w:fldChar w:fldCharType="separate"/>
    </w:r>
    <w:r>
      <w:rPr>
        <w:rStyle w:val="4"/>
        <w:rFonts w:ascii="宋体" w:hAnsi="宋体" w:eastAsia="宋体"/>
        <w:sz w:val="28"/>
        <w:szCs w:val="28"/>
      </w:rPr>
      <w:t>- 34 -</w:t>
    </w:r>
    <w:r>
      <w:rPr>
        <w:rFonts w:ascii="宋体" w:hAnsi="宋体" w:eastAsia="宋体"/>
        <w:sz w:val="28"/>
        <w:szCs w:val="28"/>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AA06"/>
    <w:multiLevelType w:val="singleLevel"/>
    <w:tmpl w:val="00D6AA06"/>
    <w:lvl w:ilvl="0" w:tentative="0">
      <w:start w:val="5"/>
      <w:numFmt w:val="chineseCounting"/>
      <w:suff w:val="nothing"/>
      <w:lvlText w:val="（%1）"/>
      <w:lvlJc w:val="left"/>
      <w:rPr>
        <w:rFonts w:hint="eastAsia"/>
      </w:rPr>
    </w:lvl>
  </w:abstractNum>
  <w:abstractNum w:abstractNumId="1">
    <w:nsid w:val="36C249DF"/>
    <w:multiLevelType w:val="singleLevel"/>
    <w:tmpl w:val="36C249DF"/>
    <w:lvl w:ilvl="0" w:tentative="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5281A"/>
    <w:rsid w:val="00AB69A6"/>
    <w:rsid w:val="01154D25"/>
    <w:rsid w:val="018A6D03"/>
    <w:rsid w:val="04A71CB9"/>
    <w:rsid w:val="074C5423"/>
    <w:rsid w:val="08A839DE"/>
    <w:rsid w:val="095A462A"/>
    <w:rsid w:val="0A940938"/>
    <w:rsid w:val="0DCE7F76"/>
    <w:rsid w:val="0E465CFF"/>
    <w:rsid w:val="106D5715"/>
    <w:rsid w:val="11C03B58"/>
    <w:rsid w:val="11D9527E"/>
    <w:rsid w:val="14C83751"/>
    <w:rsid w:val="162304F3"/>
    <w:rsid w:val="16463552"/>
    <w:rsid w:val="16BB338C"/>
    <w:rsid w:val="16BB3A0E"/>
    <w:rsid w:val="170C2CFA"/>
    <w:rsid w:val="18332DF1"/>
    <w:rsid w:val="18B7649C"/>
    <w:rsid w:val="1908311F"/>
    <w:rsid w:val="19B33CCF"/>
    <w:rsid w:val="1A3F20A0"/>
    <w:rsid w:val="1B2652CD"/>
    <w:rsid w:val="1B64326A"/>
    <w:rsid w:val="1B7C0536"/>
    <w:rsid w:val="1D907F28"/>
    <w:rsid w:val="1E0E7296"/>
    <w:rsid w:val="1EED0614"/>
    <w:rsid w:val="2053319E"/>
    <w:rsid w:val="20E46CCC"/>
    <w:rsid w:val="22DF778C"/>
    <w:rsid w:val="28260326"/>
    <w:rsid w:val="2B4D4DA4"/>
    <w:rsid w:val="2D1858A7"/>
    <w:rsid w:val="2D715AF3"/>
    <w:rsid w:val="3005281A"/>
    <w:rsid w:val="30B87FD4"/>
    <w:rsid w:val="31915678"/>
    <w:rsid w:val="31D6439D"/>
    <w:rsid w:val="320829FD"/>
    <w:rsid w:val="34AE57BF"/>
    <w:rsid w:val="3521379F"/>
    <w:rsid w:val="3933705B"/>
    <w:rsid w:val="394D09A0"/>
    <w:rsid w:val="3AB54A45"/>
    <w:rsid w:val="41F35416"/>
    <w:rsid w:val="492F5402"/>
    <w:rsid w:val="4C00298D"/>
    <w:rsid w:val="4C2E0DCF"/>
    <w:rsid w:val="4C7242B8"/>
    <w:rsid w:val="4C7D3DF2"/>
    <w:rsid w:val="509105E7"/>
    <w:rsid w:val="57F54BE9"/>
    <w:rsid w:val="5C022769"/>
    <w:rsid w:val="5C9840BE"/>
    <w:rsid w:val="5D4E31C5"/>
    <w:rsid w:val="5E50196E"/>
    <w:rsid w:val="5F43328C"/>
    <w:rsid w:val="5FC92DB4"/>
    <w:rsid w:val="5FCE5571"/>
    <w:rsid w:val="60980313"/>
    <w:rsid w:val="635A0C64"/>
    <w:rsid w:val="639E4D94"/>
    <w:rsid w:val="640E3BB8"/>
    <w:rsid w:val="64622FF8"/>
    <w:rsid w:val="64973BF1"/>
    <w:rsid w:val="66C471B7"/>
    <w:rsid w:val="66FE6E02"/>
    <w:rsid w:val="67075B7E"/>
    <w:rsid w:val="6B3A1761"/>
    <w:rsid w:val="6EBD23F4"/>
    <w:rsid w:val="74760DCB"/>
    <w:rsid w:val="76291153"/>
    <w:rsid w:val="780D32DB"/>
    <w:rsid w:val="78712536"/>
    <w:rsid w:val="78971AA3"/>
    <w:rsid w:val="79127160"/>
    <w:rsid w:val="79B04912"/>
    <w:rsid w:val="79BF05A4"/>
    <w:rsid w:val="79F4750E"/>
    <w:rsid w:val="7D903D8E"/>
    <w:rsid w:val="7E7576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2021-02-01T05:02:00Z</dcterms:created>
  <dc:creator>洁别克</dc:creator>
  <cp:lastModifiedBy>Administrator</cp:lastModifiedBy>
  <cp:lastPrinted>2021-03-02T03:55:00Z</cp:lastPrinted>
  <dcterms:modified xsi:type="dcterms:W3CDTF">2021-03-03T11:36:42Z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