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克孜勒苏柯尔克孜自治州第二中学2021年</w:t>
      </w: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克州二中</w:t>
      </w:r>
      <w:r>
        <w:rPr>
          <w:rFonts w:hint="eastAsia" w:ascii="仿宋_GB2312" w:hAnsi="宋体" w:eastAsia="仿宋_GB2312"/>
          <w:b/>
          <w:kern w:val="0"/>
          <w:sz w:val="32"/>
          <w:szCs w:val="32"/>
        </w:rPr>
        <w:t>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eastAsia="zh-CN"/>
        </w:rPr>
        <w:t>2021年克州二中</w:t>
      </w:r>
      <w:bookmarkStart w:id="0" w:name="_GoBack"/>
      <w:bookmarkEnd w:id="0"/>
      <w:r>
        <w:rPr>
          <w:rFonts w:hint="eastAsia" w:ascii="仿宋_GB2312" w:hAnsi="宋体" w:eastAsia="仿宋_GB2312"/>
          <w:b/>
          <w:kern w:val="0"/>
          <w:sz w:val="32"/>
          <w:szCs w:val="32"/>
        </w:rPr>
        <w:t>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eastAsia="zh-CN"/>
        </w:rPr>
        <w:t>2021年克州二中</w:t>
      </w:r>
      <w:r>
        <w:rPr>
          <w:rFonts w:hint="eastAsia" w:ascii="仿宋_GB2312" w:hAnsi="宋体" w:eastAsia="仿宋_GB2312"/>
          <w:b/>
          <w:kern w:val="0"/>
          <w:sz w:val="32"/>
          <w:szCs w:val="32"/>
        </w:rPr>
        <w:t>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克州二中2021年</w:t>
      </w:r>
      <w:r>
        <w:rPr>
          <w:rFonts w:hint="eastAsia" w:ascii="仿宋_GB2312" w:hAnsi="宋体" w:eastAsia="仿宋_GB2312"/>
          <w:kern w:val="0"/>
          <w:sz w:val="32"/>
          <w:szCs w:val="32"/>
        </w:rPr>
        <w:t>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克州二中2021年</w:t>
      </w:r>
      <w:r>
        <w:rPr>
          <w:rFonts w:hint="eastAsia" w:ascii="仿宋_GB2312" w:hAnsi="宋体" w:eastAsia="仿宋_GB2312"/>
          <w:kern w:val="0"/>
          <w:sz w:val="32"/>
          <w:szCs w:val="32"/>
        </w:rPr>
        <w:t>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克州二中2021年</w:t>
      </w:r>
      <w:r>
        <w:rPr>
          <w:rFonts w:hint="eastAsia" w:ascii="仿宋_GB2312" w:hAnsi="宋体" w:eastAsia="仿宋_GB2312"/>
          <w:kern w:val="0"/>
          <w:sz w:val="32"/>
          <w:szCs w:val="32"/>
        </w:rPr>
        <w:t>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bCs/>
          <w:kern w:val="0"/>
          <w:sz w:val="32"/>
          <w:szCs w:val="32"/>
          <w:lang w:eastAsia="zh-CN"/>
        </w:rPr>
        <w:t>克州二中2021年</w:t>
      </w:r>
      <w:r>
        <w:rPr>
          <w:rFonts w:hint="eastAsia" w:ascii="仿宋_GB2312" w:hAnsi="宋体" w:eastAsia="仿宋_GB2312"/>
          <w:bCs/>
          <w:kern w:val="0"/>
          <w:sz w:val="32"/>
          <w:szCs w:val="32"/>
        </w:rPr>
        <w:t>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克州二中2021年</w:t>
      </w:r>
      <w:r>
        <w:rPr>
          <w:rFonts w:hint="eastAsia" w:ascii="仿宋_GB2312" w:hAnsi="宋体" w:eastAsia="仿宋_GB2312"/>
          <w:kern w:val="0"/>
          <w:sz w:val="32"/>
          <w:szCs w:val="32"/>
        </w:rPr>
        <w:t>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克州二中2021年</w:t>
      </w:r>
      <w:r>
        <w:rPr>
          <w:rFonts w:hint="eastAsia" w:ascii="仿宋_GB2312" w:hAnsi="宋体" w:eastAsia="仿宋_GB2312"/>
          <w:kern w:val="0"/>
          <w:sz w:val="32"/>
          <w:szCs w:val="32"/>
        </w:rPr>
        <w:t>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克州二中2021年</w:t>
      </w:r>
      <w:r>
        <w:rPr>
          <w:rFonts w:hint="eastAsia" w:ascii="仿宋_GB2312" w:hAnsi="宋体" w:eastAsia="仿宋_GB2312"/>
          <w:kern w:val="0"/>
          <w:sz w:val="32"/>
          <w:szCs w:val="32"/>
        </w:rPr>
        <w:t>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克州二中2021年</w:t>
      </w:r>
      <w:r>
        <w:rPr>
          <w:rFonts w:hint="eastAsia" w:ascii="仿宋_GB2312" w:hAnsi="宋体" w:eastAsia="仿宋_GB2312"/>
          <w:kern w:val="0"/>
          <w:sz w:val="32"/>
          <w:szCs w:val="32"/>
        </w:rPr>
        <w:t>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克州二中2021年</w:t>
      </w:r>
      <w:r>
        <w:rPr>
          <w:rFonts w:hint="eastAsia" w:ascii="仿宋_GB2312" w:hAnsi="宋体" w:eastAsia="仿宋_GB2312"/>
          <w:kern w:val="0"/>
          <w:sz w:val="32"/>
          <w:szCs w:val="32"/>
        </w:rPr>
        <w:t>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克州二中</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1" w:firstLineChars="0"/>
        <w:jc w:val="both"/>
        <w:textAlignment w:val="auto"/>
        <w:outlineLvl w:val="9"/>
        <w:rPr>
          <w:rFonts w:hint="eastAsia" w:ascii="仿宋_GB2312" w:hAnsi="宋体" w:eastAsia="仿宋_GB2312" w:cs="宋体"/>
          <w:kern w:val="0"/>
          <w:sz w:val="32"/>
          <w:szCs w:val="32"/>
        </w:rPr>
      </w:pPr>
      <w:r>
        <w:rPr>
          <w:rFonts w:hint="eastAsia" w:ascii="仿宋_GB2312" w:hAnsi="黑体" w:eastAsia="仿宋_GB2312" w:cs="宋体"/>
          <w:bCs/>
          <w:kern w:val="0"/>
          <w:sz w:val="32"/>
          <w:szCs w:val="32"/>
        </w:rPr>
        <w:t>克州二中是一所全日制中学，负责认真贯彻党和国家的教育方针政策，坚持社会主义办学方向，实行教育与生产劳动相结合,对学生进行德智体美劳等方面的教育；负责依法制定学校章程,并按照章程自主管理，配合各级人民政府依法动员、组织适龄少年入学,严格控制学生辍学,依法保证适龄少年接受义务教育；负责制定学校发展规划,并抓好组织实施和落实工作；负责按照教育主管部门发布的指导性教学计划、课程标准,组织实施教育教学活动、科学研究活动，依据国家教育主管部门有关教学计划、课程设置等方面的规定,决定和实施本校的教学计划,组织教学评比、集体备课,组织考试等；负责学籍管理和依法制定本校教师及其他职工在内的具体管理活动；负责科学管理,合理使用学校的设施和经费,并积极筹备资金,改善办学条件；负责维护学校、师生的合法权益,依法接受各级教育行政部门的检查指导和人民群众的监督，保证教育教学质量。</w:t>
      </w:r>
      <w:r>
        <w:rPr>
          <w:rFonts w:hint="eastAsia" w:ascii="仿宋_GB2312" w:hAnsi="宋体" w:eastAsia="仿宋_GB2312" w:cs="宋体"/>
          <w:kern w:val="0"/>
          <w:sz w:val="32"/>
          <w:szCs w:val="32"/>
        </w:rPr>
        <w:t xml:space="preserve">　 </w:t>
      </w:r>
    </w:p>
    <w:p>
      <w:pPr>
        <w:widowControl/>
        <w:spacing w:line="560" w:lineRule="exact"/>
        <w:ind w:firstLine="640"/>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1" w:firstLineChars="0"/>
        <w:jc w:val="both"/>
        <w:textAlignment w:val="auto"/>
        <w:outlineLvl w:val="9"/>
        <w:rPr>
          <w:rFonts w:hint="eastAsia" w:ascii="仿宋_GB2312" w:hAnsi="宋体" w:eastAsia="仿宋_GB2312" w:cs="宋体"/>
          <w:kern w:val="0"/>
          <w:sz w:val="32"/>
          <w:szCs w:val="32"/>
        </w:rPr>
      </w:pPr>
      <w:r>
        <w:rPr>
          <w:rFonts w:hint="eastAsia" w:ascii="仿宋_GB2312" w:hAnsi="黑体" w:eastAsia="仿宋_GB2312" w:cs="宋体"/>
          <w:bCs/>
          <w:kern w:val="0"/>
          <w:sz w:val="32"/>
          <w:szCs w:val="32"/>
          <w:lang w:eastAsia="zh-CN"/>
        </w:rPr>
        <w:t>克州二中</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13</w:t>
      </w:r>
      <w:r>
        <w:rPr>
          <w:rFonts w:hint="eastAsia" w:ascii="仿宋_GB2312" w:hAnsi="黑体" w:eastAsia="仿宋_GB2312" w:cs="宋体"/>
          <w:bCs/>
          <w:kern w:val="0"/>
          <w:sz w:val="32"/>
          <w:szCs w:val="32"/>
        </w:rPr>
        <w:t>个处室，分别是：</w:t>
      </w:r>
      <w:r>
        <w:rPr>
          <w:rFonts w:hint="eastAsia" w:ascii="仿宋_GB2312" w:hAnsi="仿宋" w:eastAsia="仿宋_GB2312"/>
          <w:sz w:val="32"/>
          <w:szCs w:val="32"/>
        </w:rPr>
        <w:t>办公室、教务处、教研室、政教处、总务处、工会、</w:t>
      </w:r>
      <w:r>
        <w:rPr>
          <w:rFonts w:hint="eastAsia" w:ascii="仿宋_GB2312" w:hAnsi="仿宋" w:eastAsia="仿宋_GB2312"/>
          <w:sz w:val="32"/>
          <w:szCs w:val="32"/>
          <w:lang w:eastAsia="zh-CN"/>
        </w:rPr>
        <w:t>团委、安保处、网络资源中心、资助管理中心、人事处、党建办、财务科</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1" w:firstLineChars="0"/>
        <w:jc w:val="both"/>
        <w:textAlignment w:val="auto"/>
        <w:outlineLvl w:val="9"/>
        <w:rPr>
          <w:rFonts w:ascii="仿宋_GB2312" w:hAnsi="宋体" w:eastAsia="仿宋_GB2312" w:cs="宋体"/>
          <w:b/>
          <w:kern w:val="0"/>
          <w:sz w:val="32"/>
          <w:szCs w:val="32"/>
        </w:rPr>
      </w:pPr>
      <w:r>
        <w:rPr>
          <w:rFonts w:hint="eastAsia" w:ascii="仿宋_GB2312" w:hAnsi="宋体" w:eastAsia="仿宋_GB2312" w:cs="宋体"/>
          <w:kern w:val="0"/>
          <w:sz w:val="32"/>
          <w:szCs w:val="32"/>
          <w:lang w:eastAsia="zh-CN"/>
        </w:rPr>
        <w:t>克州二中</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235</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320</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240</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人；退休</w:t>
      </w:r>
      <w:r>
        <w:rPr>
          <w:rFonts w:hint="eastAsia" w:ascii="仿宋_GB2312" w:hAnsi="宋体" w:eastAsia="仿宋_GB2312" w:cs="宋体"/>
          <w:kern w:val="0"/>
          <w:sz w:val="32"/>
          <w:szCs w:val="32"/>
          <w:lang w:val="en-US" w:eastAsia="zh-CN"/>
        </w:rPr>
        <w:t>80</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eastAsia="zh-CN"/>
        </w:rPr>
        <w:t>2021年克州二中</w:t>
      </w:r>
      <w:r>
        <w:rPr>
          <w:rFonts w:hint="eastAsia" w:ascii="黑体" w:hAnsi="黑体" w:eastAsia="黑体"/>
          <w:kern w:val="0"/>
          <w:sz w:val="32"/>
          <w:szCs w:val="32"/>
        </w:rPr>
        <w:t>预算公开表</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克州二中</w:t>
      </w:r>
      <w:r>
        <w:rPr>
          <w:rFonts w:hint="eastAsia" w:ascii="仿宋_GB2312" w:hAnsi="宋体" w:eastAsia="仿宋_GB2312"/>
          <w:b/>
          <w:kern w:val="0"/>
          <w:sz w:val="32"/>
          <w:szCs w:val="32"/>
        </w:rPr>
        <w:t>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lang w:eastAsia="zh-CN"/>
        </w:rPr>
        <w:t>编制部门（单位）</w:t>
      </w:r>
      <w:r>
        <w:rPr>
          <w:rFonts w:hint="eastAsia" w:ascii="仿宋_GB2312" w:hAnsi="宋体" w:eastAsia="仿宋_GB2312"/>
          <w:kern w:val="0"/>
          <w:sz w:val="24"/>
        </w:rPr>
        <w:t>：</w:t>
      </w:r>
      <w:r>
        <w:rPr>
          <w:rFonts w:hint="eastAsia" w:ascii="仿宋_GB2312" w:hAnsi="宋体" w:eastAsia="仿宋_GB2312"/>
          <w:kern w:val="0"/>
          <w:sz w:val="24"/>
          <w:lang w:eastAsia="zh-CN"/>
        </w:rPr>
        <w:t>克州二中</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3424.76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3424.76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ind w:firstLine="360" w:firstLineChars="20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3909.93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194.72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290.45</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lang w:val="en-US" w:eastAsia="zh-CN" w:bidi="ar-SA"/>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textAlignment w:val="center"/>
              <w:rPr>
                <w:rFonts w:ascii="宋体" w:hAnsi="宋体" w:eastAsia="宋体" w:cs="宋体"/>
                <w:color w:val="000000"/>
                <w:kern w:val="2"/>
                <w:sz w:val="18"/>
                <w:szCs w:val="18"/>
                <w:lang w:val="en-US" w:eastAsia="zh-CN" w:bidi="ar-SA"/>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3909.93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3909.93　</w:t>
            </w:r>
          </w:p>
        </w:tc>
      </w:tr>
    </w:tbl>
    <w:p>
      <w:pPr>
        <w:widowControl/>
        <w:jc w:val="left"/>
        <w:outlineLvl w:val="1"/>
        <w:rPr>
          <w:rFonts w:hint="eastAsia" w:ascii="仿宋_GB2312" w:hAnsi="宋体" w:eastAsia="仿宋_GB2312"/>
          <w:b/>
          <w:kern w:val="0"/>
          <w:sz w:val="28"/>
          <w:szCs w:val="32"/>
          <w:lang w:val="en-US" w:eastAsia="zh-CN"/>
        </w:rPr>
      </w:pPr>
      <w:r>
        <w:rPr>
          <w:rFonts w:hint="eastAsia" w:ascii="仿宋_GB2312" w:hAnsi="宋体" w:eastAsia="仿宋_GB2312"/>
          <w:b/>
          <w:kern w:val="0"/>
          <w:sz w:val="28"/>
          <w:szCs w:val="32"/>
          <w:lang w:val="en-US" w:eastAsia="zh-CN"/>
        </w:rPr>
        <w:t xml:space="preserve"> </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克州二中</w:t>
      </w:r>
      <w:r>
        <w:rPr>
          <w:rFonts w:hint="eastAsia" w:ascii="仿宋_GB2312" w:hAnsi="宋体" w:eastAsia="仿宋_GB2312"/>
          <w:b/>
          <w:kern w:val="0"/>
          <w:sz w:val="32"/>
          <w:szCs w:val="32"/>
        </w:rPr>
        <w:t>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lang w:eastAsia="zh-CN"/>
        </w:rPr>
        <w:t>编制部门（单位）</w:t>
      </w:r>
      <w:r>
        <w:rPr>
          <w:rFonts w:hint="eastAsia" w:ascii="仿宋_GB2312" w:hAnsi="宋体" w:eastAsia="仿宋_GB2312"/>
          <w:kern w:val="0"/>
          <w:sz w:val="24"/>
        </w:rPr>
        <w:t xml:space="preserve">： </w:t>
      </w:r>
      <w:r>
        <w:rPr>
          <w:rFonts w:hint="eastAsia" w:ascii="仿宋_GB2312" w:hAnsi="宋体" w:eastAsia="仿宋_GB2312"/>
          <w:kern w:val="0"/>
          <w:sz w:val="24"/>
          <w:lang w:eastAsia="zh-CN"/>
        </w:rPr>
        <w:t>克州二中</w:t>
      </w:r>
      <w:r>
        <w:rPr>
          <w:rFonts w:hint="eastAsia" w:ascii="仿宋_GB2312" w:hAnsi="宋体" w:eastAsia="仿宋_GB2312"/>
          <w:kern w:val="0"/>
          <w:sz w:val="24"/>
        </w:rPr>
        <w:t xml:space="preserve">                                      单位：万元</w:t>
      </w:r>
    </w:p>
    <w:tbl>
      <w:tblPr>
        <w:tblStyle w:val="7"/>
        <w:tblW w:w="10601" w:type="dxa"/>
        <w:jc w:val="center"/>
        <w:tblLayout w:type="fixed"/>
        <w:tblCellMar>
          <w:top w:w="0" w:type="dxa"/>
          <w:left w:w="108" w:type="dxa"/>
          <w:bottom w:w="0" w:type="dxa"/>
          <w:right w:w="108" w:type="dxa"/>
        </w:tblCellMar>
      </w:tblPr>
      <w:tblGrid>
        <w:gridCol w:w="558"/>
        <w:gridCol w:w="450"/>
        <w:gridCol w:w="525"/>
        <w:gridCol w:w="1065"/>
        <w:gridCol w:w="1028"/>
        <w:gridCol w:w="1110"/>
        <w:gridCol w:w="817"/>
        <w:gridCol w:w="555"/>
        <w:gridCol w:w="390"/>
        <w:gridCol w:w="390"/>
        <w:gridCol w:w="375"/>
        <w:gridCol w:w="420"/>
        <w:gridCol w:w="773"/>
        <w:gridCol w:w="765"/>
        <w:gridCol w:w="651"/>
        <w:gridCol w:w="729"/>
      </w:tblGrid>
      <w:tr>
        <w:tblPrEx>
          <w:tblCellMar>
            <w:top w:w="0" w:type="dxa"/>
            <w:left w:w="108" w:type="dxa"/>
            <w:bottom w:w="0" w:type="dxa"/>
            <w:right w:w="108" w:type="dxa"/>
          </w:tblCellMar>
        </w:tblPrEx>
        <w:trPr>
          <w:trHeight w:val="2671" w:hRule="atLeast"/>
          <w:jc w:val="center"/>
        </w:trPr>
        <w:tc>
          <w:tcPr>
            <w:tcW w:w="153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06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2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11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81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5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390"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国有资本经营预算</w:t>
            </w:r>
          </w:p>
        </w:tc>
        <w:tc>
          <w:tcPr>
            <w:tcW w:w="39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375" w:type="dxa"/>
            <w:tcBorders>
              <w:top w:val="single" w:color="auto" w:sz="4" w:space="0"/>
              <w:left w:val="single" w:color="auto" w:sz="4" w:space="0"/>
              <w:bottom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42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77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76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65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72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CellMar>
            <w:top w:w="0" w:type="dxa"/>
            <w:left w:w="108" w:type="dxa"/>
            <w:bottom w:w="0" w:type="dxa"/>
            <w:right w:w="108" w:type="dxa"/>
          </w:tblCellMar>
        </w:tblPrEx>
        <w:trPr>
          <w:trHeight w:val="465" w:hRule="atLeast"/>
          <w:jc w:val="center"/>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205</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教育支出</w:t>
            </w:r>
          </w:p>
        </w:tc>
        <w:tc>
          <w:tcPr>
            <w:tcW w:w="10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kern w:val="0"/>
                <w:sz w:val="18"/>
                <w:szCs w:val="18"/>
              </w:rPr>
              <w:t>3909.93</w:t>
            </w: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3424.76</w:t>
            </w:r>
          </w:p>
        </w:tc>
        <w:tc>
          <w:tcPr>
            <w:tcW w:w="8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3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3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375"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18"/>
                <w:szCs w:val="18"/>
              </w:rPr>
            </w:pPr>
          </w:p>
        </w:tc>
        <w:tc>
          <w:tcPr>
            <w:tcW w:w="42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7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194.72</w:t>
            </w:r>
          </w:p>
        </w:tc>
        <w:tc>
          <w:tcPr>
            <w:tcW w:w="76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18"/>
                <w:szCs w:val="18"/>
              </w:rPr>
            </w:pPr>
            <w:r>
              <w:rPr>
                <w:rFonts w:hint="eastAsia" w:ascii="仿宋_GB2312" w:eastAsia="仿宋_GB2312"/>
                <w:color w:val="000000"/>
                <w:sz w:val="18"/>
                <w:szCs w:val="18"/>
              </w:rPr>
              <w:t>290.4</w:t>
            </w:r>
            <w:r>
              <w:rPr>
                <w:rFonts w:hint="eastAsia" w:ascii="仿宋_GB2312" w:eastAsia="仿宋_GB2312"/>
                <w:color w:val="000000"/>
                <w:sz w:val="18"/>
                <w:szCs w:val="18"/>
                <w:lang w:val="en-US" w:eastAsia="zh-CN"/>
              </w:rPr>
              <w:t>5</w:t>
            </w:r>
          </w:p>
        </w:tc>
        <w:tc>
          <w:tcPr>
            <w:tcW w:w="65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18"/>
                <w:szCs w:val="18"/>
              </w:rPr>
            </w:pPr>
          </w:p>
        </w:tc>
        <w:tc>
          <w:tcPr>
            <w:tcW w:w="72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18"/>
                <w:szCs w:val="18"/>
              </w:rPr>
            </w:pPr>
          </w:p>
        </w:tc>
      </w:tr>
      <w:tr>
        <w:tblPrEx>
          <w:tblCellMar>
            <w:top w:w="0" w:type="dxa"/>
            <w:left w:w="108" w:type="dxa"/>
            <w:bottom w:w="0" w:type="dxa"/>
            <w:right w:w="108" w:type="dxa"/>
          </w:tblCellMar>
        </w:tblPrEx>
        <w:trPr>
          <w:trHeight w:val="465" w:hRule="atLeast"/>
          <w:jc w:val="center"/>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rPr>
              <w:t>205</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02</w:t>
            </w: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普通教育</w:t>
            </w:r>
          </w:p>
        </w:tc>
        <w:tc>
          <w:tcPr>
            <w:tcW w:w="10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rPr>
              <w:t>3909.93</w:t>
            </w: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rPr>
              <w:t>3424.76</w:t>
            </w:r>
          </w:p>
        </w:tc>
        <w:tc>
          <w:tcPr>
            <w:tcW w:w="8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39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p>
        </w:tc>
        <w:tc>
          <w:tcPr>
            <w:tcW w:w="3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375" w:type="dxa"/>
            <w:tcBorders>
              <w:top w:val="single" w:color="auto" w:sz="4" w:space="0"/>
              <w:left w:val="single" w:color="auto" w:sz="4" w:space="0"/>
              <w:bottom w:val="single" w:color="auto" w:sz="4" w:space="0"/>
              <w:right w:val="single" w:color="auto" w:sz="4" w:space="0"/>
            </w:tcBorders>
            <w:vAlign w:val="top"/>
          </w:tcPr>
          <w:p>
            <w:pPr>
              <w:jc w:val="center"/>
              <w:rPr>
                <w:rFonts w:ascii="仿宋_GB2312" w:hAnsi="Times New Roman" w:eastAsia="仿宋_GB2312" w:cs="Times New Roman"/>
                <w:color w:val="000000"/>
                <w:kern w:val="2"/>
                <w:sz w:val="18"/>
                <w:szCs w:val="18"/>
                <w:lang w:val="en-US" w:eastAsia="zh-CN" w:bidi="ar-SA"/>
              </w:rPr>
            </w:pPr>
          </w:p>
        </w:tc>
        <w:tc>
          <w:tcPr>
            <w:tcW w:w="42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77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rPr>
              <w:t>194.72</w:t>
            </w:r>
          </w:p>
        </w:tc>
        <w:tc>
          <w:tcPr>
            <w:tcW w:w="76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Times New Roman" w:eastAsia="仿宋_GB2312" w:cs="Times New Roman"/>
                <w:color w:val="000000"/>
                <w:kern w:val="2"/>
                <w:sz w:val="18"/>
                <w:szCs w:val="18"/>
                <w:lang w:val="en-US" w:eastAsia="zh-CN" w:bidi="ar-SA"/>
              </w:rPr>
            </w:pPr>
            <w:r>
              <w:rPr>
                <w:rFonts w:hint="eastAsia" w:ascii="仿宋_GB2312" w:eastAsia="仿宋_GB2312"/>
                <w:color w:val="000000"/>
                <w:sz w:val="18"/>
                <w:szCs w:val="18"/>
              </w:rPr>
              <w:t>290.4</w:t>
            </w:r>
            <w:r>
              <w:rPr>
                <w:rFonts w:hint="eastAsia" w:ascii="仿宋_GB2312" w:eastAsia="仿宋_GB2312"/>
                <w:color w:val="000000"/>
                <w:sz w:val="18"/>
                <w:szCs w:val="18"/>
                <w:lang w:val="en-US" w:eastAsia="zh-CN"/>
              </w:rPr>
              <w:t>5</w:t>
            </w:r>
          </w:p>
        </w:tc>
        <w:tc>
          <w:tcPr>
            <w:tcW w:w="65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729"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jc w:val="center"/>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rPr>
              <w:t>205</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02</w:t>
            </w: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04</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18"/>
                <w:szCs w:val="18"/>
              </w:rPr>
              <w:t>高中教育</w:t>
            </w:r>
          </w:p>
        </w:tc>
        <w:tc>
          <w:tcPr>
            <w:tcW w:w="10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rPr>
              <w:t>3909.93</w:t>
            </w: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rPr>
              <w:t>3424.76</w:t>
            </w:r>
          </w:p>
        </w:tc>
        <w:tc>
          <w:tcPr>
            <w:tcW w:w="8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39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p>
        </w:tc>
        <w:tc>
          <w:tcPr>
            <w:tcW w:w="3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375" w:type="dxa"/>
            <w:tcBorders>
              <w:top w:val="single" w:color="auto" w:sz="4" w:space="0"/>
              <w:left w:val="single" w:color="auto" w:sz="4" w:space="0"/>
              <w:bottom w:val="single" w:color="auto" w:sz="4" w:space="0"/>
              <w:right w:val="single" w:color="auto" w:sz="4" w:space="0"/>
            </w:tcBorders>
            <w:vAlign w:val="top"/>
          </w:tcPr>
          <w:p>
            <w:pPr>
              <w:jc w:val="center"/>
              <w:rPr>
                <w:rFonts w:ascii="仿宋_GB2312" w:hAnsi="Times New Roman" w:eastAsia="仿宋_GB2312" w:cs="Times New Roman"/>
                <w:color w:val="000000"/>
                <w:kern w:val="2"/>
                <w:sz w:val="18"/>
                <w:szCs w:val="18"/>
                <w:lang w:val="en-US" w:eastAsia="zh-CN" w:bidi="ar-SA"/>
              </w:rPr>
            </w:pPr>
          </w:p>
        </w:tc>
        <w:tc>
          <w:tcPr>
            <w:tcW w:w="42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77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rPr>
              <w:t>194.72</w:t>
            </w:r>
          </w:p>
        </w:tc>
        <w:tc>
          <w:tcPr>
            <w:tcW w:w="76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Times New Roman" w:eastAsia="仿宋_GB2312" w:cs="Times New Roman"/>
                <w:color w:val="000000"/>
                <w:kern w:val="2"/>
                <w:sz w:val="18"/>
                <w:szCs w:val="18"/>
                <w:lang w:val="en-US" w:eastAsia="zh-CN" w:bidi="ar-SA"/>
              </w:rPr>
            </w:pPr>
            <w:r>
              <w:rPr>
                <w:rFonts w:hint="eastAsia" w:ascii="仿宋_GB2312" w:eastAsia="仿宋_GB2312"/>
                <w:color w:val="000000"/>
                <w:sz w:val="18"/>
                <w:szCs w:val="18"/>
              </w:rPr>
              <w:t>290.4</w:t>
            </w:r>
            <w:r>
              <w:rPr>
                <w:rFonts w:hint="eastAsia" w:ascii="仿宋_GB2312" w:eastAsia="仿宋_GB2312"/>
                <w:color w:val="000000"/>
                <w:sz w:val="18"/>
                <w:szCs w:val="18"/>
                <w:lang w:val="en-US" w:eastAsia="zh-CN"/>
              </w:rPr>
              <w:t>5</w:t>
            </w:r>
          </w:p>
        </w:tc>
        <w:tc>
          <w:tcPr>
            <w:tcW w:w="65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729"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jc w:val="center"/>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2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3"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5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729"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jc w:val="center"/>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2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3"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5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729"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jc w:val="center"/>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2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3"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5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729"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jc w:val="center"/>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2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3"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5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729"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jc w:val="center"/>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2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3"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5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729"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jc w:val="center"/>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2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3"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5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729"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jc w:val="center"/>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2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3"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5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729"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jc w:val="center"/>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2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3"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5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729"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jc w:val="center"/>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2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3"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5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729"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jc w:val="center"/>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2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3"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5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729"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jc w:val="center"/>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2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3"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5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729"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jc w:val="center"/>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2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3"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5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729"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681" w:hRule="atLeast"/>
          <w:jc w:val="center"/>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kern w:val="0"/>
                <w:sz w:val="18"/>
                <w:szCs w:val="18"/>
              </w:rPr>
              <w:t>3909.93</w:t>
            </w: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18"/>
                <w:szCs w:val="18"/>
              </w:rPr>
              <w:t>3424.76</w:t>
            </w:r>
          </w:p>
        </w:tc>
        <w:tc>
          <w:tcPr>
            <w:tcW w:w="8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75" w:type="dxa"/>
            <w:tcBorders>
              <w:top w:val="single" w:color="auto" w:sz="4" w:space="0"/>
              <w:left w:val="single" w:color="auto" w:sz="4" w:space="0"/>
              <w:bottom w:val="single" w:color="auto" w:sz="4" w:space="0"/>
              <w:right w:val="single" w:color="auto" w:sz="4" w:space="0"/>
            </w:tcBorders>
            <w:vAlign w:val="top"/>
          </w:tcPr>
          <w:p>
            <w:pPr>
              <w:jc w:val="center"/>
              <w:rPr>
                <w:rFonts w:ascii="仿宋_GB2312" w:eastAsia="仿宋_GB2312"/>
                <w:color w:val="000000"/>
                <w:sz w:val="20"/>
                <w:szCs w:val="20"/>
              </w:rPr>
            </w:pPr>
          </w:p>
        </w:tc>
        <w:tc>
          <w:tcPr>
            <w:tcW w:w="42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7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18"/>
                <w:szCs w:val="18"/>
              </w:rPr>
              <w:t>194.72</w:t>
            </w:r>
          </w:p>
        </w:tc>
        <w:tc>
          <w:tcPr>
            <w:tcW w:w="76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18"/>
                <w:szCs w:val="18"/>
              </w:rPr>
              <w:t>290.4</w:t>
            </w:r>
            <w:r>
              <w:rPr>
                <w:rFonts w:hint="eastAsia" w:ascii="仿宋_GB2312" w:eastAsia="仿宋_GB2312"/>
                <w:color w:val="000000"/>
                <w:sz w:val="18"/>
                <w:szCs w:val="18"/>
                <w:lang w:val="en-US" w:eastAsia="zh-CN"/>
              </w:rPr>
              <w:t>5</w:t>
            </w:r>
          </w:p>
        </w:tc>
        <w:tc>
          <w:tcPr>
            <w:tcW w:w="65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729"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克州二中</w:t>
      </w:r>
      <w:r>
        <w:rPr>
          <w:rFonts w:hint="eastAsia" w:ascii="仿宋_GB2312" w:hAnsi="宋体" w:eastAsia="仿宋_GB2312"/>
          <w:b/>
          <w:kern w:val="0"/>
          <w:sz w:val="32"/>
          <w:szCs w:val="32"/>
        </w:rPr>
        <w:t>支出总体情况表</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1"/>
        <w:rPr>
          <w:rFonts w:ascii="仿宋_GB2312" w:hAnsi="宋体" w:eastAsia="仿宋_GB2312"/>
          <w:kern w:val="0"/>
          <w:sz w:val="24"/>
        </w:rPr>
      </w:pPr>
      <w:r>
        <w:rPr>
          <w:rFonts w:hint="eastAsia" w:ascii="仿宋_GB2312" w:hAnsi="宋体" w:eastAsia="仿宋_GB2312"/>
          <w:kern w:val="0"/>
          <w:sz w:val="24"/>
          <w:lang w:eastAsia="zh-CN"/>
        </w:rPr>
        <w:t>编制部门（单位）</w:t>
      </w:r>
      <w:r>
        <w:rPr>
          <w:rFonts w:hint="eastAsia" w:ascii="仿宋_GB2312" w:hAnsi="宋体" w:eastAsia="仿宋_GB2312"/>
          <w:kern w:val="0"/>
          <w:sz w:val="24"/>
        </w:rPr>
        <w:t>：</w:t>
      </w:r>
      <w:r>
        <w:rPr>
          <w:rFonts w:hint="eastAsia" w:ascii="仿宋_GB2312" w:hAnsi="宋体" w:eastAsia="仿宋_GB2312"/>
          <w:kern w:val="0"/>
          <w:sz w:val="24"/>
          <w:lang w:eastAsia="zh-CN"/>
        </w:rPr>
        <w:t>克州二中</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498"/>
        <w:gridCol w:w="420"/>
        <w:gridCol w:w="495"/>
        <w:gridCol w:w="2392"/>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413"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9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9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eastAsia="仿宋_GB2312"/>
                <w:color w:val="000000"/>
                <w:sz w:val="18"/>
                <w:szCs w:val="18"/>
              </w:rPr>
              <w:t>205</w:t>
            </w:r>
          </w:p>
        </w:tc>
        <w:tc>
          <w:tcPr>
            <w:tcW w:w="42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rPr>
              <w:t>教育支出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kern w:val="0"/>
                <w:sz w:val="18"/>
                <w:szCs w:val="18"/>
              </w:rPr>
              <w:t>3909.93</w:t>
            </w: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3894.9</w:t>
            </w:r>
            <w:r>
              <w:rPr>
                <w:rFonts w:hint="eastAsia" w:ascii="仿宋_GB2312" w:hAnsi="宋体" w:eastAsia="仿宋_GB2312" w:cs="宋体"/>
                <w:kern w:val="0"/>
                <w:sz w:val="18"/>
                <w:szCs w:val="18"/>
                <w:lang w:val="en-US" w:eastAsia="zh-CN"/>
              </w:rPr>
              <w:t>3</w:t>
            </w:r>
            <w:r>
              <w:rPr>
                <w:rFonts w:hint="eastAsia" w:ascii="仿宋_GB2312" w:hAnsi="宋体" w:eastAsia="仿宋_GB2312" w:cs="宋体"/>
                <w:kern w:val="0"/>
                <w:sz w:val="18"/>
                <w:szCs w:val="18"/>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15.00</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jc w:val="center"/>
              <w:rPr>
                <w:rFonts w:ascii="宋体" w:hAnsi="宋体" w:eastAsia="宋体" w:cs="宋体"/>
                <w:b/>
                <w:bCs/>
                <w:color w:val="000000"/>
                <w:kern w:val="0"/>
                <w:sz w:val="16"/>
                <w:szCs w:val="16"/>
                <w:lang w:val="en-US" w:eastAsia="zh-CN" w:bidi="ar-SA"/>
              </w:rPr>
            </w:pPr>
            <w:r>
              <w:rPr>
                <w:rFonts w:hint="eastAsia" w:ascii="仿宋_GB2312" w:eastAsia="仿宋_GB2312"/>
                <w:color w:val="000000"/>
                <w:sz w:val="18"/>
                <w:szCs w:val="18"/>
              </w:rPr>
              <w:t>205</w:t>
            </w:r>
          </w:p>
        </w:tc>
        <w:tc>
          <w:tcPr>
            <w:tcW w:w="420" w:type="dxa"/>
            <w:tcBorders>
              <w:top w:val="nil"/>
              <w:left w:val="nil"/>
              <w:bottom w:val="single" w:color="auto" w:sz="4" w:space="0"/>
              <w:right w:val="single" w:color="auto" w:sz="4" w:space="0"/>
            </w:tcBorders>
            <w:vAlign w:val="center"/>
          </w:tcPr>
          <w:p>
            <w:pPr>
              <w:jc w:val="center"/>
              <w:rPr>
                <w:rFonts w:ascii="宋体" w:hAnsi="宋体" w:eastAsia="宋体" w:cs="宋体"/>
                <w:b/>
                <w:bCs/>
                <w:color w:val="000000"/>
                <w:kern w:val="0"/>
                <w:sz w:val="16"/>
                <w:szCs w:val="16"/>
                <w:lang w:val="en-US" w:eastAsia="zh-CN" w:bidi="ar-SA"/>
              </w:rPr>
            </w:pPr>
            <w:r>
              <w:rPr>
                <w:rFonts w:hint="eastAsia" w:ascii="仿宋_GB2312" w:eastAsia="仿宋_GB2312"/>
                <w:color w:val="000000"/>
                <w:sz w:val="18"/>
                <w:szCs w:val="18"/>
                <w:lang w:val="en-US" w:eastAsia="zh-CN"/>
              </w:rPr>
              <w:t>02</w:t>
            </w:r>
          </w:p>
        </w:tc>
        <w:tc>
          <w:tcPr>
            <w:tcW w:w="495" w:type="dxa"/>
            <w:tcBorders>
              <w:top w:val="nil"/>
              <w:left w:val="nil"/>
              <w:bottom w:val="single" w:color="auto" w:sz="4" w:space="0"/>
              <w:right w:val="single" w:color="auto" w:sz="4" w:space="0"/>
            </w:tcBorders>
            <w:vAlign w:val="center"/>
          </w:tcPr>
          <w:p>
            <w:pPr>
              <w:jc w:val="center"/>
              <w:rPr>
                <w:rFonts w:ascii="宋体" w:hAnsi="宋体" w:eastAsia="宋体" w:cs="宋体"/>
                <w:b/>
                <w:bCs/>
                <w:color w:val="000000"/>
                <w:kern w:val="0"/>
                <w:sz w:val="16"/>
                <w:szCs w:val="16"/>
                <w:lang w:val="en-US" w:eastAsia="zh-CN" w:bidi="ar-SA"/>
              </w:rPr>
            </w:pPr>
          </w:p>
        </w:tc>
        <w:tc>
          <w:tcPr>
            <w:tcW w:w="23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普通教育</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仿宋_GB2312" w:hAnsi="宋体" w:eastAsia="仿宋_GB2312" w:cs="宋体"/>
                <w:kern w:val="0"/>
                <w:sz w:val="18"/>
                <w:szCs w:val="18"/>
              </w:rPr>
              <w:t>3909.93</w:t>
            </w: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3894.9</w:t>
            </w:r>
            <w:r>
              <w:rPr>
                <w:rFonts w:hint="eastAsia" w:ascii="仿宋_GB2312" w:hAnsi="宋体" w:eastAsia="仿宋_GB2312" w:cs="宋体"/>
                <w:kern w:val="0"/>
                <w:sz w:val="18"/>
                <w:szCs w:val="18"/>
                <w:lang w:val="en-US" w:eastAsia="zh-CN"/>
              </w:rPr>
              <w:t>3</w:t>
            </w:r>
            <w:r>
              <w:rPr>
                <w:rFonts w:hint="eastAsia" w:ascii="仿宋_GB2312" w:hAnsi="宋体" w:eastAsia="仿宋_GB2312" w:cs="宋体"/>
                <w:kern w:val="0"/>
                <w:sz w:val="18"/>
                <w:szCs w:val="18"/>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15.00</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jc w:val="center"/>
              <w:rPr>
                <w:rFonts w:ascii="宋体" w:hAnsi="宋体" w:eastAsia="宋体" w:cs="宋体"/>
                <w:b/>
                <w:bCs/>
                <w:color w:val="000000"/>
                <w:kern w:val="0"/>
                <w:sz w:val="16"/>
                <w:szCs w:val="16"/>
                <w:lang w:val="en-US" w:eastAsia="zh-CN" w:bidi="ar-SA"/>
              </w:rPr>
            </w:pPr>
            <w:r>
              <w:rPr>
                <w:rFonts w:hint="eastAsia" w:ascii="仿宋_GB2312" w:eastAsia="仿宋_GB2312"/>
                <w:color w:val="000000"/>
                <w:sz w:val="18"/>
                <w:szCs w:val="18"/>
              </w:rPr>
              <w:t>205</w:t>
            </w:r>
          </w:p>
        </w:tc>
        <w:tc>
          <w:tcPr>
            <w:tcW w:w="420" w:type="dxa"/>
            <w:tcBorders>
              <w:top w:val="nil"/>
              <w:left w:val="nil"/>
              <w:bottom w:val="single" w:color="auto" w:sz="4" w:space="0"/>
              <w:right w:val="single" w:color="auto" w:sz="4" w:space="0"/>
            </w:tcBorders>
            <w:vAlign w:val="center"/>
          </w:tcPr>
          <w:p>
            <w:pPr>
              <w:jc w:val="center"/>
              <w:rPr>
                <w:rFonts w:ascii="宋体" w:hAnsi="宋体" w:eastAsia="宋体" w:cs="宋体"/>
                <w:b/>
                <w:bCs/>
                <w:color w:val="000000"/>
                <w:kern w:val="0"/>
                <w:sz w:val="16"/>
                <w:szCs w:val="16"/>
                <w:lang w:val="en-US" w:eastAsia="zh-CN" w:bidi="ar-SA"/>
              </w:rPr>
            </w:pPr>
            <w:r>
              <w:rPr>
                <w:rFonts w:hint="eastAsia" w:ascii="仿宋_GB2312" w:eastAsia="仿宋_GB2312"/>
                <w:color w:val="000000"/>
                <w:sz w:val="18"/>
                <w:szCs w:val="18"/>
                <w:lang w:val="en-US" w:eastAsia="zh-CN"/>
              </w:rPr>
              <w:t>02</w:t>
            </w:r>
          </w:p>
        </w:tc>
        <w:tc>
          <w:tcPr>
            <w:tcW w:w="495" w:type="dxa"/>
            <w:tcBorders>
              <w:top w:val="nil"/>
              <w:left w:val="nil"/>
              <w:bottom w:val="single" w:color="auto" w:sz="4" w:space="0"/>
              <w:right w:val="single" w:color="auto" w:sz="4" w:space="0"/>
            </w:tcBorders>
            <w:vAlign w:val="center"/>
          </w:tcPr>
          <w:p>
            <w:pPr>
              <w:jc w:val="center"/>
              <w:rPr>
                <w:rFonts w:ascii="宋体" w:hAnsi="宋体" w:eastAsia="宋体" w:cs="宋体"/>
                <w:b/>
                <w:bCs/>
                <w:color w:val="000000"/>
                <w:kern w:val="0"/>
                <w:sz w:val="16"/>
                <w:szCs w:val="16"/>
                <w:lang w:val="en-US" w:eastAsia="zh-CN" w:bidi="ar-SA"/>
              </w:rPr>
            </w:pPr>
            <w:r>
              <w:rPr>
                <w:rFonts w:hint="eastAsia" w:ascii="仿宋_GB2312" w:eastAsia="仿宋_GB2312"/>
                <w:color w:val="000000"/>
                <w:sz w:val="18"/>
                <w:szCs w:val="18"/>
                <w:lang w:val="en-US" w:eastAsia="zh-CN"/>
              </w:rPr>
              <w:t>04</w:t>
            </w:r>
          </w:p>
        </w:tc>
        <w:tc>
          <w:tcPr>
            <w:tcW w:w="23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18"/>
                <w:szCs w:val="18"/>
              </w:rPr>
              <w:t>高中教育</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仿宋_GB2312" w:hAnsi="宋体" w:eastAsia="仿宋_GB2312" w:cs="宋体"/>
                <w:kern w:val="0"/>
                <w:sz w:val="18"/>
                <w:szCs w:val="18"/>
              </w:rPr>
              <w:t>3909.93</w:t>
            </w: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3894.9</w:t>
            </w:r>
            <w:r>
              <w:rPr>
                <w:rFonts w:hint="eastAsia" w:ascii="仿宋_GB2312" w:hAnsi="宋体" w:eastAsia="仿宋_GB2312" w:cs="宋体"/>
                <w:kern w:val="0"/>
                <w:sz w:val="18"/>
                <w:szCs w:val="18"/>
                <w:lang w:val="en-US" w:eastAsia="zh-CN"/>
              </w:rPr>
              <w:t>3</w:t>
            </w:r>
            <w:r>
              <w:rPr>
                <w:rFonts w:hint="eastAsia" w:ascii="仿宋_GB2312" w:hAnsi="宋体" w:eastAsia="仿宋_GB2312" w:cs="宋体"/>
                <w:kern w:val="0"/>
                <w:sz w:val="18"/>
                <w:szCs w:val="18"/>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15.00</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579"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9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39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r>
              <w:rPr>
                <w:rFonts w:hint="eastAsia" w:ascii="仿宋_GB2312" w:hAnsi="宋体" w:eastAsia="仿宋_GB2312" w:cs="宋体"/>
                <w:kern w:val="0"/>
                <w:sz w:val="18"/>
                <w:szCs w:val="18"/>
              </w:rPr>
              <w:t>3909.93</w:t>
            </w: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r>
              <w:rPr>
                <w:rFonts w:hint="eastAsia" w:ascii="仿宋_GB2312" w:hAnsi="宋体" w:eastAsia="仿宋_GB2312" w:cs="宋体"/>
                <w:kern w:val="0"/>
                <w:sz w:val="18"/>
                <w:szCs w:val="18"/>
              </w:rPr>
              <w:t>3894.9</w:t>
            </w:r>
            <w:r>
              <w:rPr>
                <w:rFonts w:hint="eastAsia" w:ascii="仿宋_GB2312" w:hAnsi="宋体" w:eastAsia="仿宋_GB2312" w:cs="宋体"/>
                <w:kern w:val="0"/>
                <w:sz w:val="18"/>
                <w:szCs w:val="18"/>
                <w:lang w:val="en-US" w:eastAsia="zh-CN"/>
              </w:rPr>
              <w:t>3</w:t>
            </w:r>
            <w:r>
              <w:rPr>
                <w:rFonts w:hint="eastAsia" w:ascii="仿宋_GB2312" w:hAnsi="宋体" w:eastAsia="仿宋_GB2312" w:cs="宋体"/>
                <w:kern w:val="0"/>
                <w:sz w:val="18"/>
                <w:szCs w:val="18"/>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r>
              <w:rPr>
                <w:rFonts w:hint="eastAsia" w:ascii="仿宋_GB2312" w:hAnsi="宋体" w:eastAsia="仿宋_GB2312" w:cs="宋体"/>
                <w:kern w:val="0"/>
                <w:sz w:val="18"/>
                <w:szCs w:val="18"/>
                <w:lang w:val="en-US" w:eastAsia="zh-CN"/>
              </w:rPr>
              <w:t>15.00</w:t>
            </w:r>
            <w:r>
              <w:rPr>
                <w:rFonts w:hint="eastAsia" w:ascii="仿宋_GB2312" w:hAnsi="宋体" w:eastAsia="仿宋_GB2312" w:cs="宋体"/>
                <w:kern w:val="0"/>
                <w:sz w:val="18"/>
                <w:szCs w:val="18"/>
              </w:rPr>
              <w:t>　</w:t>
            </w:r>
          </w:p>
        </w:tc>
      </w:tr>
    </w:tbl>
    <w:p>
      <w:pPr>
        <w:keepNext w:val="0"/>
        <w:keepLines w:val="0"/>
        <w:pageBreakBefore w:val="0"/>
        <w:widowControl/>
        <w:kinsoku/>
        <w:wordWrap/>
        <w:overflowPunct/>
        <w:topLinePunct w:val="0"/>
        <w:autoSpaceDE/>
        <w:autoSpaceDN/>
        <w:bidi w:val="0"/>
        <w:adjustRightInd/>
        <w:snapToGrid/>
        <w:spacing w:before="157" w:beforeLines="50" w:line="240" w:lineRule="auto"/>
        <w:ind w:left="0" w:leftChars="0" w:right="0" w:rightChars="0" w:firstLine="0" w:firstLineChars="0"/>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before="157" w:beforeLines="50" w:line="240" w:lineRule="auto"/>
        <w:ind w:left="0" w:leftChars="0" w:right="0" w:rightChars="0" w:firstLine="0" w:firstLineChars="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keepNext w:val="0"/>
        <w:keepLines w:val="0"/>
        <w:pageBreakBefore w:val="0"/>
        <w:widowControl/>
        <w:kinsoku/>
        <w:wordWrap/>
        <w:overflowPunct/>
        <w:topLinePunct w:val="0"/>
        <w:autoSpaceDE/>
        <w:autoSpaceDN/>
        <w:bidi w:val="0"/>
        <w:adjustRightInd/>
        <w:snapToGrid/>
        <w:spacing w:before="157" w:beforeLines="50" w:line="240" w:lineRule="auto"/>
        <w:ind w:left="0" w:leftChars="0" w:right="0" w:rightChars="0" w:firstLine="0" w:firstLineChars="0"/>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keepNext w:val="0"/>
        <w:keepLines w:val="0"/>
        <w:pageBreakBefore w:val="0"/>
        <w:widowControl/>
        <w:kinsoku/>
        <w:wordWrap/>
        <w:overflowPunct/>
        <w:topLinePunct w:val="0"/>
        <w:autoSpaceDE/>
        <w:autoSpaceDN/>
        <w:bidi w:val="0"/>
        <w:adjustRightInd/>
        <w:snapToGrid/>
        <w:spacing w:before="157" w:beforeLines="50" w:line="240" w:lineRule="auto"/>
        <w:ind w:left="0" w:leftChars="0" w:right="0" w:rightChars="0" w:firstLine="0" w:firstLineChars="0"/>
        <w:textAlignment w:val="auto"/>
        <w:outlineLvl w:val="1"/>
        <w:rPr>
          <w:rFonts w:ascii="仿宋_GB2312" w:hAnsi="宋体" w:eastAsia="仿宋_GB2312"/>
          <w:kern w:val="0"/>
          <w:szCs w:val="21"/>
        </w:rPr>
      </w:pPr>
      <w:r>
        <w:rPr>
          <w:rFonts w:hint="eastAsia" w:ascii="仿宋_GB2312" w:hAnsi="宋体" w:eastAsia="仿宋_GB2312"/>
          <w:kern w:val="0"/>
          <w:szCs w:val="21"/>
          <w:lang w:eastAsia="zh-CN"/>
        </w:rPr>
        <w:t>编制部门（单位）</w:t>
      </w:r>
      <w:r>
        <w:rPr>
          <w:rFonts w:hint="eastAsia" w:ascii="仿宋_GB2312" w:hAnsi="宋体" w:eastAsia="仿宋_GB2312"/>
          <w:kern w:val="0"/>
          <w:szCs w:val="21"/>
        </w:rPr>
        <w:t xml:space="preserve">： </w:t>
      </w:r>
      <w:r>
        <w:rPr>
          <w:rFonts w:hint="eastAsia" w:ascii="仿宋_GB2312" w:hAnsi="宋体" w:eastAsia="仿宋_GB2312"/>
          <w:kern w:val="0"/>
          <w:sz w:val="24"/>
          <w:lang w:eastAsia="zh-CN"/>
        </w:rPr>
        <w:t>克州二中</w:t>
      </w:r>
      <w:r>
        <w:rPr>
          <w:rFonts w:hint="eastAsia" w:ascii="仿宋_GB2312" w:hAnsi="宋体" w:eastAsia="仿宋_GB2312"/>
          <w:kern w:val="0"/>
          <w:sz w:val="24"/>
        </w:rPr>
        <w:t xml:space="preserve">   </w:t>
      </w:r>
      <w:r>
        <w:rPr>
          <w:rFonts w:hint="eastAsia" w:ascii="仿宋_GB2312" w:hAnsi="宋体" w:eastAsia="仿宋_GB2312"/>
          <w:kern w:val="0"/>
          <w:szCs w:val="21"/>
        </w:rPr>
        <w:t xml:space="preserve">                                          单位：万元</w:t>
      </w:r>
    </w:p>
    <w:tbl>
      <w:tblPr>
        <w:tblStyle w:val="7"/>
        <w:tblW w:w="9161" w:type="dxa"/>
        <w:tblInd w:w="-240" w:type="dxa"/>
        <w:tblLayout w:type="fixed"/>
        <w:tblCellMar>
          <w:top w:w="0" w:type="dxa"/>
          <w:left w:w="108" w:type="dxa"/>
          <w:bottom w:w="0" w:type="dxa"/>
          <w:right w:w="108" w:type="dxa"/>
        </w:tblCellMar>
      </w:tblPr>
      <w:tblGrid>
        <w:gridCol w:w="1701"/>
        <w:gridCol w:w="1010"/>
        <w:gridCol w:w="2476"/>
        <w:gridCol w:w="1019"/>
        <w:gridCol w:w="1005"/>
        <w:gridCol w:w="870"/>
        <w:gridCol w:w="1080"/>
      </w:tblGrid>
      <w:tr>
        <w:tblPrEx>
          <w:tblCellMar>
            <w:top w:w="0" w:type="dxa"/>
            <w:left w:w="108" w:type="dxa"/>
            <w:bottom w:w="0" w:type="dxa"/>
            <w:right w:w="108" w:type="dxa"/>
          </w:tblCellMar>
        </w:tblPrEx>
        <w:trPr>
          <w:trHeight w:val="292" w:hRule="atLeast"/>
        </w:trPr>
        <w:tc>
          <w:tcPr>
            <w:tcW w:w="2711"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50" w:type="dxa"/>
            <w:gridSpan w:val="5"/>
            <w:tcBorders>
              <w:top w:val="single" w:color="auto" w:sz="4" w:space="0"/>
              <w:left w:val="nil"/>
              <w:bottom w:val="single" w:color="auto" w:sz="4" w:space="0"/>
              <w:right w:val="single" w:color="000000" w:sz="4" w:space="0"/>
            </w:tcBorders>
            <w:vAlign w:val="center"/>
          </w:tcPr>
          <w:p>
            <w:pPr>
              <w:widowControl/>
              <w:tabs>
                <w:tab w:val="left" w:pos="5680"/>
              </w:tabs>
              <w:spacing w:line="280" w:lineRule="exact"/>
              <w:ind w:right="3320" w:rightChars="1581"/>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840" w:hRule="atLeas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47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01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10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8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1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3424.76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1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3424.76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1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国有资本经营</w:t>
            </w:r>
            <w:r>
              <w:rPr>
                <w:rFonts w:hint="eastAsia" w:ascii="仿宋_GB2312" w:hAnsi="宋体" w:eastAsia="仿宋_GB2312" w:cs="宋体"/>
                <w:color w:val="000000"/>
                <w:kern w:val="0"/>
                <w:sz w:val="18"/>
                <w:szCs w:val="18"/>
              </w:rPr>
              <w:t>预算</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3424.76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3424.76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color w:val="000000"/>
                <w:kern w:val="0"/>
                <w:sz w:val="22"/>
                <w:szCs w:val="22"/>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color w:val="000000"/>
                <w:kern w:val="0"/>
                <w:sz w:val="22"/>
                <w:szCs w:val="22"/>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ascii="宋体" w:hAnsi="宋体" w:cs="宋体"/>
                <w:kern w:val="0"/>
                <w:sz w:val="18"/>
                <w:szCs w:val="18"/>
              </w:rPr>
            </w:pPr>
          </w:p>
        </w:tc>
      </w:tr>
      <w:tr>
        <w:tblPrEx>
          <w:tblCellMar>
            <w:top w:w="0" w:type="dxa"/>
            <w:left w:w="108" w:type="dxa"/>
            <w:bottom w:w="0" w:type="dxa"/>
            <w:right w:w="108" w:type="dxa"/>
          </w:tblCellMar>
        </w:tblPrEx>
        <w:trPr>
          <w:trHeight w:val="30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10"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ascii="宋体" w:hAnsi="宋体" w:cs="宋体"/>
                <w:kern w:val="0"/>
                <w:sz w:val="18"/>
                <w:szCs w:val="18"/>
              </w:rPr>
            </w:pPr>
          </w:p>
        </w:tc>
      </w:tr>
      <w:tr>
        <w:tblPrEx>
          <w:tblCellMar>
            <w:top w:w="0" w:type="dxa"/>
            <w:left w:w="108" w:type="dxa"/>
            <w:bottom w:w="0" w:type="dxa"/>
            <w:right w:w="108" w:type="dxa"/>
          </w:tblCellMar>
        </w:tblPrEx>
        <w:trPr>
          <w:trHeight w:val="319" w:hRule="exact"/>
        </w:trPr>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1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3424.76　</w:t>
            </w:r>
          </w:p>
        </w:tc>
        <w:tc>
          <w:tcPr>
            <w:tcW w:w="247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0"/>
                <w:szCs w:val="20"/>
              </w:rPr>
            </w:pPr>
            <w:r>
              <w:rPr>
                <w:rFonts w:hint="eastAsia" w:ascii="宋体" w:hAnsi="宋体" w:cs="宋体"/>
                <w:color w:val="000000"/>
                <w:kern w:val="0"/>
                <w:sz w:val="20"/>
                <w:szCs w:val="20"/>
              </w:rPr>
              <w:t>3424.76　</w:t>
            </w:r>
          </w:p>
        </w:tc>
        <w:tc>
          <w:tcPr>
            <w:tcW w:w="100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0"/>
                <w:szCs w:val="20"/>
              </w:rPr>
            </w:pPr>
            <w:r>
              <w:rPr>
                <w:rFonts w:hint="eastAsia" w:ascii="宋体" w:hAnsi="宋体" w:cs="宋体"/>
                <w:color w:val="000000"/>
                <w:kern w:val="0"/>
                <w:sz w:val="20"/>
                <w:szCs w:val="20"/>
              </w:rPr>
              <w:t>3424.76　</w:t>
            </w:r>
          </w:p>
        </w:tc>
        <w:tc>
          <w:tcPr>
            <w:tcW w:w="87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single" w:color="auto" w:sz="4" w:space="0"/>
            </w:tcBorders>
            <w:vAlign w:val="center"/>
          </w:tcPr>
          <w:p>
            <w:pPr>
              <w:widowControl/>
              <w:spacing w:line="280" w:lineRule="exact"/>
              <w:ind w:right="3320" w:rightChars="1581"/>
              <w:jc w:val="right"/>
              <w:rPr>
                <w:rFonts w:hint="eastAsia" w:ascii="宋体" w:hAnsi="宋体" w:cs="宋体"/>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lang w:eastAsia="zh-CN"/>
              </w:rPr>
              <w:t>编制部门（单位）</w:t>
            </w:r>
            <w:r>
              <w:rPr>
                <w:rFonts w:hint="eastAsia" w:ascii="仿宋_GB2312" w:hAnsi="宋体" w:eastAsia="仿宋_GB2312" w:cs="宋体"/>
                <w:color w:val="000000"/>
                <w:kern w:val="0"/>
                <w:sz w:val="24"/>
              </w:rPr>
              <w:t>：</w:t>
            </w:r>
            <w:r>
              <w:rPr>
                <w:rFonts w:hint="eastAsia" w:ascii="仿宋_GB2312" w:hAnsi="宋体" w:eastAsia="仿宋_GB2312"/>
                <w:kern w:val="0"/>
                <w:sz w:val="24"/>
                <w:lang w:eastAsia="zh-CN"/>
              </w:rPr>
              <w:t>克州二中</w:t>
            </w:r>
            <w:r>
              <w:rPr>
                <w:rFonts w:hint="eastAsia" w:ascii="仿宋_GB2312" w:hAnsi="宋体" w:eastAsia="仿宋_GB2312"/>
                <w:kern w:val="0"/>
                <w:sz w:val="24"/>
              </w:rPr>
              <w:t xml:space="preserve">   </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eastAsia="仿宋_GB2312"/>
                <w:color w:val="000000"/>
                <w:sz w:val="18"/>
                <w:szCs w:val="18"/>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rPr>
              <w:t>教育支出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3424.76</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3409.76</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rPr>
            </w:pPr>
            <w:r>
              <w:rPr>
                <w:rFonts w:hint="eastAsia" w:ascii="仿宋_GB2312" w:hAnsi="宋体" w:eastAsia="仿宋_GB2312" w:cs="宋体"/>
                <w:b w:val="0"/>
                <w:bCs/>
                <w:color w:val="000000"/>
                <w:kern w:val="0"/>
                <w:sz w:val="20"/>
                <w:szCs w:val="20"/>
                <w:lang w:val="en-US" w:eastAsia="zh-CN"/>
              </w:rPr>
              <w:t>15.00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lang w:val="en-US" w:eastAsia="zh-CN" w:bidi="ar-SA"/>
              </w:rPr>
            </w:pPr>
            <w:r>
              <w:rPr>
                <w:rFonts w:hint="eastAsia" w:ascii="仿宋_GB2312" w:eastAsia="仿宋_GB2312"/>
                <w:color w:val="000000"/>
                <w:sz w:val="18"/>
                <w:szCs w:val="18"/>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lang w:val="en-US" w:eastAsia="zh-CN" w:bidi="ar-SA"/>
              </w:rPr>
            </w:pPr>
            <w:r>
              <w:rPr>
                <w:rFonts w:hint="eastAsia" w:ascii="仿宋_GB2312" w:eastAsia="仿宋_GB2312"/>
                <w:color w:val="000000"/>
                <w:sz w:val="18"/>
                <w:szCs w:val="18"/>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普通教育</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lang w:val="en-US" w:eastAsia="zh-CN" w:bidi="ar-SA"/>
              </w:rPr>
            </w:pPr>
            <w:r>
              <w:rPr>
                <w:rFonts w:hint="eastAsia" w:ascii="仿宋_GB2312" w:hAnsi="宋体" w:eastAsia="仿宋_GB2312" w:cs="宋体"/>
                <w:b w:val="0"/>
                <w:bCs/>
                <w:color w:val="000000"/>
                <w:kern w:val="0"/>
                <w:sz w:val="20"/>
                <w:szCs w:val="20"/>
              </w:rPr>
              <w:t>3424.76</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lang w:val="en-US" w:eastAsia="zh-CN" w:bidi="ar-SA"/>
              </w:rPr>
            </w:pPr>
            <w:r>
              <w:rPr>
                <w:rFonts w:hint="eastAsia" w:ascii="仿宋_GB2312" w:hAnsi="宋体" w:eastAsia="仿宋_GB2312" w:cs="宋体"/>
                <w:b w:val="0"/>
                <w:bCs/>
                <w:color w:val="000000"/>
                <w:kern w:val="0"/>
                <w:sz w:val="20"/>
                <w:szCs w:val="20"/>
              </w:rPr>
              <w:t>3409.76</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bidi="ar-SA"/>
              </w:rPr>
            </w:pPr>
            <w:r>
              <w:rPr>
                <w:rFonts w:hint="eastAsia" w:ascii="仿宋_GB2312" w:hAnsi="宋体" w:eastAsia="仿宋_GB2312" w:cs="宋体"/>
                <w:b w:val="0"/>
                <w:bCs/>
                <w:color w:val="000000"/>
                <w:kern w:val="0"/>
                <w:sz w:val="20"/>
                <w:szCs w:val="20"/>
                <w:lang w:val="en-US" w:eastAsia="zh-CN"/>
              </w:rPr>
              <w:t>15.00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lang w:val="en-US" w:eastAsia="zh-CN" w:bidi="ar-SA"/>
              </w:rPr>
            </w:pPr>
            <w:r>
              <w:rPr>
                <w:rFonts w:hint="eastAsia" w:ascii="仿宋_GB2312" w:eastAsia="仿宋_GB2312"/>
                <w:color w:val="000000"/>
                <w:sz w:val="18"/>
                <w:szCs w:val="18"/>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lang w:val="en-US" w:eastAsia="zh-CN" w:bidi="ar-SA"/>
              </w:rPr>
            </w:pPr>
            <w:r>
              <w:rPr>
                <w:rFonts w:hint="eastAsia" w:ascii="仿宋_GB2312" w:eastAsia="仿宋_GB2312"/>
                <w:color w:val="000000"/>
                <w:sz w:val="18"/>
                <w:szCs w:val="18"/>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lang w:val="en-US" w:eastAsia="zh-CN" w:bidi="ar-SA"/>
              </w:rPr>
            </w:pPr>
            <w:r>
              <w:rPr>
                <w:rFonts w:hint="eastAsia" w:ascii="仿宋_GB2312" w:eastAsia="仿宋_GB2312"/>
                <w:color w:val="000000"/>
                <w:sz w:val="18"/>
                <w:szCs w:val="18"/>
                <w:lang w:val="en-US" w:eastAsia="zh-CN"/>
              </w:rPr>
              <w:t>04</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18"/>
                <w:szCs w:val="18"/>
              </w:rPr>
              <w:t>高中教育</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lang w:val="en-US" w:eastAsia="zh-CN" w:bidi="ar-SA"/>
              </w:rPr>
            </w:pPr>
            <w:r>
              <w:rPr>
                <w:rFonts w:hint="eastAsia" w:ascii="仿宋_GB2312" w:hAnsi="宋体" w:eastAsia="仿宋_GB2312" w:cs="宋体"/>
                <w:b w:val="0"/>
                <w:bCs/>
                <w:color w:val="000000"/>
                <w:kern w:val="0"/>
                <w:sz w:val="20"/>
                <w:szCs w:val="20"/>
              </w:rPr>
              <w:t>3424.76</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lang w:val="en-US" w:eastAsia="zh-CN" w:bidi="ar-SA"/>
              </w:rPr>
            </w:pPr>
            <w:r>
              <w:rPr>
                <w:rFonts w:hint="eastAsia" w:ascii="仿宋_GB2312" w:hAnsi="宋体" w:eastAsia="仿宋_GB2312" w:cs="宋体"/>
                <w:b w:val="0"/>
                <w:bCs/>
                <w:color w:val="000000"/>
                <w:kern w:val="0"/>
                <w:sz w:val="20"/>
                <w:szCs w:val="20"/>
              </w:rPr>
              <w:t>3409.76</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bidi="ar-SA"/>
              </w:rPr>
            </w:pPr>
            <w:r>
              <w:rPr>
                <w:rFonts w:hint="eastAsia" w:ascii="仿宋_GB2312" w:hAnsi="宋体" w:eastAsia="仿宋_GB2312" w:cs="宋体"/>
                <w:b w:val="0"/>
                <w:bCs/>
                <w:color w:val="000000"/>
                <w:kern w:val="0"/>
                <w:sz w:val="20"/>
                <w:szCs w:val="20"/>
                <w:lang w:val="en-US" w:eastAsia="zh-CN"/>
              </w:rPr>
              <w:t>15.00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b w:val="0"/>
                <w:bCs/>
                <w:color w:val="000000"/>
                <w:kern w:val="0"/>
                <w:sz w:val="20"/>
                <w:szCs w:val="20"/>
              </w:rPr>
              <w:t>3424.76</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b w:val="0"/>
                <w:bCs/>
                <w:color w:val="000000"/>
                <w:kern w:val="0"/>
                <w:sz w:val="20"/>
                <w:szCs w:val="20"/>
              </w:rPr>
              <w:t>3409.76</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rPr>
            </w:pPr>
            <w:r>
              <w:rPr>
                <w:rFonts w:hint="eastAsia" w:ascii="仿宋_GB2312" w:hAnsi="宋体" w:eastAsia="仿宋_GB2312" w:cs="宋体"/>
                <w:b w:val="0"/>
                <w:bCs/>
                <w:color w:val="000000"/>
                <w:kern w:val="0"/>
                <w:sz w:val="20"/>
                <w:szCs w:val="20"/>
                <w:lang w:val="en-US" w:eastAsia="zh-CN"/>
              </w:rPr>
              <w:t>15.00</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lang w:eastAsia="zh-CN"/>
              </w:rPr>
              <w:t>编制部门（单位）</w:t>
            </w:r>
            <w:r>
              <w:rPr>
                <w:rFonts w:hint="eastAsia" w:ascii="仿宋_GB2312" w:hAnsi="宋体" w:eastAsia="仿宋_GB2312" w:cs="宋体"/>
                <w:color w:val="000000"/>
                <w:kern w:val="0"/>
                <w:sz w:val="24"/>
              </w:rPr>
              <w:t>：</w:t>
            </w:r>
            <w:r>
              <w:rPr>
                <w:rFonts w:hint="eastAsia" w:ascii="仿宋_GB2312" w:hAnsi="宋体" w:eastAsia="仿宋_GB2312"/>
                <w:kern w:val="0"/>
                <w:sz w:val="24"/>
                <w:lang w:eastAsia="zh-CN"/>
              </w:rPr>
              <w:t>克州二中</w:t>
            </w:r>
            <w:r>
              <w:rPr>
                <w:rFonts w:hint="eastAsia" w:ascii="仿宋_GB2312" w:hAnsi="宋体" w:eastAsia="仿宋_GB2312"/>
                <w:kern w:val="0"/>
                <w:sz w:val="24"/>
              </w:rPr>
              <w:t xml:space="preserve">   </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75"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01</w:t>
            </w:r>
          </w:p>
        </w:tc>
        <w:tc>
          <w:tcPr>
            <w:tcW w:w="2891" w:type="dxa"/>
            <w:tcBorders>
              <w:top w:val="nil"/>
              <w:left w:val="single" w:color="auto" w:sz="4" w:space="0"/>
              <w:bottom w:val="single" w:color="000000"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基本工资</w:t>
            </w:r>
          </w:p>
        </w:tc>
        <w:tc>
          <w:tcPr>
            <w:tcW w:w="1701" w:type="dxa"/>
            <w:gridSpan w:val="2"/>
            <w:tcBorders>
              <w:top w:val="nil"/>
              <w:left w:val="single" w:color="auto" w:sz="4" w:space="0"/>
              <w:bottom w:val="single" w:color="000000"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1,027.58 </w:t>
            </w:r>
          </w:p>
        </w:tc>
        <w:tc>
          <w:tcPr>
            <w:tcW w:w="1701" w:type="dxa"/>
            <w:gridSpan w:val="2"/>
            <w:tcBorders>
              <w:top w:val="nil"/>
              <w:left w:val="single" w:color="auto" w:sz="4" w:space="0"/>
              <w:bottom w:val="single" w:color="000000"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1,027.58 </w:t>
            </w:r>
          </w:p>
        </w:tc>
        <w:tc>
          <w:tcPr>
            <w:tcW w:w="1701"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75"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2891" w:type="dxa"/>
            <w:tcBorders>
              <w:top w:val="nil"/>
              <w:left w:val="single" w:color="auto" w:sz="4" w:space="0"/>
              <w:bottom w:val="single" w:color="000000"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津贴补贴</w:t>
            </w:r>
          </w:p>
        </w:tc>
        <w:tc>
          <w:tcPr>
            <w:tcW w:w="1701" w:type="dxa"/>
            <w:gridSpan w:val="2"/>
            <w:tcBorders>
              <w:top w:val="nil"/>
              <w:left w:val="single" w:color="auto" w:sz="4" w:space="0"/>
              <w:bottom w:val="single" w:color="000000"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1,260.34 </w:t>
            </w:r>
          </w:p>
        </w:tc>
        <w:tc>
          <w:tcPr>
            <w:tcW w:w="1701" w:type="dxa"/>
            <w:gridSpan w:val="2"/>
            <w:tcBorders>
              <w:top w:val="nil"/>
              <w:left w:val="single" w:color="auto" w:sz="4" w:space="0"/>
              <w:bottom w:val="single" w:color="000000"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1,260.34 </w:t>
            </w:r>
          </w:p>
        </w:tc>
        <w:tc>
          <w:tcPr>
            <w:tcW w:w="1701"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03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奖金</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85.63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85.63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333.26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333.26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12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其他社会保障缴费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171.82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171.82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13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住房公积金</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241.03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241.03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05</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水费</w:t>
            </w:r>
          </w:p>
        </w:tc>
        <w:tc>
          <w:tcPr>
            <w:tcW w:w="1701" w:type="dxa"/>
            <w:gridSpan w:val="2"/>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kern w:val="0"/>
                <w:sz w:val="20"/>
                <w:szCs w:val="20"/>
                <w:lang w:val="en-US" w:eastAsia="zh-CN" w:bidi="ar-SA"/>
              </w:rPr>
            </w:pPr>
          </w:p>
        </w:tc>
        <w:tc>
          <w:tcPr>
            <w:tcW w:w="1701" w:type="dxa"/>
            <w:gridSpan w:val="2"/>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06</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电费</w:t>
            </w:r>
          </w:p>
        </w:tc>
        <w:tc>
          <w:tcPr>
            <w:tcW w:w="1701" w:type="dxa"/>
            <w:gridSpan w:val="2"/>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kern w:val="0"/>
                <w:sz w:val="20"/>
                <w:szCs w:val="20"/>
                <w:lang w:val="en-US" w:eastAsia="zh-CN" w:bidi="ar-SA"/>
              </w:rPr>
            </w:pPr>
          </w:p>
        </w:tc>
        <w:tc>
          <w:tcPr>
            <w:tcW w:w="1701" w:type="dxa"/>
            <w:gridSpan w:val="2"/>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取暖费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84.30 </w:t>
            </w:r>
          </w:p>
        </w:tc>
        <w:tc>
          <w:tcPr>
            <w:tcW w:w="1701" w:type="dxa"/>
            <w:gridSpan w:val="2"/>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84.30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28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工会经费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14.54 </w:t>
            </w:r>
          </w:p>
        </w:tc>
        <w:tc>
          <w:tcPr>
            <w:tcW w:w="1701" w:type="dxa"/>
            <w:gridSpan w:val="2"/>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14.54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29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福利费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26.17 </w:t>
            </w:r>
          </w:p>
        </w:tc>
        <w:tc>
          <w:tcPr>
            <w:tcW w:w="1701" w:type="dxa"/>
            <w:gridSpan w:val="2"/>
            <w:tcBorders>
              <w:top w:val="nil"/>
              <w:left w:val="nil"/>
              <w:bottom w:val="single" w:color="auto" w:sz="4" w:space="0"/>
              <w:right w:val="single" w:color="auto" w:sz="4" w:space="0"/>
            </w:tcBorders>
            <w:vAlign w:val="center"/>
          </w:tcPr>
          <w:p>
            <w:pPr>
              <w:jc w:val="right"/>
              <w:rPr>
                <w:rFonts w:hint="eastAsia"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26.17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退休费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68.09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68.09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05</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生活补助</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52.34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52.34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08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助学金</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37.50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37.50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奖励金</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7.17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7.17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3,409.76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3,284.76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125.00 </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535"/>
        <w:gridCol w:w="435"/>
        <w:gridCol w:w="450"/>
        <w:gridCol w:w="630"/>
        <w:gridCol w:w="1440"/>
        <w:gridCol w:w="750"/>
        <w:gridCol w:w="110"/>
        <w:gridCol w:w="333"/>
        <w:gridCol w:w="810"/>
        <w:gridCol w:w="504"/>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lang w:eastAsia="zh-CN"/>
              </w:rPr>
              <w:t>编制部门（单位）</w:t>
            </w:r>
            <w:r>
              <w:rPr>
                <w:rFonts w:hint="eastAsia" w:ascii="仿宋_GB2312" w:hAnsi="宋体" w:eastAsia="仿宋_GB2312" w:cs="宋体"/>
                <w:color w:val="000000"/>
                <w:kern w:val="0"/>
                <w:sz w:val="24"/>
              </w:rPr>
              <w:t>：</w:t>
            </w:r>
            <w:r>
              <w:rPr>
                <w:rFonts w:hint="eastAsia" w:ascii="仿宋_GB2312" w:hAnsi="宋体" w:eastAsia="仿宋_GB2312"/>
                <w:kern w:val="0"/>
                <w:sz w:val="24"/>
                <w:lang w:eastAsia="zh-CN"/>
              </w:rPr>
              <w:t>克州二中</w:t>
            </w:r>
            <w:r>
              <w:rPr>
                <w:rFonts w:hint="eastAsia" w:ascii="仿宋_GB2312" w:hAnsi="宋体" w:eastAsia="仿宋_GB2312"/>
                <w:kern w:val="0"/>
                <w:sz w:val="24"/>
              </w:rPr>
              <w:t xml:space="preserve">   </w:t>
            </w:r>
          </w:p>
        </w:tc>
        <w:tc>
          <w:tcPr>
            <w:tcW w:w="1143"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53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2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63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40"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43"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81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0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43"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35"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5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630"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4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43"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81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0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vAlign w:val="center"/>
          </w:tcPr>
          <w:p>
            <w:pPr>
              <w:jc w:val="center"/>
              <w:rPr>
                <w:rFonts w:ascii="仿宋_GB2312" w:hAnsi="宋体" w:eastAsia="仿宋_GB2312"/>
                <w:kern w:val="0"/>
                <w:sz w:val="18"/>
                <w:szCs w:val="18"/>
              </w:rPr>
            </w:pPr>
            <w:r>
              <w:rPr>
                <w:rFonts w:hint="eastAsia" w:ascii="仿宋_GB2312" w:eastAsia="仿宋_GB2312"/>
                <w:color w:val="000000"/>
                <w:sz w:val="18"/>
                <w:szCs w:val="18"/>
              </w:rPr>
              <w:t>205</w:t>
            </w:r>
          </w:p>
        </w:tc>
        <w:tc>
          <w:tcPr>
            <w:tcW w:w="435" w:type="dxa"/>
            <w:vAlign w:val="center"/>
          </w:tcPr>
          <w:p>
            <w:pPr>
              <w:jc w:val="center"/>
              <w:rPr>
                <w:rFonts w:ascii="仿宋_GB2312" w:hAnsi="宋体" w:eastAsia="仿宋_GB2312"/>
                <w:kern w:val="0"/>
                <w:sz w:val="18"/>
                <w:szCs w:val="18"/>
              </w:rPr>
            </w:pPr>
          </w:p>
        </w:tc>
        <w:tc>
          <w:tcPr>
            <w:tcW w:w="450" w:type="dxa"/>
            <w:vAlign w:val="center"/>
          </w:tcPr>
          <w:p>
            <w:pPr>
              <w:jc w:val="center"/>
              <w:rPr>
                <w:rFonts w:ascii="仿宋_GB2312" w:hAnsi="宋体" w:eastAsia="仿宋_GB2312"/>
                <w:kern w:val="0"/>
                <w:sz w:val="18"/>
                <w:szCs w:val="18"/>
              </w:rPr>
            </w:pPr>
          </w:p>
        </w:tc>
        <w:tc>
          <w:tcPr>
            <w:tcW w:w="630" w:type="dxa"/>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rPr>
              <w:t>教育支出</w:t>
            </w:r>
          </w:p>
        </w:tc>
        <w:tc>
          <w:tcPr>
            <w:tcW w:w="1440" w:type="dxa"/>
            <w:vAlign w:val="center"/>
          </w:tcPr>
          <w:p>
            <w:pPr>
              <w:widowControl/>
              <w:tabs>
                <w:tab w:val="left" w:pos="237"/>
              </w:tabs>
              <w:jc w:val="center"/>
              <w:outlineLvl w:val="1"/>
              <w:rPr>
                <w:rFonts w:hint="eastAsia" w:ascii="仿宋_GB2312" w:hAnsi="宋体" w:eastAsia="仿宋_GB2312"/>
                <w:kern w:val="0"/>
                <w:sz w:val="18"/>
                <w:szCs w:val="18"/>
                <w:lang w:eastAsia="zh-CN"/>
              </w:rPr>
            </w:pP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15.00</w:t>
            </w:r>
          </w:p>
        </w:tc>
        <w:tc>
          <w:tcPr>
            <w:tcW w:w="443" w:type="dxa"/>
            <w:gridSpan w:val="2"/>
            <w:vAlign w:val="center"/>
          </w:tcPr>
          <w:p>
            <w:pPr>
              <w:widowControl/>
              <w:jc w:val="center"/>
              <w:outlineLvl w:val="1"/>
              <w:rPr>
                <w:rFonts w:ascii="仿宋_GB2312" w:hAnsi="宋体" w:eastAsia="仿宋_GB2312"/>
                <w:kern w:val="0"/>
                <w:sz w:val="18"/>
                <w:szCs w:val="18"/>
              </w:rPr>
            </w:pPr>
          </w:p>
        </w:tc>
        <w:tc>
          <w:tcPr>
            <w:tcW w:w="81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15.00</w:t>
            </w:r>
          </w:p>
        </w:tc>
        <w:tc>
          <w:tcPr>
            <w:tcW w:w="504" w:type="dxa"/>
            <w:vAlign w:val="center"/>
          </w:tcPr>
          <w:p>
            <w:pPr>
              <w:widowControl/>
              <w:jc w:val="center"/>
              <w:outlineLvl w:val="1"/>
              <w:rPr>
                <w:rFonts w:ascii="仿宋_GB2312" w:hAnsi="宋体" w:eastAsia="仿宋_GB2312"/>
                <w:kern w:val="0"/>
                <w:sz w:val="18"/>
                <w:szCs w:val="18"/>
              </w:rPr>
            </w:pPr>
          </w:p>
        </w:tc>
        <w:tc>
          <w:tcPr>
            <w:tcW w:w="652"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vAlign w:val="center"/>
          </w:tcPr>
          <w:p>
            <w:pPr>
              <w:jc w:val="center"/>
              <w:rPr>
                <w:rFonts w:ascii="仿宋_GB2312" w:hAnsi="宋体" w:eastAsia="仿宋_GB2312" w:cs="Times New Roman"/>
                <w:kern w:val="0"/>
                <w:sz w:val="18"/>
                <w:szCs w:val="18"/>
                <w:lang w:val="en-US" w:eastAsia="zh-CN" w:bidi="ar-SA"/>
              </w:rPr>
            </w:pPr>
            <w:r>
              <w:rPr>
                <w:rFonts w:hint="eastAsia" w:ascii="仿宋_GB2312" w:eastAsia="仿宋_GB2312"/>
                <w:color w:val="000000"/>
                <w:sz w:val="18"/>
                <w:szCs w:val="18"/>
              </w:rPr>
              <w:t>205</w:t>
            </w:r>
          </w:p>
        </w:tc>
        <w:tc>
          <w:tcPr>
            <w:tcW w:w="435" w:type="dxa"/>
            <w:vAlign w:val="center"/>
          </w:tcPr>
          <w:p>
            <w:pPr>
              <w:jc w:val="center"/>
              <w:rPr>
                <w:rFonts w:ascii="仿宋_GB2312" w:hAnsi="宋体" w:eastAsia="仿宋_GB2312" w:cs="Times New Roman"/>
                <w:kern w:val="0"/>
                <w:sz w:val="18"/>
                <w:szCs w:val="18"/>
                <w:lang w:val="en-US" w:eastAsia="zh-CN" w:bidi="ar-SA"/>
              </w:rPr>
            </w:pPr>
            <w:r>
              <w:rPr>
                <w:rFonts w:hint="eastAsia" w:ascii="仿宋_GB2312" w:eastAsia="仿宋_GB2312"/>
                <w:color w:val="000000"/>
                <w:sz w:val="18"/>
                <w:szCs w:val="18"/>
                <w:lang w:val="en-US" w:eastAsia="zh-CN"/>
              </w:rPr>
              <w:t>02</w:t>
            </w:r>
          </w:p>
        </w:tc>
        <w:tc>
          <w:tcPr>
            <w:tcW w:w="450" w:type="dxa"/>
            <w:vAlign w:val="center"/>
          </w:tcPr>
          <w:p>
            <w:pPr>
              <w:jc w:val="center"/>
              <w:rPr>
                <w:rFonts w:ascii="仿宋_GB2312" w:hAnsi="宋体" w:eastAsia="仿宋_GB2312" w:cs="Times New Roman"/>
                <w:kern w:val="0"/>
                <w:sz w:val="18"/>
                <w:szCs w:val="18"/>
                <w:lang w:val="en-US" w:eastAsia="zh-CN" w:bidi="ar-SA"/>
              </w:rPr>
            </w:pPr>
          </w:p>
        </w:tc>
        <w:tc>
          <w:tcPr>
            <w:tcW w:w="630" w:type="dxa"/>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普通教育</w:t>
            </w:r>
          </w:p>
        </w:tc>
        <w:tc>
          <w:tcPr>
            <w:tcW w:w="144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15.00</w:t>
            </w:r>
          </w:p>
        </w:tc>
        <w:tc>
          <w:tcPr>
            <w:tcW w:w="443" w:type="dxa"/>
            <w:gridSpan w:val="2"/>
            <w:vAlign w:val="center"/>
          </w:tcPr>
          <w:p>
            <w:pPr>
              <w:widowControl/>
              <w:jc w:val="center"/>
              <w:outlineLvl w:val="1"/>
              <w:rPr>
                <w:rFonts w:ascii="仿宋_GB2312" w:hAnsi="宋体" w:eastAsia="仿宋_GB2312" w:cs="Times New Roman"/>
                <w:kern w:val="0"/>
                <w:sz w:val="18"/>
                <w:szCs w:val="18"/>
                <w:lang w:val="en-US" w:eastAsia="zh-CN" w:bidi="ar-SA"/>
              </w:rPr>
            </w:pPr>
          </w:p>
        </w:tc>
        <w:tc>
          <w:tcPr>
            <w:tcW w:w="810"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15.00</w:t>
            </w:r>
          </w:p>
        </w:tc>
        <w:tc>
          <w:tcPr>
            <w:tcW w:w="50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vAlign w:val="center"/>
          </w:tcPr>
          <w:p>
            <w:pPr>
              <w:jc w:val="center"/>
              <w:rPr>
                <w:rFonts w:ascii="仿宋_GB2312" w:hAnsi="宋体" w:eastAsia="仿宋_GB2312" w:cs="Times New Roman"/>
                <w:kern w:val="0"/>
                <w:sz w:val="18"/>
                <w:szCs w:val="18"/>
                <w:lang w:val="en-US" w:eastAsia="zh-CN" w:bidi="ar-SA"/>
              </w:rPr>
            </w:pPr>
            <w:r>
              <w:rPr>
                <w:rFonts w:hint="eastAsia" w:ascii="仿宋_GB2312" w:eastAsia="仿宋_GB2312"/>
                <w:color w:val="000000"/>
                <w:sz w:val="18"/>
                <w:szCs w:val="18"/>
              </w:rPr>
              <w:t>205</w:t>
            </w:r>
          </w:p>
        </w:tc>
        <w:tc>
          <w:tcPr>
            <w:tcW w:w="435" w:type="dxa"/>
            <w:vAlign w:val="center"/>
          </w:tcPr>
          <w:p>
            <w:pPr>
              <w:jc w:val="center"/>
              <w:rPr>
                <w:rFonts w:ascii="仿宋_GB2312" w:hAnsi="宋体" w:eastAsia="仿宋_GB2312" w:cs="Times New Roman"/>
                <w:kern w:val="0"/>
                <w:sz w:val="18"/>
                <w:szCs w:val="18"/>
                <w:lang w:val="en-US" w:eastAsia="zh-CN" w:bidi="ar-SA"/>
              </w:rPr>
            </w:pPr>
            <w:r>
              <w:rPr>
                <w:rFonts w:hint="eastAsia" w:ascii="仿宋_GB2312" w:eastAsia="仿宋_GB2312"/>
                <w:color w:val="000000"/>
                <w:sz w:val="18"/>
                <w:szCs w:val="18"/>
                <w:lang w:val="en-US" w:eastAsia="zh-CN"/>
              </w:rPr>
              <w:t>02</w:t>
            </w:r>
          </w:p>
        </w:tc>
        <w:tc>
          <w:tcPr>
            <w:tcW w:w="450" w:type="dxa"/>
            <w:vAlign w:val="center"/>
          </w:tcPr>
          <w:p>
            <w:pPr>
              <w:jc w:val="center"/>
              <w:rPr>
                <w:rFonts w:ascii="仿宋_GB2312" w:hAnsi="宋体" w:eastAsia="仿宋_GB2312" w:cs="Times New Roman"/>
                <w:kern w:val="0"/>
                <w:sz w:val="18"/>
                <w:szCs w:val="18"/>
                <w:lang w:val="en-US" w:eastAsia="zh-CN" w:bidi="ar-SA"/>
              </w:rPr>
            </w:pPr>
            <w:r>
              <w:rPr>
                <w:rFonts w:hint="eastAsia" w:ascii="仿宋_GB2312" w:eastAsia="仿宋_GB2312"/>
                <w:color w:val="000000"/>
                <w:sz w:val="18"/>
                <w:szCs w:val="18"/>
                <w:lang w:val="en-US" w:eastAsia="zh-CN"/>
              </w:rPr>
              <w:t>04</w:t>
            </w:r>
          </w:p>
        </w:tc>
        <w:tc>
          <w:tcPr>
            <w:tcW w:w="630" w:type="dxa"/>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18"/>
                <w:szCs w:val="18"/>
              </w:rPr>
              <w:t>高中教育</w:t>
            </w:r>
          </w:p>
        </w:tc>
        <w:tc>
          <w:tcPr>
            <w:tcW w:w="144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18"/>
                <w:szCs w:val="18"/>
                <w:lang w:eastAsia="zh-CN"/>
              </w:rPr>
              <w:t>寄宿生住宿费（公用经费）</w:t>
            </w:r>
          </w:p>
        </w:tc>
        <w:tc>
          <w:tcPr>
            <w:tcW w:w="750"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15.00</w:t>
            </w:r>
          </w:p>
        </w:tc>
        <w:tc>
          <w:tcPr>
            <w:tcW w:w="443" w:type="dxa"/>
            <w:gridSpan w:val="2"/>
            <w:vAlign w:val="center"/>
          </w:tcPr>
          <w:p>
            <w:pPr>
              <w:widowControl/>
              <w:jc w:val="center"/>
              <w:outlineLvl w:val="1"/>
              <w:rPr>
                <w:rFonts w:ascii="仿宋_GB2312" w:hAnsi="宋体" w:eastAsia="仿宋_GB2312" w:cs="Times New Roman"/>
                <w:kern w:val="0"/>
                <w:sz w:val="18"/>
                <w:szCs w:val="18"/>
                <w:lang w:val="en-US" w:eastAsia="zh-CN" w:bidi="ar-SA"/>
              </w:rPr>
            </w:pPr>
          </w:p>
        </w:tc>
        <w:tc>
          <w:tcPr>
            <w:tcW w:w="810"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15.00</w:t>
            </w:r>
          </w:p>
        </w:tc>
        <w:tc>
          <w:tcPr>
            <w:tcW w:w="50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4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4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4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4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4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4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4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4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p>
        </w:tc>
        <w:tc>
          <w:tcPr>
            <w:tcW w:w="435" w:type="dxa"/>
          </w:tcPr>
          <w:p>
            <w:pPr>
              <w:widowControl/>
              <w:jc w:val="left"/>
              <w:outlineLvl w:val="1"/>
              <w:rPr>
                <w:rFonts w:ascii="仿宋_GB2312" w:hAnsi="宋体" w:eastAsia="仿宋_GB2312"/>
                <w:kern w:val="0"/>
                <w:sz w:val="32"/>
                <w:szCs w:val="32"/>
              </w:rPr>
            </w:pPr>
          </w:p>
        </w:tc>
        <w:tc>
          <w:tcPr>
            <w:tcW w:w="450" w:type="dxa"/>
          </w:tcPr>
          <w:p>
            <w:pPr>
              <w:widowControl/>
              <w:jc w:val="left"/>
              <w:outlineLvl w:val="1"/>
              <w:rPr>
                <w:rFonts w:ascii="仿宋_GB2312" w:hAnsi="宋体" w:eastAsia="仿宋_GB2312"/>
                <w:kern w:val="0"/>
                <w:sz w:val="32"/>
                <w:szCs w:val="32"/>
              </w:rPr>
            </w:pPr>
          </w:p>
        </w:tc>
        <w:tc>
          <w:tcPr>
            <w:tcW w:w="630" w:type="dxa"/>
          </w:tcPr>
          <w:p>
            <w:pPr>
              <w:widowControl/>
              <w:jc w:val="left"/>
              <w:outlineLvl w:val="1"/>
              <w:rPr>
                <w:rFonts w:ascii="仿宋_GB2312" w:hAnsi="宋体" w:eastAsia="仿宋_GB2312"/>
                <w:kern w:val="0"/>
                <w:sz w:val="32"/>
                <w:szCs w:val="32"/>
              </w:rPr>
            </w:pPr>
          </w:p>
        </w:tc>
        <w:tc>
          <w:tcPr>
            <w:tcW w:w="1440"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443" w:type="dxa"/>
            <w:gridSpan w:val="2"/>
          </w:tcPr>
          <w:p>
            <w:pPr>
              <w:widowControl/>
              <w:jc w:val="left"/>
              <w:outlineLvl w:val="1"/>
              <w:rPr>
                <w:rFonts w:ascii="仿宋_GB2312" w:hAnsi="宋体" w:eastAsia="仿宋_GB2312"/>
                <w:kern w:val="0"/>
                <w:sz w:val="32"/>
                <w:szCs w:val="32"/>
              </w:rPr>
            </w:pPr>
          </w:p>
        </w:tc>
        <w:tc>
          <w:tcPr>
            <w:tcW w:w="810" w:type="dxa"/>
          </w:tcPr>
          <w:p>
            <w:pPr>
              <w:widowControl/>
              <w:jc w:val="left"/>
              <w:outlineLvl w:val="1"/>
              <w:rPr>
                <w:rFonts w:ascii="仿宋_GB2312" w:hAnsi="宋体" w:eastAsia="仿宋_GB2312"/>
                <w:kern w:val="0"/>
                <w:sz w:val="32"/>
                <w:szCs w:val="32"/>
              </w:rPr>
            </w:pPr>
          </w:p>
        </w:tc>
        <w:tc>
          <w:tcPr>
            <w:tcW w:w="504"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4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4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3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40"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center"/>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15.00</w:t>
            </w:r>
          </w:p>
        </w:tc>
        <w:tc>
          <w:tcPr>
            <w:tcW w:w="44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10" w:type="dxa"/>
            <w:vAlign w:val="center"/>
          </w:tcPr>
          <w:p>
            <w:pPr>
              <w:widowControl/>
              <w:jc w:val="center"/>
              <w:outlineLvl w:val="1"/>
              <w:rPr>
                <w:rFonts w:hint="default" w:ascii="仿宋_GB2312" w:hAnsi="宋体" w:eastAsia="仿宋_GB2312"/>
                <w:kern w:val="0"/>
                <w:sz w:val="21"/>
                <w:szCs w:val="21"/>
                <w:lang w:val="en-US"/>
              </w:rPr>
            </w:pPr>
            <w:r>
              <w:rPr>
                <w:rFonts w:hint="eastAsia" w:ascii="仿宋_GB2312" w:hAnsi="宋体" w:eastAsia="仿宋_GB2312"/>
                <w:kern w:val="0"/>
                <w:sz w:val="21"/>
                <w:szCs w:val="21"/>
                <w:lang w:val="en-US" w:eastAsia="zh-CN"/>
              </w:rPr>
              <w:t>15.00</w:t>
            </w:r>
          </w:p>
        </w:tc>
        <w:tc>
          <w:tcPr>
            <w:tcW w:w="504" w:type="dxa"/>
            <w:vAlign w:val="center"/>
          </w:tcPr>
          <w:p>
            <w:pPr>
              <w:widowControl/>
              <w:jc w:val="center"/>
              <w:outlineLvl w:val="1"/>
              <w:rPr>
                <w:rFonts w:ascii="仿宋_GB2312" w:hAnsi="宋体" w:eastAsia="仿宋_GB2312"/>
                <w:kern w:val="0"/>
                <w:sz w:val="21"/>
                <w:szCs w:val="21"/>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lang w:eastAsia="zh-CN"/>
        </w:rPr>
        <w:t>编制部门（单位）</w:t>
      </w:r>
      <w:r>
        <w:rPr>
          <w:rFonts w:hint="eastAsia" w:ascii="仿宋_GB2312" w:hAnsi="宋体" w:eastAsia="仿宋_GB2312"/>
          <w:kern w:val="0"/>
          <w:sz w:val="24"/>
        </w:rPr>
        <w:t xml:space="preserve">： </w:t>
      </w:r>
      <w:r>
        <w:rPr>
          <w:rFonts w:hint="eastAsia" w:ascii="仿宋_GB2312" w:hAnsi="宋体" w:eastAsia="仿宋_GB2312"/>
          <w:kern w:val="0"/>
          <w:sz w:val="24"/>
          <w:lang w:eastAsia="zh-CN"/>
        </w:rPr>
        <w:t>克州二中</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28"/>
          <w:lang w:eastAsia="zh-CN"/>
        </w:rPr>
        <w:t>克州二中</w:t>
      </w:r>
      <w:r>
        <w:rPr>
          <w:rFonts w:hint="eastAsia" w:ascii="仿宋_GB2312" w:hAnsi="宋体" w:eastAsia="仿宋_GB2312"/>
          <w:b/>
          <w:kern w:val="0"/>
          <w:sz w:val="28"/>
          <w:szCs w:val="28"/>
        </w:rPr>
        <w:t>202</w:t>
      </w:r>
      <w:r>
        <w:rPr>
          <w:rFonts w:hint="eastAsia" w:ascii="仿宋_GB2312" w:hAnsi="宋体" w:eastAsia="仿宋_GB2312"/>
          <w:b/>
          <w:kern w:val="0"/>
          <w:sz w:val="28"/>
          <w:szCs w:val="28"/>
          <w:lang w:val="en-US" w:eastAsia="zh-CN"/>
        </w:rPr>
        <w:t>1</w:t>
      </w:r>
      <w:r>
        <w:rPr>
          <w:rFonts w:hint="eastAsia" w:ascii="仿宋_GB2312" w:hAnsi="宋体" w:eastAsia="仿宋_GB2312"/>
          <w:b/>
          <w:kern w:val="0"/>
          <w:sz w:val="28"/>
          <w:szCs w:val="28"/>
        </w:rPr>
        <w:t>年</w:t>
      </w:r>
      <w:r>
        <w:rPr>
          <w:rFonts w:hint="eastAsia" w:ascii="仿宋_GB2312" w:hAnsi="宋体" w:eastAsia="仿宋_GB2312"/>
          <w:b/>
          <w:kern w:val="0"/>
          <w:sz w:val="28"/>
          <w:szCs w:val="28"/>
          <w:lang w:eastAsia="zh-CN"/>
        </w:rPr>
        <w:t>无</w:t>
      </w:r>
      <w:r>
        <w:rPr>
          <w:rFonts w:hint="eastAsia" w:ascii="仿宋_GB2312" w:hAnsi="宋体" w:eastAsia="仿宋_GB2312"/>
          <w:b/>
          <w:kern w:val="0"/>
          <w:sz w:val="28"/>
          <w:szCs w:val="28"/>
        </w:rPr>
        <w:t>一般公共预算“三公”经费故为表空。</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textAlignment w:val="auto"/>
        <w:outlineLvl w:val="1"/>
        <w:rPr>
          <w:rFonts w:ascii="仿宋_GB2312" w:hAnsi="宋体" w:eastAsia="仿宋_GB2312"/>
          <w:kern w:val="0"/>
          <w:sz w:val="24"/>
        </w:rPr>
      </w:pPr>
      <w:r>
        <w:rPr>
          <w:rFonts w:hint="eastAsia" w:ascii="仿宋_GB2312" w:hAnsi="宋体" w:eastAsia="仿宋_GB2312"/>
          <w:kern w:val="0"/>
          <w:sz w:val="24"/>
          <w:lang w:eastAsia="zh-CN"/>
        </w:rPr>
        <w:t>编制部门（单位）</w:t>
      </w:r>
      <w:r>
        <w:rPr>
          <w:rFonts w:hint="eastAsia" w:ascii="仿宋_GB2312" w:hAnsi="宋体" w:eastAsia="仿宋_GB2312"/>
          <w:kern w:val="0"/>
          <w:sz w:val="24"/>
        </w:rPr>
        <w:t>：</w:t>
      </w:r>
      <w:r>
        <w:rPr>
          <w:rFonts w:hint="eastAsia" w:ascii="仿宋_GB2312" w:hAnsi="宋体" w:eastAsia="仿宋_GB2312"/>
          <w:kern w:val="0"/>
          <w:sz w:val="24"/>
          <w:lang w:eastAsia="zh-CN"/>
        </w:rPr>
        <w:t>克州二中</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28"/>
          <w:lang w:eastAsia="zh-CN"/>
        </w:rPr>
        <w:t>克州二中</w:t>
      </w:r>
      <w:r>
        <w:rPr>
          <w:rFonts w:hint="eastAsia" w:ascii="仿宋_GB2312" w:hAnsi="宋体" w:eastAsia="仿宋_GB2312"/>
          <w:b/>
          <w:kern w:val="0"/>
          <w:sz w:val="28"/>
          <w:szCs w:val="28"/>
        </w:rPr>
        <w:t>202</w:t>
      </w:r>
      <w:r>
        <w:rPr>
          <w:rFonts w:hint="eastAsia" w:ascii="仿宋_GB2312" w:hAnsi="宋体" w:eastAsia="仿宋_GB2312"/>
          <w:b/>
          <w:kern w:val="0"/>
          <w:sz w:val="28"/>
          <w:szCs w:val="28"/>
          <w:lang w:val="en-US" w:eastAsia="zh-CN"/>
        </w:rPr>
        <w:t>1</w:t>
      </w:r>
      <w:r>
        <w:rPr>
          <w:rFonts w:hint="eastAsia" w:ascii="仿宋_GB2312" w:hAnsi="宋体" w:eastAsia="仿宋_GB2312"/>
          <w:b/>
          <w:kern w:val="0"/>
          <w:sz w:val="28"/>
          <w:szCs w:val="28"/>
        </w:rPr>
        <w:t>年</w:t>
      </w:r>
      <w:r>
        <w:rPr>
          <w:rFonts w:hint="eastAsia" w:ascii="仿宋_GB2312" w:hAnsi="宋体" w:eastAsia="仿宋_GB2312"/>
          <w:b/>
          <w:kern w:val="0"/>
          <w:sz w:val="28"/>
          <w:szCs w:val="28"/>
          <w:lang w:eastAsia="zh-CN"/>
        </w:rPr>
        <w:t>无</w:t>
      </w:r>
      <w:r>
        <w:rPr>
          <w:rFonts w:hint="eastAsia" w:ascii="仿宋_GB2312" w:hAnsi="宋体" w:eastAsia="仿宋_GB2312"/>
          <w:b/>
          <w:kern w:val="0"/>
          <w:sz w:val="32"/>
          <w:szCs w:val="32"/>
        </w:rPr>
        <w:t>政府性基金</w:t>
      </w:r>
      <w:r>
        <w:rPr>
          <w:rFonts w:hint="eastAsia" w:ascii="仿宋_GB2312" w:hAnsi="宋体" w:eastAsia="仿宋_GB2312"/>
          <w:b/>
          <w:kern w:val="0"/>
          <w:sz w:val="28"/>
          <w:szCs w:val="28"/>
        </w:rPr>
        <w:t>故为表空</w:t>
      </w:r>
      <w:r>
        <w:rPr>
          <w:rFonts w:hint="eastAsia" w:ascii="仿宋_GB2312" w:hAnsi="宋体" w:eastAsia="仿宋_GB2312"/>
          <w:b/>
          <w:kern w:val="0"/>
          <w:sz w:val="28"/>
          <w:szCs w:val="32"/>
        </w:rPr>
        <w:t>。</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eastAsia="zh-CN"/>
        </w:rPr>
        <w:t>2021年克州二中</w:t>
      </w:r>
      <w:r>
        <w:rPr>
          <w:rFonts w:hint="eastAsia" w:ascii="黑体" w:hAnsi="黑体" w:eastAsia="黑体"/>
          <w:kern w:val="0"/>
          <w:sz w:val="32"/>
          <w:szCs w:val="32"/>
        </w:rPr>
        <w:t>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克州二中2021年</w:t>
      </w:r>
      <w:r>
        <w:rPr>
          <w:rFonts w:hint="eastAsia" w:ascii="黑体" w:hAnsi="宋体" w:eastAsia="黑体" w:cs="宋体"/>
          <w:kern w:val="0"/>
          <w:sz w:val="32"/>
          <w:szCs w:val="32"/>
        </w:rPr>
        <w:t>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克州二中2021年</w:t>
      </w:r>
      <w:r>
        <w:rPr>
          <w:rFonts w:hint="eastAsia" w:ascii="仿宋_GB2312" w:hAnsi="宋体" w:eastAsia="仿宋_GB2312" w:cs="宋体"/>
          <w:kern w:val="0"/>
          <w:sz w:val="32"/>
          <w:szCs w:val="32"/>
        </w:rPr>
        <w:t>所有收入和支出均纳入</w:t>
      </w:r>
      <w:r>
        <w:rPr>
          <w:rFonts w:hint="eastAsia" w:ascii="仿宋_GB2312" w:hAnsi="宋体" w:eastAsia="仿宋_GB2312" w:cs="宋体"/>
          <w:kern w:val="0"/>
          <w:sz w:val="32"/>
          <w:szCs w:val="32"/>
          <w:lang w:eastAsia="zh-CN"/>
        </w:rPr>
        <w:t>克州二中</w:t>
      </w:r>
      <w:r>
        <w:rPr>
          <w:rFonts w:hint="eastAsia" w:ascii="仿宋_GB2312" w:hAnsi="宋体" w:eastAsia="仿宋_GB2312" w:cs="宋体"/>
          <w:kern w:val="0"/>
          <w:sz w:val="32"/>
          <w:szCs w:val="32"/>
        </w:rPr>
        <w:t>预算管理。收支总预算3909.93万元。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收入预算包括：一般公共预算3424.76万元、单位其他资金收入194.72万元</w:t>
      </w:r>
      <w:r>
        <w:rPr>
          <w:rFonts w:hint="eastAsia" w:ascii="仿宋_GB2312" w:hAnsi="宋体" w:eastAsia="仿宋_GB2312" w:cs="宋体"/>
          <w:kern w:val="0"/>
          <w:sz w:val="32"/>
          <w:szCs w:val="32"/>
          <w:lang w:eastAsia="zh-CN"/>
        </w:rPr>
        <w:t>、上级专项收入290.45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支出预算包括：教育支出3909.93万元。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克州二中2021年</w:t>
      </w:r>
      <w:r>
        <w:rPr>
          <w:rFonts w:hint="eastAsia" w:ascii="黑体" w:hAnsi="宋体" w:eastAsia="黑体" w:cs="宋体"/>
          <w:kern w:val="0"/>
          <w:sz w:val="32"/>
          <w:szCs w:val="32"/>
        </w:rPr>
        <w:t>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克州二中</w:t>
      </w:r>
      <w:r>
        <w:rPr>
          <w:rFonts w:hint="eastAsia" w:ascii="仿宋_GB2312" w:hAnsi="宋体" w:eastAsia="仿宋_GB2312" w:cs="宋体"/>
          <w:kern w:val="0"/>
          <w:sz w:val="32"/>
          <w:szCs w:val="32"/>
        </w:rPr>
        <w:t>收入预算3909.93万元，其中：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一般公共预算3424.76万元，占</w:t>
      </w:r>
      <w:r>
        <w:rPr>
          <w:rFonts w:hint="eastAsia" w:ascii="仿宋_GB2312" w:hAnsi="宋体" w:eastAsia="仿宋_GB2312" w:cs="宋体"/>
          <w:kern w:val="0"/>
          <w:sz w:val="32"/>
          <w:szCs w:val="32"/>
          <w:lang w:val="en-US" w:eastAsia="zh-CN"/>
        </w:rPr>
        <w:t>87.58</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285.37</w:t>
      </w:r>
      <w:r>
        <w:rPr>
          <w:rFonts w:hint="eastAsia" w:ascii="仿宋_GB2312" w:hAnsi="宋体" w:eastAsia="仿宋_GB2312" w:cs="宋体"/>
          <w:kern w:val="0"/>
          <w:sz w:val="32"/>
          <w:szCs w:val="32"/>
        </w:rPr>
        <w:t>万元，主要原因是</w:t>
      </w:r>
      <w:r>
        <w:rPr>
          <w:rFonts w:hint="eastAsia" w:ascii="仿宋_GB2312" w:hAnsi="宋体" w:eastAsia="仿宋_GB2312" w:cs="宋体"/>
          <w:color w:val="000000" w:themeColor="text1"/>
          <w:kern w:val="0"/>
          <w:sz w:val="32"/>
          <w:szCs w:val="32"/>
          <w14:textFill>
            <w14:solidFill>
              <w14:schemeClr w14:val="tx1"/>
            </w14:solidFill>
          </w14:textFill>
        </w:rPr>
        <w:t>2020年预算未安排2019年新聘教师工资</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上级专项</w:t>
      </w:r>
      <w:r>
        <w:rPr>
          <w:rFonts w:hint="eastAsia" w:ascii="仿宋_GB2312" w:hAnsi="宋体" w:eastAsia="仿宋_GB2312" w:cs="宋体"/>
          <w:kern w:val="0"/>
          <w:sz w:val="32"/>
          <w:szCs w:val="32"/>
        </w:rPr>
        <w:t>收入290.4</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7.44</w:t>
      </w:r>
      <w:r>
        <w:rPr>
          <w:rFonts w:hint="eastAsia" w:ascii="仿宋_GB2312" w:hAnsi="宋体" w:eastAsia="仿宋_GB2312" w:cs="宋体"/>
          <w:kern w:val="0"/>
          <w:sz w:val="32"/>
          <w:szCs w:val="32"/>
        </w:rPr>
        <w:t>%，比上年预算减少</w:t>
      </w:r>
      <w:r>
        <w:rPr>
          <w:rFonts w:hint="eastAsia" w:ascii="仿宋_GB2312" w:hAnsi="宋体" w:eastAsia="仿宋_GB2312" w:cs="宋体"/>
          <w:kern w:val="0"/>
          <w:sz w:val="32"/>
          <w:szCs w:val="32"/>
          <w:lang w:val="en-US" w:eastAsia="zh-CN"/>
        </w:rPr>
        <w:t>31.13</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南疆四地州普通高中建档立卡家庭经济困难学生免学杂费补助资金预算安排减少</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单位其他资金收入194.72万元，占</w:t>
      </w:r>
      <w:r>
        <w:rPr>
          <w:rFonts w:hint="eastAsia" w:ascii="仿宋_GB2312" w:hAnsi="宋体" w:eastAsia="仿宋_GB2312" w:cs="宋体"/>
          <w:kern w:val="0"/>
          <w:sz w:val="32"/>
          <w:szCs w:val="32"/>
          <w:lang w:val="en-US" w:eastAsia="zh-CN"/>
        </w:rPr>
        <w:t>4.98</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109.72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2019年代收代付学生校服费未安排预算</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克州二中2021年</w:t>
      </w:r>
      <w:r>
        <w:rPr>
          <w:rFonts w:hint="eastAsia" w:ascii="黑体" w:hAnsi="宋体" w:eastAsia="黑体" w:cs="宋体"/>
          <w:kern w:val="0"/>
          <w:sz w:val="32"/>
          <w:szCs w:val="32"/>
        </w:rPr>
        <w:t>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克州二中2021年</w:t>
      </w:r>
      <w:r>
        <w:rPr>
          <w:rFonts w:hint="eastAsia" w:ascii="仿宋_GB2312" w:hAnsi="宋体" w:eastAsia="仿宋_GB2312" w:cs="宋体"/>
          <w:kern w:val="0"/>
          <w:sz w:val="32"/>
          <w:szCs w:val="32"/>
        </w:rPr>
        <w:t>支出预算</w:t>
      </w:r>
      <w:r>
        <w:rPr>
          <w:rFonts w:hint="eastAsia" w:ascii="仿宋_GB2312" w:hAnsi="宋体" w:eastAsia="仿宋_GB2312" w:cs="宋体"/>
          <w:kern w:val="0"/>
          <w:sz w:val="32"/>
          <w:szCs w:val="32"/>
          <w:lang w:val="en-US" w:eastAsia="zh-CN"/>
        </w:rPr>
        <w:t>3909.93</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3894.93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99.62</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271.82</w:t>
      </w:r>
      <w:r>
        <w:rPr>
          <w:rFonts w:hint="eastAsia" w:ascii="仿宋_GB2312" w:hAnsi="宋体" w:eastAsia="仿宋_GB2312" w:cs="宋体"/>
          <w:kern w:val="0"/>
          <w:sz w:val="32"/>
          <w:szCs w:val="32"/>
        </w:rPr>
        <w:t>万元，主要原因是</w:t>
      </w:r>
      <w:r>
        <w:rPr>
          <w:rFonts w:hint="eastAsia" w:ascii="仿宋_GB2312" w:hAnsi="宋体" w:eastAsia="仿宋_GB2312" w:cs="宋体"/>
          <w:color w:val="000000" w:themeColor="text1"/>
          <w:kern w:val="0"/>
          <w:sz w:val="32"/>
          <w:szCs w:val="32"/>
          <w14:textFill>
            <w14:solidFill>
              <w14:schemeClr w14:val="tx1"/>
            </w14:solidFill>
          </w14:textFill>
        </w:rPr>
        <w:t>2020年预算未安排2019年新聘教师工资</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b/>
          <w:spacing w:val="-6"/>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0.38</w:t>
      </w:r>
      <w:r>
        <w:rPr>
          <w:rFonts w:hint="eastAsia" w:ascii="仿宋_GB2312" w:hAnsi="宋体" w:eastAsia="仿宋_GB2312" w:cs="宋体"/>
          <w:kern w:val="0"/>
          <w:sz w:val="32"/>
          <w:szCs w:val="32"/>
        </w:rPr>
        <w:t>%，比上年预算减少</w:t>
      </w:r>
      <w:r>
        <w:rPr>
          <w:rFonts w:hint="eastAsia" w:ascii="仿宋_GB2312" w:hAnsi="宋体" w:eastAsia="仿宋_GB2312" w:cs="宋体"/>
          <w:kern w:val="0"/>
          <w:sz w:val="32"/>
          <w:szCs w:val="32"/>
          <w:lang w:val="en-US" w:eastAsia="zh-CN"/>
        </w:rPr>
        <w:t>263.85</w:t>
      </w:r>
      <w:r>
        <w:rPr>
          <w:rFonts w:hint="eastAsia" w:ascii="仿宋_GB2312" w:hAnsi="宋体" w:eastAsia="仿宋_GB2312" w:cs="宋体"/>
          <w:kern w:val="0"/>
          <w:sz w:val="32"/>
          <w:szCs w:val="32"/>
        </w:rPr>
        <w:t>万元，主要原因是</w:t>
      </w:r>
      <w:r>
        <w:rPr>
          <w:rFonts w:hint="eastAsia" w:ascii="仿宋_GB2312" w:hAnsi="宋体" w:eastAsia="仿宋_GB2312" w:cs="宋体"/>
          <w:color w:val="000000" w:themeColor="text1"/>
          <w:kern w:val="0"/>
          <w:sz w:val="32"/>
          <w:szCs w:val="32"/>
          <w14:textFill>
            <w14:solidFill>
              <w14:schemeClr w14:val="tx1"/>
            </w14:solidFill>
          </w14:textFill>
        </w:rPr>
        <w:t>20</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w:t>
      </w:r>
      <w:r>
        <w:rPr>
          <w:rFonts w:hint="eastAsia" w:ascii="仿宋_GB2312" w:hAnsi="宋体" w:eastAsia="仿宋_GB2312" w:cs="宋体"/>
          <w:color w:val="000000" w:themeColor="text1"/>
          <w:kern w:val="0"/>
          <w:sz w:val="32"/>
          <w:szCs w:val="32"/>
          <w14:textFill>
            <w14:solidFill>
              <w14:schemeClr w14:val="tx1"/>
            </w14:solidFill>
          </w14:textFill>
        </w:rPr>
        <w:t>年</w:t>
      </w:r>
      <w:r>
        <w:rPr>
          <w:rFonts w:hint="eastAsia" w:ascii="仿宋_GB2312" w:hAnsi="宋体" w:eastAsia="仿宋_GB2312" w:cs="宋体"/>
          <w:color w:val="000000" w:themeColor="text1"/>
          <w:kern w:val="0"/>
          <w:sz w:val="32"/>
          <w:szCs w:val="32"/>
          <w:lang w:eastAsia="zh-CN"/>
          <w14:textFill>
            <w14:solidFill>
              <w14:schemeClr w14:val="tx1"/>
            </w14:solidFill>
          </w14:textFill>
        </w:rPr>
        <w:t>预算安排了</w:t>
      </w:r>
      <w:r>
        <w:rPr>
          <w:rFonts w:hint="eastAsia" w:ascii="仿宋_GB2312" w:hAnsi="宋体" w:eastAsia="仿宋_GB2312" w:cs="宋体"/>
          <w:color w:val="000000" w:themeColor="text1"/>
          <w:kern w:val="0"/>
          <w:sz w:val="32"/>
          <w:szCs w:val="32"/>
          <w14:textFill>
            <w14:solidFill>
              <w14:schemeClr w14:val="tx1"/>
            </w14:solidFill>
          </w14:textFill>
        </w:rPr>
        <w:t>结</w:t>
      </w:r>
      <w:r>
        <w:rPr>
          <w:rFonts w:hint="eastAsia" w:ascii="仿宋_GB2312" w:hAnsi="宋体" w:eastAsia="仿宋_GB2312" w:cs="宋体"/>
          <w:color w:val="000000" w:themeColor="text1"/>
          <w:kern w:val="0"/>
          <w:sz w:val="32"/>
          <w:szCs w:val="32"/>
          <w:lang w:eastAsia="zh-CN"/>
          <w14:textFill>
            <w14:solidFill>
              <w14:schemeClr w14:val="tx1"/>
            </w14:solidFill>
          </w14:textFill>
        </w:rPr>
        <w:t>转结余</w:t>
      </w:r>
      <w:r>
        <w:rPr>
          <w:rFonts w:hint="eastAsia" w:ascii="仿宋_GB2312" w:hAnsi="宋体" w:eastAsia="仿宋_GB2312" w:cs="宋体"/>
          <w:color w:val="000000" w:themeColor="text1"/>
          <w:kern w:val="0"/>
          <w:sz w:val="32"/>
          <w:szCs w:val="32"/>
          <w14:textFill>
            <w14:solidFill>
              <w14:schemeClr w14:val="tx1"/>
            </w14:solidFill>
          </w14:textFill>
        </w:rPr>
        <w:t>项目资金改善普通高中办学条件264.05万元</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克州二中2021年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财政拨款收支总预算3424.76万元。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收入全部为一般公共预算拨款，无政府性基金预算拨款和国有资本经营预算。</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收入预算包括：一般公共预算拨款3424.76万元。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一般公共预算支出包括：教育支出3424.76万元，主要用于支付职工薪酬、社会保障缴费、住房公积金等和用于学校的正常运转。</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克州二中2021年</w:t>
      </w:r>
      <w:r>
        <w:rPr>
          <w:rFonts w:hint="eastAsia" w:ascii="黑体" w:hAnsi="宋体" w:eastAsia="黑体" w:cs="宋体"/>
          <w:kern w:val="0"/>
          <w:sz w:val="32"/>
          <w:szCs w:val="32"/>
        </w:rPr>
        <w:t>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克州二中2021年</w:t>
      </w:r>
      <w:r>
        <w:rPr>
          <w:rFonts w:hint="eastAsia" w:ascii="仿宋_GB2312" w:hAnsi="宋体" w:eastAsia="仿宋_GB2312" w:cs="宋体"/>
          <w:kern w:val="0"/>
          <w:sz w:val="32"/>
          <w:szCs w:val="32"/>
        </w:rPr>
        <w:t>一般公共预算拨款合计3424.76万元，其中：基本支出</w:t>
      </w:r>
      <w:r>
        <w:rPr>
          <w:rFonts w:hint="eastAsia" w:ascii="仿宋_GB2312" w:hAnsi="宋体" w:eastAsia="仿宋_GB2312" w:cs="宋体"/>
          <w:kern w:val="0"/>
          <w:sz w:val="32"/>
          <w:szCs w:val="32"/>
          <w:lang w:val="en-US" w:eastAsia="zh-CN"/>
        </w:rPr>
        <w:t>3409.76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eastAsia="zh-CN"/>
        </w:rPr>
        <w:t>预算增加</w:t>
      </w:r>
      <w:r>
        <w:rPr>
          <w:rFonts w:hint="eastAsia" w:ascii="仿宋_GB2312" w:hAnsi="宋体" w:eastAsia="仿宋_GB2312" w:cs="宋体"/>
          <w:kern w:val="0"/>
          <w:sz w:val="32"/>
          <w:szCs w:val="32"/>
          <w:highlight w:val="none"/>
          <w:lang w:val="en-US" w:eastAsia="zh-CN"/>
        </w:rPr>
        <w:t>285.17</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增长</w:t>
      </w:r>
      <w:r>
        <w:rPr>
          <w:rFonts w:hint="eastAsia" w:ascii="仿宋_GB2312" w:hAnsi="宋体" w:eastAsia="仿宋_GB2312" w:cs="宋体"/>
          <w:kern w:val="0"/>
          <w:sz w:val="32"/>
          <w:szCs w:val="32"/>
          <w:highlight w:val="none"/>
          <w:lang w:val="en-US" w:eastAsia="zh-CN"/>
        </w:rPr>
        <w:t>9.13</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rPr>
        <w:t>主要原因是：</w:t>
      </w:r>
      <w:r>
        <w:rPr>
          <w:rFonts w:hint="eastAsia" w:ascii="仿宋_GB2312" w:hAnsi="宋体" w:eastAsia="仿宋_GB2312" w:cs="宋体"/>
          <w:color w:val="000000" w:themeColor="text1"/>
          <w:kern w:val="0"/>
          <w:sz w:val="32"/>
          <w:szCs w:val="32"/>
          <w14:textFill>
            <w14:solidFill>
              <w14:schemeClr w14:val="tx1"/>
            </w14:solidFill>
          </w14:textFill>
        </w:rPr>
        <w:t>2020年预算未安排2019年新聘教师工资</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。项目支出    15万元，比上年预算增加0.2万元，增长1.35%。主要原因是：</w:t>
      </w:r>
      <w:r>
        <w:rPr>
          <w:rFonts w:hint="eastAsia" w:ascii="仿宋_GB2312" w:hAnsi="宋体" w:eastAsia="仿宋_GB2312" w:cs="宋体"/>
          <w:color w:val="000000" w:themeColor="text1"/>
          <w:kern w:val="0"/>
          <w:sz w:val="32"/>
          <w:szCs w:val="32"/>
          <w14:textFill>
            <w14:solidFill>
              <w14:schemeClr w14:val="tx1"/>
            </w14:solidFill>
          </w14:textFill>
        </w:rPr>
        <w:t>寄宿生人数增加</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w:t>
      </w:r>
      <w:r>
        <w:rPr>
          <w:rFonts w:hint="eastAsia" w:ascii="仿宋_GB2312" w:hAnsi="宋体" w:eastAsia="仿宋_GB2312" w:cs="宋体"/>
          <w:color w:val="000000" w:themeColor="text1"/>
          <w:kern w:val="0"/>
          <w:sz w:val="32"/>
          <w:szCs w:val="32"/>
          <w14:textFill>
            <w14:solidFill>
              <w14:schemeClr w14:val="tx1"/>
            </w14:solidFill>
          </w14:textFill>
        </w:rPr>
        <w:t>教育支出（类</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205</w:t>
      </w:r>
      <w:r>
        <w:rPr>
          <w:rFonts w:hint="eastAsia"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宋体" w:eastAsia="仿宋_GB2312" w:cs="宋体"/>
          <w:kern w:val="0"/>
          <w:sz w:val="32"/>
          <w:szCs w:val="32"/>
        </w:rPr>
        <w:t>3424.76</w:t>
      </w:r>
      <w:r>
        <w:rPr>
          <w:rFonts w:hint="eastAsia" w:ascii="仿宋_GB2312" w:hAnsi="宋体" w:eastAsia="仿宋_GB2312" w:cs="宋体"/>
          <w:color w:val="000000" w:themeColor="text1"/>
          <w:kern w:val="0"/>
          <w:sz w:val="32"/>
          <w:szCs w:val="32"/>
          <w14:textFill>
            <w14:solidFill>
              <w14:schemeClr w14:val="tx1"/>
            </w14:solidFill>
          </w14:textFill>
        </w:rPr>
        <w:t>万元，占100%。</w:t>
      </w:r>
    </w:p>
    <w:p>
      <w:pPr>
        <w:spacing w:line="560" w:lineRule="exact"/>
        <w:ind w:firstLine="643" w:firstLineChars="200"/>
        <w:rPr>
          <w:rFonts w:ascii="仿宋_GB2312" w:hAnsi="宋体" w:eastAsia="仿宋_GB2312" w:cs="宋体"/>
          <w:kern w:val="0"/>
          <w:sz w:val="32"/>
          <w:szCs w:val="32"/>
        </w:rPr>
      </w:pPr>
      <w:r>
        <w:rPr>
          <w:rFonts w:hint="eastAsia" w:ascii="楷体_GB2312" w:hAnsi="宋体" w:eastAsia="楷体_GB2312" w:cs="宋体"/>
          <w:b/>
          <w:kern w:val="0"/>
          <w:sz w:val="32"/>
          <w:szCs w:val="32"/>
        </w:rPr>
        <w:t>（三）一般公共预算当年拨款具体使用情况</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highlight w:val="none"/>
        </w:rPr>
        <w:t>教育支出（类</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205</w:t>
      </w:r>
      <w:r>
        <w:rPr>
          <w:rFonts w:hint="eastAsia" w:ascii="仿宋_GB2312" w:hAnsi="宋体" w:eastAsia="仿宋_GB2312" w:cs="宋体"/>
          <w:kern w:val="0"/>
          <w:sz w:val="32"/>
          <w:szCs w:val="32"/>
          <w:highlight w:val="none"/>
        </w:rPr>
        <w:t>）普通教育（款</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02</w:t>
      </w:r>
      <w:r>
        <w:rPr>
          <w:rFonts w:hint="eastAsia" w:ascii="仿宋_GB2312" w:hAnsi="宋体" w:eastAsia="仿宋_GB2312" w:cs="宋体"/>
          <w:kern w:val="0"/>
          <w:sz w:val="32"/>
          <w:szCs w:val="32"/>
          <w:highlight w:val="none"/>
        </w:rPr>
        <w:t>）高中教育（项</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04</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3909.93</w:t>
      </w:r>
      <w:r>
        <w:rPr>
          <w:rFonts w:hint="eastAsia" w:ascii="仿宋_GB2312" w:hAnsi="宋体" w:eastAsia="仿宋_GB2312" w:cs="宋体"/>
          <w:kern w:val="0"/>
          <w:sz w:val="32"/>
          <w:szCs w:val="32"/>
          <w:highlight w:val="none"/>
        </w:rPr>
        <w:t>万元，比上年</w:t>
      </w:r>
      <w:r>
        <w:rPr>
          <w:rFonts w:hint="eastAsia" w:ascii="仿宋_GB2312" w:hAnsi="宋体" w:eastAsia="仿宋_GB2312" w:cs="宋体"/>
          <w:kern w:val="0"/>
          <w:sz w:val="32"/>
          <w:szCs w:val="32"/>
          <w:highlight w:val="none"/>
          <w:lang w:eastAsia="zh-CN"/>
        </w:rPr>
        <w:t>预算增加</w:t>
      </w:r>
      <w:r>
        <w:rPr>
          <w:rFonts w:hint="eastAsia" w:ascii="仿宋_GB2312" w:hAnsi="宋体" w:eastAsia="仿宋_GB2312" w:cs="宋体"/>
          <w:kern w:val="0"/>
          <w:sz w:val="32"/>
          <w:szCs w:val="32"/>
          <w:highlight w:val="none"/>
          <w:lang w:val="en-US" w:eastAsia="zh-CN"/>
        </w:rPr>
        <w:t>22.77</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5.86</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调资导致应付职工薪酬增加，</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2020年</w:t>
      </w:r>
      <w:r>
        <w:rPr>
          <w:rFonts w:hint="eastAsia" w:ascii="仿宋_GB2312" w:hAnsi="宋体" w:eastAsia="仿宋_GB2312" w:cs="宋体"/>
          <w:color w:val="000000" w:themeColor="text1"/>
          <w:kern w:val="0"/>
          <w:sz w:val="32"/>
          <w:szCs w:val="32"/>
          <w14:textFill>
            <w14:solidFill>
              <w14:schemeClr w14:val="tx1"/>
            </w14:solidFill>
          </w14:textFill>
        </w:rPr>
        <w:t>教育支出（类）普通教育（款）其他教育支出（项）</w:t>
      </w:r>
      <w:r>
        <w:rPr>
          <w:rFonts w:hint="eastAsia" w:ascii="仿宋_GB2312" w:hAnsi="宋体" w:eastAsia="仿宋_GB2312" w:cs="宋体"/>
          <w:color w:val="000000" w:themeColor="text1"/>
          <w:kern w:val="0"/>
          <w:sz w:val="32"/>
          <w:szCs w:val="32"/>
          <w:lang w:eastAsia="zh-CN"/>
          <w14:textFill>
            <w14:solidFill>
              <w14:schemeClr w14:val="tx1"/>
            </w14:solidFill>
          </w14:textFill>
        </w:rPr>
        <w:t>今年调整到该款项</w:t>
      </w:r>
      <w:r>
        <w:rPr>
          <w:rFonts w:hint="eastAsia" w:ascii="仿宋_GB2312" w:hAnsi="宋体" w:eastAsia="仿宋_GB2312" w:cs="宋体"/>
          <w:kern w:val="0"/>
          <w:sz w:val="32"/>
          <w:szCs w:val="32"/>
          <w:highlight w:val="none"/>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克州二中2021年</w:t>
      </w:r>
      <w:r>
        <w:rPr>
          <w:rFonts w:hint="eastAsia" w:ascii="黑体" w:hAnsi="宋体" w:eastAsia="黑体" w:cs="宋体"/>
          <w:kern w:val="0"/>
          <w:sz w:val="32"/>
          <w:szCs w:val="32"/>
        </w:rPr>
        <w:t>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克州二中2021年</w:t>
      </w:r>
      <w:r>
        <w:rPr>
          <w:rFonts w:hint="eastAsia" w:ascii="仿宋_GB2312" w:hAnsi="宋体" w:eastAsia="仿宋_GB2312" w:cs="宋体"/>
          <w:kern w:val="0"/>
          <w:sz w:val="32"/>
          <w:szCs w:val="32"/>
        </w:rPr>
        <w:t>一般公共预算基本支出</w:t>
      </w:r>
      <w:r>
        <w:rPr>
          <w:rFonts w:hint="eastAsia" w:ascii="仿宋_GB2312" w:hAnsi="宋体" w:eastAsia="仿宋_GB2312" w:cs="宋体"/>
          <w:kern w:val="0"/>
          <w:sz w:val="32"/>
          <w:szCs w:val="32"/>
          <w:lang w:val="en-US" w:eastAsia="zh-CN"/>
        </w:rPr>
        <w:t>3409.76</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3284.76</w:t>
      </w:r>
      <w:r>
        <w:rPr>
          <w:rFonts w:hint="eastAsia" w:ascii="仿宋_GB2312" w:hAnsi="宋体" w:eastAsia="仿宋_GB2312" w:cs="宋体"/>
          <w:kern w:val="0"/>
          <w:sz w:val="32"/>
          <w:szCs w:val="32"/>
        </w:rPr>
        <w:t>万元，主要包括：基本工资1027.58</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eastAsia="zh-CN"/>
        </w:rPr>
        <w:t>1260.3</w:t>
      </w:r>
      <w:r>
        <w:rPr>
          <w:rFonts w:hint="eastAsia" w:ascii="仿宋_GB2312" w:hAnsi="宋体" w:eastAsia="仿宋_GB2312" w:cs="宋体"/>
          <w:kern w:val="0"/>
          <w:sz w:val="32"/>
          <w:szCs w:val="32"/>
          <w:lang w:val="en-US" w:eastAsia="zh-CN"/>
        </w:rPr>
        <w:t>4万元</w:t>
      </w:r>
      <w:r>
        <w:rPr>
          <w:rFonts w:hint="eastAsia" w:ascii="仿宋_GB2312" w:hAnsi="宋体" w:eastAsia="仿宋_GB2312" w:cs="宋体"/>
          <w:kern w:val="0"/>
          <w:sz w:val="32"/>
          <w:szCs w:val="32"/>
        </w:rPr>
        <w:t>、奖金85.63</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eastAsia="zh-CN"/>
        </w:rPr>
        <w:t>333.2</w:t>
      </w:r>
      <w:r>
        <w:rPr>
          <w:rFonts w:hint="eastAsia" w:ascii="仿宋_GB2312" w:hAnsi="宋体" w:eastAsia="仿宋_GB2312" w:cs="宋体"/>
          <w:kern w:val="0"/>
          <w:sz w:val="32"/>
          <w:szCs w:val="32"/>
          <w:lang w:val="en-US" w:eastAsia="zh-CN"/>
        </w:rPr>
        <w:t>6万元</w:t>
      </w:r>
      <w:r>
        <w:rPr>
          <w:rFonts w:hint="eastAsia" w:ascii="仿宋_GB2312" w:hAnsi="宋体" w:eastAsia="仿宋_GB2312" w:cs="宋体"/>
          <w:kern w:val="0"/>
          <w:sz w:val="32"/>
          <w:szCs w:val="32"/>
        </w:rPr>
        <w:t>、其他社会保障缴费171.8</w:t>
      </w:r>
      <w:r>
        <w:rPr>
          <w:rFonts w:hint="eastAsia" w:ascii="仿宋_GB2312" w:hAnsi="宋体" w:eastAsia="仿宋_GB2312" w:cs="宋体"/>
          <w:kern w:val="0"/>
          <w:sz w:val="32"/>
          <w:szCs w:val="32"/>
          <w:lang w:val="en-US" w:eastAsia="zh-CN"/>
        </w:rPr>
        <w:t>2万元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241.03万元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68.09万元</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val="en-US" w:eastAsia="zh-CN"/>
        </w:rPr>
        <w:t>52.34万元</w:t>
      </w:r>
      <w:r>
        <w:rPr>
          <w:rFonts w:hint="eastAsia" w:ascii="仿宋_GB2312" w:hAnsi="宋体" w:eastAsia="仿宋_GB2312" w:cs="宋体"/>
          <w:kern w:val="0"/>
          <w:sz w:val="32"/>
          <w:szCs w:val="32"/>
        </w:rPr>
        <w:t>、助学金</w:t>
      </w:r>
      <w:r>
        <w:rPr>
          <w:rFonts w:hint="eastAsia" w:ascii="仿宋_GB2312" w:hAnsi="宋体" w:eastAsia="仿宋_GB2312" w:cs="宋体"/>
          <w:kern w:val="0"/>
          <w:sz w:val="32"/>
          <w:szCs w:val="32"/>
          <w:lang w:val="en-US" w:eastAsia="zh-CN"/>
        </w:rPr>
        <w:t>37.50万元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7.17万元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125</w:t>
      </w:r>
      <w:r>
        <w:rPr>
          <w:rFonts w:hint="eastAsia" w:ascii="仿宋_GB2312" w:hAnsi="宋体" w:eastAsia="仿宋_GB2312" w:cs="宋体"/>
          <w:kern w:val="0"/>
          <w:sz w:val="32"/>
          <w:szCs w:val="32"/>
        </w:rPr>
        <w:t>万元，主要包括：取暖费</w:t>
      </w:r>
      <w:r>
        <w:rPr>
          <w:rFonts w:hint="eastAsia" w:ascii="仿宋_GB2312" w:hAnsi="宋体" w:eastAsia="仿宋_GB2312" w:cs="宋体"/>
          <w:kern w:val="0"/>
          <w:sz w:val="32"/>
          <w:szCs w:val="32"/>
          <w:lang w:val="en-US" w:eastAsia="zh-CN"/>
        </w:rPr>
        <w:t>84.30万元、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14.54万元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26.16万元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克州二中2021年</w:t>
      </w:r>
      <w:r>
        <w:rPr>
          <w:rFonts w:hint="eastAsia" w:ascii="黑体" w:hAnsi="宋体" w:eastAsia="黑体" w:cs="宋体"/>
          <w:kern w:val="0"/>
          <w:sz w:val="32"/>
          <w:szCs w:val="32"/>
        </w:rPr>
        <w:t>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：寄宿生住宿费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：根据州财政局相关政策</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15</w:t>
      </w:r>
      <w:r>
        <w:rPr>
          <w:rFonts w:hint="eastAsia" w:ascii="仿宋_GB2312" w:hAnsi="黑体" w:eastAsia="仿宋_GB2312"/>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：克州二中</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：主要用于学校运行水费、电费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：2020年1月至12月</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克州二中2021年</w:t>
      </w:r>
      <w:r>
        <w:rPr>
          <w:rFonts w:hint="eastAsia" w:ascii="黑体" w:hAnsi="宋体" w:eastAsia="黑体" w:cs="宋体"/>
          <w:kern w:val="0"/>
          <w:sz w:val="32"/>
          <w:szCs w:val="32"/>
        </w:rPr>
        <w:t>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克州二中2021年</w:t>
      </w:r>
      <w:r>
        <w:rPr>
          <w:rFonts w:hint="eastAsia" w:ascii="仿宋_GB2312" w:hAnsi="宋体" w:eastAsia="仿宋_GB2312" w:cs="宋体"/>
          <w:kern w:val="0"/>
          <w:sz w:val="32"/>
          <w:szCs w:val="32"/>
        </w:rPr>
        <w:t>一般公共预算“三公”经费数为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万元，其中：因公出国（境）费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一般公共预算“三公”经费比上年增加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万元，主要原因是未安排预算；公务用车购置费为0，未安排预算。公务用车运行费增加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万元，主要原因是未安排预算；公务接待费增加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克州二中2021年</w:t>
      </w:r>
      <w:r>
        <w:rPr>
          <w:rFonts w:hint="eastAsia" w:ascii="黑体" w:hAnsi="宋体" w:eastAsia="黑体" w:cs="宋体"/>
          <w:kern w:val="0"/>
          <w:sz w:val="32"/>
          <w:szCs w:val="32"/>
        </w:rPr>
        <w:t>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克州二中2021年</w:t>
      </w:r>
      <w:r>
        <w:rPr>
          <w:rFonts w:hint="eastAsia" w:ascii="仿宋_GB2312" w:hAnsi="宋体" w:eastAsia="仿宋_GB2312" w:cs="宋体"/>
          <w:kern w:val="0"/>
          <w:sz w:val="32"/>
          <w:szCs w:val="32"/>
        </w:rPr>
        <w:t>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，克州二中本级及下属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125</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3.03</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2.48</w:t>
      </w:r>
      <w:r>
        <w:rPr>
          <w:rFonts w:hint="eastAsia" w:ascii="仿宋_GB2312" w:hAnsi="宋体" w:eastAsia="仿宋_GB2312" w:cs="宋体"/>
          <w:kern w:val="0"/>
          <w:sz w:val="32"/>
          <w:szCs w:val="32"/>
        </w:rPr>
        <w:t>%。主要原因是</w:t>
      </w:r>
      <w:r>
        <w:rPr>
          <w:rFonts w:hint="eastAsia" w:ascii="仿宋_GB2312" w:hAnsi="宋体" w:eastAsia="仿宋_GB2312" w:cs="宋体"/>
          <w:color w:val="000000" w:themeColor="text1"/>
          <w:kern w:val="0"/>
          <w:sz w:val="32"/>
          <w:szCs w:val="32"/>
          <w14:textFill>
            <w14:solidFill>
              <w14:schemeClr w14:val="tx1"/>
            </w14:solidFill>
          </w14:textFill>
        </w:rPr>
        <w:t>202</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2"/>
          <w14:textFill>
            <w14:solidFill>
              <w14:schemeClr w14:val="tx1"/>
            </w14:solidFill>
          </w14:textFill>
        </w:rPr>
        <w:t>年我单位劳务费</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专用材料费、差旅费、办公费、水电费、邮电费、培训费、维修(护)费等支出使用高中免学费公用经费专项和城乡义务教育补助资金专项，高中免学费公用经费专项和城乡义务教育补助资金专项预算列入上级专项收入</w:t>
      </w:r>
      <w:r>
        <w:rPr>
          <w:rFonts w:hint="eastAsia" w:ascii="仿宋_GB2312" w:hAnsi="宋体" w:eastAsia="仿宋_GB2312" w:cs="宋体"/>
          <w:color w:val="000000" w:themeColor="text1"/>
          <w:kern w:val="0"/>
          <w:sz w:val="32"/>
          <w:szCs w:val="32"/>
          <w:lang w:eastAsia="zh-CN"/>
          <w14:textFill>
            <w14:solidFill>
              <w14:schemeClr w14:val="tx1"/>
            </w14:solidFill>
          </w14:textFill>
        </w:rPr>
        <w:t>，福利费和工会经费略有增加</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克州二中</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412.50</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336.49</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6.8</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69.21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eastAsia="zh-CN"/>
        </w:rPr>
        <w:t>2021年</w:t>
      </w:r>
      <w:r>
        <w:rPr>
          <w:rFonts w:hint="eastAsia" w:ascii="仿宋_GB2312" w:hAnsi="仿宋_GB2312" w:eastAsia="仿宋_GB2312"/>
          <w:sz w:val="32"/>
        </w:rPr>
        <w:t>度本</w:t>
      </w:r>
      <w:r>
        <w:rPr>
          <w:rFonts w:hint="eastAsia" w:ascii="仿宋_GB2312" w:hAnsi="仿宋_GB2312" w:eastAsia="仿宋_GB2312"/>
          <w:sz w:val="32"/>
          <w:lang w:eastAsia="zh-CN"/>
        </w:rPr>
        <w:t>克州二中</w:t>
      </w:r>
      <w:r>
        <w:rPr>
          <w:rFonts w:hint="eastAsia" w:ascii="仿宋_GB2312" w:hAnsi="仿宋_GB2312" w:eastAsia="仿宋_GB2312"/>
          <w:sz w:val="32"/>
        </w:rPr>
        <w:t>面向中小企业预留政府采购项目预算金额</w:t>
      </w:r>
      <w:r>
        <w:rPr>
          <w:rFonts w:hint="eastAsia" w:ascii="仿宋_GB2312" w:hAnsi="仿宋_GB2312" w:eastAsia="仿宋_GB2312"/>
          <w:sz w:val="32"/>
          <w:lang w:val="en-US" w:eastAsia="zh-CN"/>
        </w:rPr>
        <w:t>412.50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400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eastAsia="zh-CN"/>
        </w:rPr>
        <w:t>202</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底，</w:t>
      </w:r>
      <w:r>
        <w:rPr>
          <w:rFonts w:hint="eastAsia" w:ascii="仿宋_GB2312" w:hAnsi="宋体" w:eastAsia="仿宋_GB2312" w:cs="宋体"/>
          <w:kern w:val="0"/>
          <w:sz w:val="32"/>
          <w:szCs w:val="32"/>
          <w:lang w:eastAsia="zh-CN"/>
        </w:rPr>
        <w:t>克州二中</w:t>
      </w:r>
      <w:r>
        <w:rPr>
          <w:rFonts w:hint="eastAsia" w:ascii="仿宋_GB2312" w:hAnsi="宋体" w:eastAsia="仿宋_GB2312" w:cs="宋体"/>
          <w:kern w:val="0"/>
          <w:sz w:val="32"/>
          <w:szCs w:val="32"/>
        </w:rPr>
        <w:t>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1.房屋36,977.25平方米，价值</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5700.81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color w:val="000000" w:themeColor="text1"/>
          <w:kern w:val="0"/>
          <w:sz w:val="32"/>
          <w:szCs w:val="32"/>
          <w14:textFill>
            <w14:solidFill>
              <w14:schemeClr w14:val="tx1"/>
            </w14:solidFill>
          </w14:textFill>
        </w:rPr>
        <w:t>19.88</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164.76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565.19</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2021年克州二中</w:t>
      </w:r>
      <w:r>
        <w:rPr>
          <w:rFonts w:hint="eastAsia" w:ascii="仿宋_GB2312" w:hAnsi="宋体" w:eastAsia="仿宋_GB2312" w:cs="宋体"/>
          <w:kern w:val="0"/>
          <w:sz w:val="32"/>
          <w:szCs w:val="32"/>
        </w:rPr>
        <w:t>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 xml:space="preserve">度，本年度实行绩效管理的一般公共预算项目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万元。具体情况见下表（按项目分别填报）：</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tbl>
      <w:tblPr>
        <w:tblStyle w:val="7"/>
        <w:tblW w:w="8815" w:type="dxa"/>
        <w:jc w:val="center"/>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jc w:val="center"/>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jc w:val="center"/>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克州二中</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寄宿生住宿费</w:t>
            </w:r>
          </w:p>
        </w:tc>
      </w:tr>
      <w:tr>
        <w:tblPrEx>
          <w:tblCellMar>
            <w:top w:w="0" w:type="dxa"/>
            <w:left w:w="0" w:type="dxa"/>
            <w:bottom w:w="0" w:type="dxa"/>
            <w:right w:w="0" w:type="dxa"/>
          </w:tblCellMar>
        </w:tblPrEx>
        <w:trPr>
          <w:trHeight w:val="54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CellMar>
            <w:top w:w="0" w:type="dxa"/>
            <w:left w:w="0" w:type="dxa"/>
            <w:bottom w:w="0" w:type="dxa"/>
            <w:right w:w="0" w:type="dxa"/>
          </w:tblCellMar>
        </w:tblPrEx>
        <w:trPr>
          <w:trHeight w:val="110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寄宿生生活补助项目响应国家政策，保证了家庭经济困难寄宿生的学习生活。该项目的费用15万元主要用于补贴校园正常运行中必要的水电费支出。给在校生提供了良好的学习、生活环境。</w:t>
            </w:r>
          </w:p>
        </w:tc>
      </w:tr>
      <w:tr>
        <w:tblPrEx>
          <w:tblCellMar>
            <w:top w:w="0" w:type="dxa"/>
            <w:left w:w="0" w:type="dxa"/>
            <w:bottom w:w="0" w:type="dxa"/>
            <w:right w:w="0" w:type="dxa"/>
          </w:tblCellMar>
        </w:tblPrEx>
        <w:trPr>
          <w:trHeight w:val="480" w:hRule="atLeast"/>
          <w:jc w:val="center"/>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寄宿生人数(人）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≥600</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用水数量（万方）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≥3.8</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用电数量（万度）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≥19</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节能知识宣传覆盖率（%）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设备定期检查完成率（%）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2021年12月</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受益生均补助（元/人/年）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200</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水资源成本（万元/万方）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1.95</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电资源成本（万元/万度）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0.39</w:t>
            </w:r>
          </w:p>
        </w:tc>
      </w:tr>
      <w:tr>
        <w:tblPrEx>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减轻受助学生家庭生活压力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有效减轻</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提高节能减排意识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有效提高</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水电能源利用率（%）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jc w:val="center"/>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受益学生满意度（%）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tblPrEx>
          <w:tblCellMar>
            <w:top w:w="0" w:type="dxa"/>
            <w:left w:w="0" w:type="dxa"/>
            <w:bottom w:w="0" w:type="dxa"/>
            <w:right w:w="0" w:type="dxa"/>
          </w:tblCellMar>
        </w:tblPrEx>
        <w:trPr>
          <w:trHeight w:val="440" w:hRule="atLeast"/>
          <w:jc w:val="center"/>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受益家长满意度（%）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bl>
    <w:p>
      <w:pPr>
        <w:widowControl/>
        <w:spacing w:line="480" w:lineRule="exact"/>
        <w:jc w:val="left"/>
        <w:rPr>
          <w:rFonts w:hint="eastAsia" w:ascii="楷体_GB2312" w:hAnsi="宋体" w:eastAsia="楷体_GB2312" w:cs="宋体"/>
          <w:b/>
          <w:kern w:val="0"/>
          <w:sz w:val="32"/>
          <w:szCs w:val="32"/>
        </w:rPr>
      </w:pPr>
    </w:p>
    <w:p>
      <w:pPr>
        <w:widowControl/>
        <w:spacing w:line="48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560" w:lineRule="exact"/>
        <w:ind w:firstLine="640" w:firstLineChars="200"/>
        <w:rPr>
          <w:rFonts w:hint="eastAsia" w:ascii="黑体" w:hAnsi="黑体" w:eastAsia="黑体"/>
          <w:kern w:val="0"/>
          <w:sz w:val="32"/>
          <w:szCs w:val="32"/>
        </w:rPr>
      </w:pPr>
      <w:r>
        <w:rPr>
          <w:rFonts w:hint="eastAsia" w:ascii="仿宋_GB2312" w:hAnsi="宋体" w:eastAsia="仿宋_GB2312" w:cs="宋体"/>
          <w:kern w:val="0"/>
          <w:sz w:val="32"/>
          <w:szCs w:val="32"/>
          <w:lang w:eastAsia="zh-CN"/>
        </w:rPr>
        <w:t>克州二中无其他需说明的事项。</w:t>
      </w:r>
    </w:p>
    <w:p>
      <w:pPr>
        <w:widowControl/>
        <w:spacing w:before="217" w:beforeLines="50" w:line="520" w:lineRule="exact"/>
        <w:jc w:val="center"/>
        <w:outlineLvl w:val="1"/>
        <w:rPr>
          <w:rFonts w:hint="eastAsia" w:ascii="黑体" w:hAnsi="黑体" w:eastAsia="黑体"/>
          <w:kern w:val="0"/>
          <w:sz w:val="32"/>
          <w:szCs w:val="32"/>
        </w:rPr>
      </w:pP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w:t>
      </w:r>
      <w:r>
        <w:rPr>
          <w:rFonts w:hint="eastAsia" w:ascii="仿宋_GB2312" w:eastAsia="仿宋_GB2312"/>
          <w:sz w:val="32"/>
          <w:szCs w:val="32"/>
          <w:lang w:eastAsia="zh-CN"/>
        </w:rPr>
        <w:t>、国有资本经营预算</w:t>
      </w:r>
      <w:r>
        <w:rPr>
          <w:rFonts w:hint="eastAsia" w:ascii="仿宋_GB2312" w:eastAsia="仿宋_GB2312"/>
          <w:sz w:val="32"/>
          <w:szCs w:val="32"/>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、其他资金：</w:t>
      </w:r>
      <w:r>
        <w:rPr>
          <w:rFonts w:hint="eastAsia" w:ascii="仿宋_GB2312" w:eastAsia="仿宋_GB2312"/>
          <w:sz w:val="32"/>
          <w:szCs w:val="32"/>
        </w:rPr>
        <w:t>其他收入。</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、机关运行经费：</w:t>
      </w:r>
      <w:r>
        <w:rPr>
          <w:rFonts w:hint="eastAsia" w:ascii="仿宋_GB2312" w:eastAsia="仿宋_GB2312"/>
          <w:sz w:val="32"/>
          <w:szCs w:val="32"/>
        </w:rPr>
        <w:t>指各部门（单位）的公用经费，包括</w:t>
      </w:r>
      <w:r>
        <w:rPr>
          <w:rFonts w:hint="eastAsia" w:ascii="仿宋_GB2312" w:eastAsia="仿宋_GB2312"/>
          <w:sz w:val="32"/>
          <w:szCs w:val="32"/>
          <w:lang w:eastAsia="zh-CN"/>
        </w:rPr>
        <w:t>工会经费、</w:t>
      </w:r>
      <w:r>
        <w:rPr>
          <w:rFonts w:hint="eastAsia" w:ascii="仿宋_GB2312" w:eastAsia="仿宋_GB2312"/>
          <w:sz w:val="32"/>
          <w:szCs w:val="32"/>
        </w:rPr>
        <w:t>福利费、办公用房水电费、办公用房取暖费、公务用车运行维护费及其他费用。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克州二中</w:t>
      </w:r>
    </w:p>
    <w:p>
      <w:pPr>
        <w:widowControl/>
        <w:spacing w:line="520" w:lineRule="exact"/>
        <w:jc w:val="left"/>
        <w:rPr>
          <w:rFonts w:ascii="仿宋_GB2312" w:eastAsia="仿宋_GB2312"/>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21 -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Fonts w:ascii="宋体" w:hAnsi="宋体" w:eastAsia="宋体"/>
        <w:sz w:val="28"/>
      </w:rPr>
      <w:fldChar w:fldCharType="begin"/>
    </w:r>
    <w:r>
      <w:rPr>
        <w:rStyle w:val="11"/>
        <w:rFonts w:ascii="宋体" w:hAnsi="宋体" w:eastAsia="宋体"/>
        <w:sz w:val="28"/>
      </w:rPr>
      <w:instrText xml:space="preserve"> PAGE </w:instrText>
    </w:r>
    <w:r>
      <w:rPr>
        <w:rFonts w:ascii="宋体" w:hAnsi="宋体" w:eastAsia="宋体"/>
        <w:sz w:val="28"/>
      </w:rPr>
      <w:fldChar w:fldCharType="separate"/>
    </w:r>
    <w:r>
      <w:rPr>
        <w:rStyle w:val="11"/>
        <w:rFonts w:ascii="宋体" w:hAnsi="宋体" w:eastAsia="宋体"/>
        <w:sz w:val="28"/>
      </w:rPr>
      <w:t>- 33 -</w:t>
    </w:r>
    <w:r>
      <w:rPr>
        <w:rFonts w:ascii="宋体" w:hAnsi="宋体" w:eastAsia="宋体"/>
        <w:sz w:val="28"/>
      </w:rPr>
      <w:fldChar w:fldCharType="end"/>
    </w:r>
    <w:r>
      <w:rPr>
        <w:rStyle w:val="11"/>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9522A"/>
    <w:rsid w:val="000D7063"/>
    <w:rsid w:val="00121764"/>
    <w:rsid w:val="001410DA"/>
    <w:rsid w:val="001662FE"/>
    <w:rsid w:val="00172C01"/>
    <w:rsid w:val="00186398"/>
    <w:rsid w:val="001D3009"/>
    <w:rsid w:val="002166BA"/>
    <w:rsid w:val="00324290"/>
    <w:rsid w:val="00396814"/>
    <w:rsid w:val="003B4B5F"/>
    <w:rsid w:val="003C61E3"/>
    <w:rsid w:val="00432267"/>
    <w:rsid w:val="00493EEC"/>
    <w:rsid w:val="004B5A44"/>
    <w:rsid w:val="004D2619"/>
    <w:rsid w:val="004F62F9"/>
    <w:rsid w:val="00520D5A"/>
    <w:rsid w:val="006B6A8C"/>
    <w:rsid w:val="006D5EAD"/>
    <w:rsid w:val="007219F8"/>
    <w:rsid w:val="007E2CEA"/>
    <w:rsid w:val="009035BA"/>
    <w:rsid w:val="00907796"/>
    <w:rsid w:val="0096028F"/>
    <w:rsid w:val="0099744C"/>
    <w:rsid w:val="009B4FCA"/>
    <w:rsid w:val="009C6198"/>
    <w:rsid w:val="00A9706D"/>
    <w:rsid w:val="00B127E0"/>
    <w:rsid w:val="00BA582F"/>
    <w:rsid w:val="00C117E5"/>
    <w:rsid w:val="00CA4E1E"/>
    <w:rsid w:val="00DC05BF"/>
    <w:rsid w:val="00E72E1E"/>
    <w:rsid w:val="00F23808"/>
    <w:rsid w:val="00F54FE8"/>
    <w:rsid w:val="00F830A1"/>
    <w:rsid w:val="00F83503"/>
    <w:rsid w:val="00F90952"/>
    <w:rsid w:val="011F2B44"/>
    <w:rsid w:val="015358B0"/>
    <w:rsid w:val="01E6110D"/>
    <w:rsid w:val="027D1A57"/>
    <w:rsid w:val="02E3183B"/>
    <w:rsid w:val="034C0025"/>
    <w:rsid w:val="03B41818"/>
    <w:rsid w:val="03E535B9"/>
    <w:rsid w:val="03FF6741"/>
    <w:rsid w:val="040A7E37"/>
    <w:rsid w:val="042D1012"/>
    <w:rsid w:val="04BC2909"/>
    <w:rsid w:val="04F867C7"/>
    <w:rsid w:val="05487144"/>
    <w:rsid w:val="05A84767"/>
    <w:rsid w:val="05C46E57"/>
    <w:rsid w:val="05CA1867"/>
    <w:rsid w:val="061E272C"/>
    <w:rsid w:val="067E32C7"/>
    <w:rsid w:val="0685773E"/>
    <w:rsid w:val="07296DE6"/>
    <w:rsid w:val="0790006C"/>
    <w:rsid w:val="07A246F6"/>
    <w:rsid w:val="07A26083"/>
    <w:rsid w:val="07B85E68"/>
    <w:rsid w:val="07F90CCF"/>
    <w:rsid w:val="080522E6"/>
    <w:rsid w:val="089465CC"/>
    <w:rsid w:val="08DD267D"/>
    <w:rsid w:val="091C6BD3"/>
    <w:rsid w:val="099949B8"/>
    <w:rsid w:val="09C77308"/>
    <w:rsid w:val="09D47AC6"/>
    <w:rsid w:val="0A0F2283"/>
    <w:rsid w:val="0A3A3E7C"/>
    <w:rsid w:val="0AD02E01"/>
    <w:rsid w:val="0BBB770B"/>
    <w:rsid w:val="0C4824A7"/>
    <w:rsid w:val="0C4861CD"/>
    <w:rsid w:val="0C534596"/>
    <w:rsid w:val="0C902E7D"/>
    <w:rsid w:val="0CBD21B1"/>
    <w:rsid w:val="0F2E5FEE"/>
    <w:rsid w:val="0F9E6266"/>
    <w:rsid w:val="0FB85C38"/>
    <w:rsid w:val="0FD12BF6"/>
    <w:rsid w:val="100B55FA"/>
    <w:rsid w:val="10A018A4"/>
    <w:rsid w:val="10C62BFD"/>
    <w:rsid w:val="12B646EE"/>
    <w:rsid w:val="13956D02"/>
    <w:rsid w:val="13F11188"/>
    <w:rsid w:val="14357836"/>
    <w:rsid w:val="147D4BE8"/>
    <w:rsid w:val="149D7D8B"/>
    <w:rsid w:val="14C23594"/>
    <w:rsid w:val="14DB6147"/>
    <w:rsid w:val="15CD19B2"/>
    <w:rsid w:val="15D32A14"/>
    <w:rsid w:val="176D62D2"/>
    <w:rsid w:val="18111DB7"/>
    <w:rsid w:val="18A9422A"/>
    <w:rsid w:val="18FD1E83"/>
    <w:rsid w:val="196840FA"/>
    <w:rsid w:val="1AC76E86"/>
    <w:rsid w:val="1AD5140C"/>
    <w:rsid w:val="1ADB67D3"/>
    <w:rsid w:val="1AF14F4B"/>
    <w:rsid w:val="1C145F51"/>
    <w:rsid w:val="1C4B0842"/>
    <w:rsid w:val="1C4B504C"/>
    <w:rsid w:val="1C6E5591"/>
    <w:rsid w:val="1C773C9E"/>
    <w:rsid w:val="1CBE0E31"/>
    <w:rsid w:val="1CE116D0"/>
    <w:rsid w:val="1D407D9D"/>
    <w:rsid w:val="1DD449B1"/>
    <w:rsid w:val="1DF47159"/>
    <w:rsid w:val="1E081156"/>
    <w:rsid w:val="1E866695"/>
    <w:rsid w:val="1F826A7F"/>
    <w:rsid w:val="20822C31"/>
    <w:rsid w:val="20B52EDB"/>
    <w:rsid w:val="20C80119"/>
    <w:rsid w:val="215F23FD"/>
    <w:rsid w:val="23241C8C"/>
    <w:rsid w:val="23376576"/>
    <w:rsid w:val="23B67398"/>
    <w:rsid w:val="245611B7"/>
    <w:rsid w:val="246B68D0"/>
    <w:rsid w:val="247C3697"/>
    <w:rsid w:val="24AE2786"/>
    <w:rsid w:val="24D00F7F"/>
    <w:rsid w:val="24E67E2C"/>
    <w:rsid w:val="255F6296"/>
    <w:rsid w:val="25944654"/>
    <w:rsid w:val="26D464C4"/>
    <w:rsid w:val="270E647E"/>
    <w:rsid w:val="27123E42"/>
    <w:rsid w:val="277409F5"/>
    <w:rsid w:val="280C189D"/>
    <w:rsid w:val="28407567"/>
    <w:rsid w:val="296E4BDB"/>
    <w:rsid w:val="29B23FD9"/>
    <w:rsid w:val="29CD176C"/>
    <w:rsid w:val="2A99348C"/>
    <w:rsid w:val="2AA30537"/>
    <w:rsid w:val="2BE1196D"/>
    <w:rsid w:val="2CAC6C3E"/>
    <w:rsid w:val="2CD40F59"/>
    <w:rsid w:val="2CFA0C4A"/>
    <w:rsid w:val="2D8E2225"/>
    <w:rsid w:val="30EB0AF7"/>
    <w:rsid w:val="31101D3B"/>
    <w:rsid w:val="3126138A"/>
    <w:rsid w:val="319260F9"/>
    <w:rsid w:val="31E274E3"/>
    <w:rsid w:val="336D553B"/>
    <w:rsid w:val="3391276A"/>
    <w:rsid w:val="34586027"/>
    <w:rsid w:val="368F12B4"/>
    <w:rsid w:val="373A699E"/>
    <w:rsid w:val="37D93E31"/>
    <w:rsid w:val="38836FA0"/>
    <w:rsid w:val="393D3E78"/>
    <w:rsid w:val="3942730F"/>
    <w:rsid w:val="395A4A9E"/>
    <w:rsid w:val="3A140755"/>
    <w:rsid w:val="3A811ED3"/>
    <w:rsid w:val="3B5C1E7C"/>
    <w:rsid w:val="3B7430D0"/>
    <w:rsid w:val="3BBA73DB"/>
    <w:rsid w:val="3C54215E"/>
    <w:rsid w:val="3C702E6E"/>
    <w:rsid w:val="3D7E3620"/>
    <w:rsid w:val="3D8C2724"/>
    <w:rsid w:val="3DC91C61"/>
    <w:rsid w:val="3E2E3377"/>
    <w:rsid w:val="3E63650D"/>
    <w:rsid w:val="3EBB4668"/>
    <w:rsid w:val="3F3D07F9"/>
    <w:rsid w:val="40566275"/>
    <w:rsid w:val="40AF412F"/>
    <w:rsid w:val="416E139B"/>
    <w:rsid w:val="4180158E"/>
    <w:rsid w:val="4190236A"/>
    <w:rsid w:val="41983F10"/>
    <w:rsid w:val="431B0FB4"/>
    <w:rsid w:val="439A150D"/>
    <w:rsid w:val="43B36760"/>
    <w:rsid w:val="44C66CAB"/>
    <w:rsid w:val="44D67911"/>
    <w:rsid w:val="4541633F"/>
    <w:rsid w:val="45C941F0"/>
    <w:rsid w:val="45F928E2"/>
    <w:rsid w:val="4666139C"/>
    <w:rsid w:val="468770B6"/>
    <w:rsid w:val="47152CAA"/>
    <w:rsid w:val="476313B1"/>
    <w:rsid w:val="47AC29C5"/>
    <w:rsid w:val="47C65A1E"/>
    <w:rsid w:val="48117E7A"/>
    <w:rsid w:val="48623CC2"/>
    <w:rsid w:val="49E47D91"/>
    <w:rsid w:val="4A9D5BB5"/>
    <w:rsid w:val="4A9E563C"/>
    <w:rsid w:val="4B97242D"/>
    <w:rsid w:val="4BAC091E"/>
    <w:rsid w:val="4BEE5965"/>
    <w:rsid w:val="4C6322C0"/>
    <w:rsid w:val="4CBE7781"/>
    <w:rsid w:val="4D3C6607"/>
    <w:rsid w:val="4E564327"/>
    <w:rsid w:val="4EE514F8"/>
    <w:rsid w:val="4F0C7A32"/>
    <w:rsid w:val="4F9523EE"/>
    <w:rsid w:val="4FFD525B"/>
    <w:rsid w:val="502272E5"/>
    <w:rsid w:val="512132CC"/>
    <w:rsid w:val="514B40CF"/>
    <w:rsid w:val="519D3C32"/>
    <w:rsid w:val="51A0521C"/>
    <w:rsid w:val="5217752A"/>
    <w:rsid w:val="524759FE"/>
    <w:rsid w:val="52625B51"/>
    <w:rsid w:val="529B26E2"/>
    <w:rsid w:val="52E074AC"/>
    <w:rsid w:val="533E5F27"/>
    <w:rsid w:val="5344772C"/>
    <w:rsid w:val="53555533"/>
    <w:rsid w:val="53667D0D"/>
    <w:rsid w:val="53853BA4"/>
    <w:rsid w:val="53A35A48"/>
    <w:rsid w:val="543A2B11"/>
    <w:rsid w:val="553408CB"/>
    <w:rsid w:val="55644E8A"/>
    <w:rsid w:val="563319E2"/>
    <w:rsid w:val="56676766"/>
    <w:rsid w:val="56BF43D9"/>
    <w:rsid w:val="571637F4"/>
    <w:rsid w:val="5735341B"/>
    <w:rsid w:val="575D5D39"/>
    <w:rsid w:val="57BD71D8"/>
    <w:rsid w:val="584751EB"/>
    <w:rsid w:val="585C1655"/>
    <w:rsid w:val="58BE7BE8"/>
    <w:rsid w:val="59327654"/>
    <w:rsid w:val="594854BE"/>
    <w:rsid w:val="596A7F45"/>
    <w:rsid w:val="5A797B7B"/>
    <w:rsid w:val="5AC26A0F"/>
    <w:rsid w:val="5AC62EA7"/>
    <w:rsid w:val="5AF42F23"/>
    <w:rsid w:val="5B0E46A5"/>
    <w:rsid w:val="5B4B58AE"/>
    <w:rsid w:val="5C0A6943"/>
    <w:rsid w:val="5C2C009B"/>
    <w:rsid w:val="5CB37CD4"/>
    <w:rsid w:val="5CC44C29"/>
    <w:rsid w:val="5D42594A"/>
    <w:rsid w:val="5D545FA0"/>
    <w:rsid w:val="5DED2E7C"/>
    <w:rsid w:val="5E314D9B"/>
    <w:rsid w:val="5EA71062"/>
    <w:rsid w:val="5F811232"/>
    <w:rsid w:val="5F932EBB"/>
    <w:rsid w:val="6030715C"/>
    <w:rsid w:val="615049B5"/>
    <w:rsid w:val="61DD2208"/>
    <w:rsid w:val="621D25F2"/>
    <w:rsid w:val="62D4473E"/>
    <w:rsid w:val="62F87950"/>
    <w:rsid w:val="630C7CBE"/>
    <w:rsid w:val="630E4920"/>
    <w:rsid w:val="638C5809"/>
    <w:rsid w:val="646F731A"/>
    <w:rsid w:val="6502680F"/>
    <w:rsid w:val="657537E2"/>
    <w:rsid w:val="65BB76B0"/>
    <w:rsid w:val="65ED77EA"/>
    <w:rsid w:val="67365901"/>
    <w:rsid w:val="675B17EF"/>
    <w:rsid w:val="67896B1B"/>
    <w:rsid w:val="67FA058B"/>
    <w:rsid w:val="680118CC"/>
    <w:rsid w:val="68FB2DAC"/>
    <w:rsid w:val="69210714"/>
    <w:rsid w:val="6968622D"/>
    <w:rsid w:val="697F7280"/>
    <w:rsid w:val="69E1146F"/>
    <w:rsid w:val="69F21951"/>
    <w:rsid w:val="6A1239B9"/>
    <w:rsid w:val="6A950771"/>
    <w:rsid w:val="6B336470"/>
    <w:rsid w:val="6B5D288E"/>
    <w:rsid w:val="6BC04726"/>
    <w:rsid w:val="6BD12ED9"/>
    <w:rsid w:val="6C8C2514"/>
    <w:rsid w:val="6CCC3984"/>
    <w:rsid w:val="6E3066B2"/>
    <w:rsid w:val="6E8C2FAE"/>
    <w:rsid w:val="6EEC01C6"/>
    <w:rsid w:val="6EF15DCB"/>
    <w:rsid w:val="6F7F4FEF"/>
    <w:rsid w:val="6FFE374F"/>
    <w:rsid w:val="705041D9"/>
    <w:rsid w:val="709A5DD0"/>
    <w:rsid w:val="71076C2A"/>
    <w:rsid w:val="726C5B34"/>
    <w:rsid w:val="72DA51B8"/>
    <w:rsid w:val="72DC7950"/>
    <w:rsid w:val="72DF1ECD"/>
    <w:rsid w:val="72E52414"/>
    <w:rsid w:val="74E25090"/>
    <w:rsid w:val="7592567F"/>
    <w:rsid w:val="75D5398E"/>
    <w:rsid w:val="7694549D"/>
    <w:rsid w:val="76DA3BFB"/>
    <w:rsid w:val="77426C83"/>
    <w:rsid w:val="777C5EB6"/>
    <w:rsid w:val="77AF7CDE"/>
    <w:rsid w:val="792109ED"/>
    <w:rsid w:val="79EE4603"/>
    <w:rsid w:val="7A761CEC"/>
    <w:rsid w:val="7AA70920"/>
    <w:rsid w:val="7AEB2661"/>
    <w:rsid w:val="7B161FB3"/>
    <w:rsid w:val="7CF6015D"/>
    <w:rsid w:val="7D1F7922"/>
    <w:rsid w:val="7E3424EA"/>
    <w:rsid w:val="7EE23521"/>
    <w:rsid w:val="7F711C42"/>
    <w:rsid w:val="7FF44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0"/>
    <w:rPr>
      <w:sz w:val="18"/>
      <w:szCs w:val="18"/>
    </w:rPr>
  </w:style>
  <w:style w:type="character" w:customStyle="1" w:styleId="13">
    <w:name w:val="页脚 字符"/>
    <w:basedOn w:val="9"/>
    <w:link w:val="3"/>
    <w:qFormat/>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9"/>
    <w:semiHidden/>
    <w:qFormat/>
    <w:uiPriority w:val="99"/>
    <w:rPr>
      <w:rFonts w:ascii="Times New Roman" w:hAnsi="Times New Roman" w:eastAsia="宋体" w:cs="Times New Roman"/>
      <w:sz w:val="16"/>
      <w:szCs w:val="16"/>
    </w:rPr>
  </w:style>
  <w:style w:type="paragraph" w:customStyle="1"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2401</Words>
  <Characters>13686</Characters>
  <Lines>114</Lines>
  <Paragraphs>32</Paragraphs>
  <TotalTime>4</TotalTime>
  <ScaleCrop>false</ScaleCrop>
  <LinksUpToDate>false</LinksUpToDate>
  <CharactersWithSpaces>16055</CharactersWithSpaces>
  <Application>WPS Office_11.1.0.9998_F1E327BC-269C-435d-A152-05C5408002CA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☞拿什麽等待你☜</cp:lastModifiedBy>
  <dcterms:modified xsi:type="dcterms:W3CDTF">2021-02-20T10:59:59Z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