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水利局2021</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克孜勒苏柯尔克孜自治州水利局</w:t>
      </w:r>
      <w:r>
        <w:rPr>
          <w:rFonts w:hint="eastAsia" w:ascii="仿宋_GB2312" w:hAnsi="宋体" w:eastAsia="仿宋_GB2312"/>
          <w:b/>
          <w:kern w:val="0"/>
          <w:sz w:val="32"/>
          <w:szCs w:val="32"/>
          <w:lang w:val="en-US" w:eastAsia="zh-CN"/>
        </w:rPr>
        <w:t>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lang w:val="en-US" w:eastAsia="zh-CN"/>
        </w:rPr>
        <w:t>）</w:t>
      </w:r>
      <w:r>
        <w:rPr>
          <w:rFonts w:hint="eastAsia" w:ascii="仿宋_GB2312" w:hAnsi="宋体" w:eastAsia="仿宋_GB2312"/>
          <w:b/>
          <w:kern w:val="0"/>
          <w:sz w:val="32"/>
          <w:szCs w:val="32"/>
        </w:rPr>
        <w:t>概况</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一、主要职能</w:t>
      </w:r>
    </w:p>
    <w:p>
      <w:pPr>
        <w:widowControl/>
        <w:numPr>
          <w:ilvl w:val="0"/>
          <w:numId w:val="1"/>
        </w:numPr>
        <w:spacing w:line="440" w:lineRule="exact"/>
        <w:ind w:firstLine="640" w:firstLineChars="200"/>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32"/>
          <w:szCs w:val="32"/>
        </w:rPr>
        <w:t>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2021年</w:t>
      </w:r>
      <w:r>
        <w:rPr>
          <w:rFonts w:hint="eastAsia" w:ascii="仿宋_GB2312" w:hAnsi="宋体" w:eastAsia="仿宋_GB2312"/>
          <w:b/>
          <w:kern w:val="0"/>
          <w:sz w:val="32"/>
          <w:szCs w:val="32"/>
          <w:lang w:val="en-US" w:eastAsia="zh-CN"/>
        </w:rPr>
        <w:t>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lang w:val="en-US" w:eastAsia="zh-CN"/>
        </w:rPr>
        <w:t>）</w:t>
      </w:r>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2021年</w:t>
      </w:r>
      <w:r>
        <w:rPr>
          <w:rFonts w:hint="eastAsia" w:ascii="仿宋_GB2312" w:hAnsi="宋体" w:eastAsia="仿宋_GB2312"/>
          <w:b/>
          <w:kern w:val="0"/>
          <w:sz w:val="32"/>
          <w:szCs w:val="32"/>
          <w:lang w:val="en-US" w:eastAsia="zh-CN"/>
        </w:rPr>
        <w:t>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lang w:val="en-US" w:eastAsia="zh-CN"/>
        </w:rPr>
        <w:t>）</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lang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lang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lang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bCs/>
          <w:kern w:val="0"/>
          <w:sz w:val="32"/>
          <w:szCs w:val="32"/>
          <w:lang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lang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lang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lang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lang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克孜勒苏柯尔克孜自治州水利局</w:t>
      </w:r>
      <w:r>
        <w:rPr>
          <w:rFonts w:hint="eastAsia" w:ascii="仿宋_GB2312" w:hAnsi="宋体" w:eastAsia="仿宋_GB2312"/>
          <w:kern w:val="0"/>
          <w:sz w:val="32"/>
          <w:szCs w:val="32"/>
          <w:lang w:val="en-US" w:eastAsia="zh-CN"/>
        </w:rPr>
        <w:t>部门（</w:t>
      </w:r>
      <w:r>
        <w:rPr>
          <w:rFonts w:hint="eastAsia" w:ascii="仿宋_GB2312" w:hAnsi="宋体" w:eastAsia="仿宋_GB2312"/>
          <w:kern w:val="0"/>
          <w:sz w:val="32"/>
          <w:szCs w:val="32"/>
        </w:rPr>
        <w:t>单位</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lang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spacing w:line="440" w:lineRule="exact"/>
        <w:ind w:firstLine="643" w:firstLineChars="200"/>
        <w:outlineLvl w:val="1"/>
        <w:rPr>
          <w:rFonts w:hint="eastAsia"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克孜勒苏柯尔克孜自治州水利局部门（单位）</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lang w:eastAsia="zh-CN"/>
        </w:rPr>
        <w:t>克孜勒苏柯尔克孜自治州水利局</w:t>
      </w:r>
      <w:r>
        <w:rPr>
          <w:rFonts w:hint="eastAsia" w:ascii="仿宋_GB2312" w:hAnsi="黑体" w:eastAsia="仿宋_GB2312" w:cs="宋体"/>
          <w:bCs/>
          <w:kern w:val="0"/>
          <w:sz w:val="32"/>
          <w:szCs w:val="32"/>
        </w:rPr>
        <w:t>是自治州人民政府主管水行政的职能部门，统一管理全州水资源和河道、水库、湖泊，主管全州防汛抗旱、水土保持工作，负责全州水利、地方电力、水行业的管理。主要职责是：贯彻实施《中华人民共和国水法》、《中华人民共和国水土保持法》、《中华人民共和国渔业法》、《中华人民共和国河道管理条例》、《中华人民共和国防洪法》等法律、法规，依法治水、管水；组织制定全州水利、地方电力、水产业发展战略规划，中长期规划和年度计划，以及全州河道、湖泊的流域综合规划，并依法负责监督实施；主管全州河道、湖泊、水库及人工水道等水域及防洪工程、负责州内主要河道、水库的综合治理及开发利用工作；对全州水利工程建设进行行业管理；指导农村水利工作；组织协调农田水利基本建设、农村水电电气化和乡镇供水工作；主管全州防汛抗旱工作及水土保持工作，负责全州防汛抗旱总指挥部办公室的日常工作；负责我州农村改水防病长期规划及年度计划编制，组织、工程设计审查，监督改水工程建设；负责审查大中型水利、水电、水产基建项目建议书和可行性报告及初步设计；组织重大水利、水电、水产科学研究和技术推广；组织对水利行业技术质量标准和水利工程的规程、规范的监督实施；承办自治州人民政府交办的其他事项。</w:t>
      </w:r>
    </w:p>
    <w:p>
      <w:pPr>
        <w:widowControl/>
        <w:numPr>
          <w:ilvl w:val="0"/>
          <w:numId w:val="1"/>
        </w:numPr>
        <w:spacing w:line="560" w:lineRule="exact"/>
        <w:ind w:left="0" w:leftChars="0" w:firstLine="640" w:firstLineChars="200"/>
        <w:jc w:val="left"/>
        <w:rPr>
          <w:rFonts w:hint="eastAsia" w:ascii="黑体" w:hAnsi="黑体" w:eastAsia="黑体" w:cs="宋体"/>
          <w:bCs/>
          <w:kern w:val="0"/>
          <w:sz w:val="32"/>
          <w:szCs w:val="32"/>
        </w:rPr>
      </w:pPr>
      <w:r>
        <w:rPr>
          <w:rFonts w:hint="eastAsia" w:ascii="黑体" w:hAnsi="黑体" w:eastAsia="黑体" w:cs="宋体"/>
          <w:bCs/>
          <w:kern w:val="0"/>
          <w:sz w:val="32"/>
          <w:szCs w:val="32"/>
        </w:rPr>
        <w:t>机构设置及人员情况</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lang w:eastAsia="zh-CN"/>
        </w:rPr>
        <w:t>克孜勒苏柯尔克孜自治州水利局部门（单位）</w:t>
      </w:r>
      <w:r>
        <w:rPr>
          <w:rFonts w:hint="eastAsia" w:ascii="仿宋_GB2312" w:hAnsi="黑体" w:eastAsia="仿宋_GB2312" w:cs="宋体"/>
          <w:bCs/>
          <w:kern w:val="0"/>
          <w:sz w:val="32"/>
          <w:szCs w:val="32"/>
        </w:rPr>
        <w:t>无下属预算</w:t>
      </w:r>
      <w:r>
        <w:rPr>
          <w:rFonts w:hint="eastAsia" w:ascii="仿宋_GB2312" w:hAnsi="黑体" w:eastAsia="仿宋_GB2312" w:cs="宋体"/>
          <w:bCs/>
          <w:kern w:val="0"/>
          <w:sz w:val="32"/>
          <w:szCs w:val="32"/>
          <w:lang w:eastAsia="zh-CN"/>
        </w:rPr>
        <w:t>部门（单位）</w:t>
      </w:r>
      <w:r>
        <w:rPr>
          <w:rFonts w:hint="eastAsia" w:ascii="仿宋_GB2312" w:hAnsi="黑体" w:eastAsia="仿宋_GB2312" w:cs="宋体"/>
          <w:bCs/>
          <w:kern w:val="0"/>
          <w:sz w:val="32"/>
          <w:szCs w:val="32"/>
        </w:rPr>
        <w:t>，下设9个处室，分别是：办公室、规划计划科、水政水资源科、农牧水利与水土保持科、水利工程运行科、河湖管理中心、防汛抗旱指挥部办公室、农村供水办公室、质量监督站。</w:t>
      </w:r>
    </w:p>
    <w:p>
      <w:pPr>
        <w:widowControl/>
        <w:numPr>
          <w:ilvl w:val="0"/>
          <w:numId w:val="0"/>
        </w:numPr>
        <w:spacing w:line="560" w:lineRule="exact"/>
        <w:ind w:left="0" w:leftChars="0" w:firstLine="0" w:firstLineChars="0"/>
        <w:jc w:val="left"/>
        <w:rPr>
          <w:rFonts w:hint="eastAsia" w:ascii="黑体" w:hAnsi="黑体" w:eastAsia="黑体" w:cs="宋体"/>
          <w:bCs/>
          <w:kern w:val="0"/>
          <w:sz w:val="32"/>
          <w:szCs w:val="32"/>
        </w:rPr>
      </w:pPr>
      <w:r>
        <w:rPr>
          <w:rFonts w:hint="eastAsia" w:ascii="仿宋_GB2312" w:hAnsi="宋体" w:eastAsia="仿宋_GB2312" w:cs="宋体"/>
          <w:kern w:val="0"/>
          <w:sz w:val="32"/>
          <w:szCs w:val="32"/>
          <w:lang w:eastAsia="zh-CN"/>
        </w:rPr>
        <w:t>克孜勒苏柯尔克孜自治州水利局部门（单位）</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51</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28</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增加1</w:t>
      </w:r>
      <w:r>
        <w:rPr>
          <w:rFonts w:hint="eastAsia" w:ascii="仿宋_GB2312" w:hAnsi="宋体" w:eastAsia="仿宋_GB2312" w:cs="宋体"/>
          <w:kern w:val="0"/>
          <w:sz w:val="32"/>
          <w:szCs w:val="32"/>
        </w:rPr>
        <w:t>人； 退休22人，增加0人；离休0人，增加0人。</w:t>
      </w:r>
    </w:p>
    <w:p>
      <w:pPr>
        <w:widowControl/>
        <w:spacing w:line="560" w:lineRule="exact"/>
        <w:jc w:val="left"/>
        <w:rPr>
          <w:rFonts w:hint="eastAsia"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 xml:space="preserve"> </w:t>
      </w: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240" w:lineRule="auto"/>
        <w:jc w:val="both"/>
        <w:outlineLvl w:val="1"/>
        <w:rPr>
          <w:rFonts w:hint="eastAsia" w:ascii="黑体" w:hAnsi="黑体" w:eastAsia="黑体"/>
          <w:kern w:val="0"/>
          <w:sz w:val="32"/>
          <w:szCs w:val="32"/>
        </w:rPr>
      </w:pPr>
    </w:p>
    <w:p>
      <w:pPr>
        <w:widowControl/>
        <w:spacing w:line="240" w:lineRule="auto"/>
        <w:jc w:val="both"/>
        <w:outlineLvl w:val="1"/>
        <w:rPr>
          <w:rFonts w:hint="eastAsia" w:ascii="黑体" w:hAnsi="黑体" w:eastAsia="黑体"/>
          <w:kern w:val="0"/>
          <w:sz w:val="32"/>
          <w:szCs w:val="32"/>
        </w:rPr>
      </w:pPr>
    </w:p>
    <w:p>
      <w:pPr>
        <w:widowControl/>
        <w:spacing w:line="240" w:lineRule="auto"/>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eastAsia="zh-CN"/>
        </w:rPr>
        <w:t>2021年部门（单位）</w:t>
      </w:r>
      <w:r>
        <w:rPr>
          <w:rFonts w:hint="eastAsia" w:ascii="黑体" w:hAnsi="黑体" w:eastAsia="黑体"/>
          <w:kern w:val="0"/>
          <w:sz w:val="32"/>
          <w:szCs w:val="32"/>
        </w:rPr>
        <w:t>预算公开表</w:t>
      </w:r>
    </w:p>
    <w:p>
      <w:pPr>
        <w:widowControl/>
        <w:spacing w:line="240" w:lineRule="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val="en-US" w:eastAsia="zh-CN"/>
        </w:rPr>
        <w:t>克孜勒苏柯尔克孜自治州水利局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535.63</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535.63</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39.00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574.63</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本  年  收  入  小  计</w:t>
            </w: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574.63</w:t>
            </w:r>
          </w:p>
        </w:tc>
        <w:tc>
          <w:tcPr>
            <w:tcW w:w="2693"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本  年  支  出  小  计</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574.63</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单位上年结余（不包含国库集中支付额度结余）</w:t>
            </w: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574.63</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574.63</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val="en-US" w:eastAsia="zh-CN"/>
        </w:rPr>
        <w:t>克孜勒苏柯尔克孜自治州水利局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10999" w:type="dxa"/>
        <w:tblInd w:w="-943" w:type="dxa"/>
        <w:tblLayout w:type="fixed"/>
        <w:tblCellMar>
          <w:top w:w="0" w:type="dxa"/>
          <w:left w:w="108" w:type="dxa"/>
          <w:bottom w:w="0" w:type="dxa"/>
          <w:right w:w="108" w:type="dxa"/>
        </w:tblCellMar>
      </w:tblPr>
      <w:tblGrid>
        <w:gridCol w:w="578"/>
        <w:gridCol w:w="455"/>
        <w:gridCol w:w="453"/>
        <w:gridCol w:w="1295"/>
        <w:gridCol w:w="829"/>
        <w:gridCol w:w="844"/>
        <w:gridCol w:w="1020"/>
        <w:gridCol w:w="709"/>
        <w:gridCol w:w="706"/>
        <w:gridCol w:w="500"/>
        <w:gridCol w:w="500"/>
        <w:gridCol w:w="544"/>
        <w:gridCol w:w="567"/>
        <w:gridCol w:w="767"/>
        <w:gridCol w:w="527"/>
        <w:gridCol w:w="705"/>
      </w:tblGrid>
      <w:tr>
        <w:tblPrEx>
          <w:tblLayout w:type="fixed"/>
          <w:tblCellMar>
            <w:top w:w="0" w:type="dxa"/>
            <w:left w:w="108" w:type="dxa"/>
            <w:bottom w:w="0" w:type="dxa"/>
            <w:right w:w="108" w:type="dxa"/>
          </w:tblCellMar>
        </w:tblPrEx>
        <w:trPr>
          <w:trHeight w:val="2671" w:hRule="atLeast"/>
        </w:trPr>
        <w:tc>
          <w:tcPr>
            <w:tcW w:w="148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4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102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6"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hint="eastAsia" w:ascii="仿宋_GB2312" w:eastAsia="仿宋_GB2312"/>
                <w:b/>
                <w:color w:val="000000"/>
                <w:sz w:val="20"/>
                <w:szCs w:val="20"/>
                <w:highlight w:val="none"/>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50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00"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4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52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45" w:hRule="atLeast"/>
        </w:trPr>
        <w:tc>
          <w:tcPr>
            <w:tcW w:w="578"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213</w:t>
            </w:r>
          </w:p>
        </w:tc>
        <w:tc>
          <w:tcPr>
            <w:tcW w:w="45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tc>
        <w:tc>
          <w:tcPr>
            <w:tcW w:w="453"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tc>
        <w:tc>
          <w:tcPr>
            <w:tcW w:w="1295" w:type="dxa"/>
            <w:tcBorders>
              <w:top w:val="nil"/>
              <w:left w:val="nil"/>
              <w:bottom w:val="single" w:color="auto" w:sz="4" w:space="0"/>
              <w:right w:val="single" w:color="auto" w:sz="4" w:space="0"/>
            </w:tcBorders>
            <w:vAlign w:val="center"/>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农林水支出</w:t>
            </w:r>
          </w:p>
        </w:tc>
        <w:tc>
          <w:tcPr>
            <w:tcW w:w="82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574.63 </w:t>
            </w:r>
          </w:p>
        </w:tc>
        <w:tc>
          <w:tcPr>
            <w:tcW w:w="84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535.63 </w:t>
            </w:r>
          </w:p>
        </w:tc>
        <w:tc>
          <w:tcPr>
            <w:tcW w:w="10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06" w:type="dxa"/>
            <w:tcBorders>
              <w:top w:val="nil"/>
              <w:left w:val="nil"/>
              <w:bottom w:val="single" w:color="auto" w:sz="4" w:space="0"/>
              <w:right w:val="single" w:color="auto" w:sz="4" w:space="0"/>
            </w:tcBorders>
          </w:tcPr>
          <w:p>
            <w:pPr>
              <w:jc w:val="center"/>
              <w:rPr>
                <w:rFonts w:hint="eastAsia" w:ascii="仿宋_GB2312" w:hAnsi="宋体" w:eastAsia="仿宋_GB2312" w:cs="宋体"/>
                <w:kern w:val="0"/>
                <w:sz w:val="18"/>
                <w:szCs w:val="18"/>
                <w:lang w:val="en-US" w:eastAsia="zh-CN"/>
              </w:rPr>
            </w:pPr>
          </w:p>
        </w:tc>
        <w:tc>
          <w:tcPr>
            <w:tcW w:w="50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500" w:type="dxa"/>
            <w:tcBorders>
              <w:top w:val="nil"/>
              <w:left w:val="nil"/>
              <w:bottom w:val="single" w:color="auto" w:sz="4" w:space="0"/>
              <w:right w:val="single" w:color="auto" w:sz="4" w:space="0"/>
            </w:tcBorders>
          </w:tcPr>
          <w:p>
            <w:pPr>
              <w:jc w:val="center"/>
              <w:rPr>
                <w:rFonts w:hint="eastAsia" w:ascii="仿宋_GB2312" w:hAnsi="宋体" w:eastAsia="仿宋_GB2312" w:cs="宋体"/>
                <w:kern w:val="0"/>
                <w:sz w:val="18"/>
                <w:szCs w:val="18"/>
                <w:lang w:val="en-US" w:eastAsia="zh-CN"/>
              </w:rPr>
            </w:pPr>
          </w:p>
        </w:tc>
        <w:tc>
          <w:tcPr>
            <w:tcW w:w="544"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567"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67" w:type="dxa"/>
            <w:tcBorders>
              <w:top w:val="single" w:color="auto" w:sz="4" w:space="0"/>
              <w:left w:val="nil"/>
              <w:bottom w:val="single" w:color="auto" w:sz="4" w:space="0"/>
              <w:right w:val="single" w:color="auto" w:sz="4" w:space="0"/>
            </w:tcBorders>
            <w:vAlign w:val="center"/>
          </w:tcPr>
          <w:p>
            <w:pPr>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39.00</w:t>
            </w:r>
          </w:p>
        </w:tc>
        <w:tc>
          <w:tcPr>
            <w:tcW w:w="527"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11" w:hRule="atLeast"/>
        </w:trPr>
        <w:tc>
          <w:tcPr>
            <w:tcW w:w="578"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213</w:t>
            </w:r>
          </w:p>
        </w:tc>
        <w:tc>
          <w:tcPr>
            <w:tcW w:w="45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03</w:t>
            </w:r>
          </w:p>
        </w:tc>
        <w:tc>
          <w:tcPr>
            <w:tcW w:w="453"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tc>
        <w:tc>
          <w:tcPr>
            <w:tcW w:w="1295" w:type="dxa"/>
            <w:tcBorders>
              <w:top w:val="nil"/>
              <w:left w:val="nil"/>
              <w:bottom w:val="single" w:color="auto" w:sz="4" w:space="0"/>
              <w:right w:val="single" w:color="auto" w:sz="4" w:space="0"/>
            </w:tcBorders>
            <w:vAlign w:val="center"/>
          </w:tcPr>
          <w:p>
            <w:pPr>
              <w:ind w:firstLine="200" w:firstLineChars="100"/>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水利</w:t>
            </w:r>
          </w:p>
        </w:tc>
        <w:tc>
          <w:tcPr>
            <w:tcW w:w="82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574.63 </w:t>
            </w:r>
          </w:p>
        </w:tc>
        <w:tc>
          <w:tcPr>
            <w:tcW w:w="84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535.63 </w:t>
            </w:r>
          </w:p>
        </w:tc>
        <w:tc>
          <w:tcPr>
            <w:tcW w:w="10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06" w:type="dxa"/>
            <w:tcBorders>
              <w:top w:val="nil"/>
              <w:left w:val="nil"/>
              <w:bottom w:val="single" w:color="auto" w:sz="4" w:space="0"/>
              <w:right w:val="single" w:color="auto" w:sz="4" w:space="0"/>
            </w:tcBorders>
          </w:tcPr>
          <w:p>
            <w:pPr>
              <w:jc w:val="center"/>
              <w:rPr>
                <w:rFonts w:hint="eastAsia" w:ascii="仿宋_GB2312" w:hAnsi="宋体" w:eastAsia="仿宋_GB2312" w:cs="宋体"/>
                <w:kern w:val="0"/>
                <w:sz w:val="18"/>
                <w:szCs w:val="18"/>
                <w:lang w:val="en-US" w:eastAsia="zh-CN"/>
              </w:rPr>
            </w:pPr>
          </w:p>
        </w:tc>
        <w:tc>
          <w:tcPr>
            <w:tcW w:w="50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500" w:type="dxa"/>
            <w:tcBorders>
              <w:top w:val="nil"/>
              <w:left w:val="nil"/>
              <w:bottom w:val="single" w:color="auto" w:sz="4" w:space="0"/>
              <w:right w:val="single" w:color="auto" w:sz="4" w:space="0"/>
            </w:tcBorders>
          </w:tcPr>
          <w:p>
            <w:pPr>
              <w:jc w:val="center"/>
              <w:rPr>
                <w:rFonts w:hint="eastAsia" w:ascii="仿宋_GB2312" w:hAnsi="宋体" w:eastAsia="仿宋_GB2312" w:cs="宋体"/>
                <w:kern w:val="0"/>
                <w:sz w:val="18"/>
                <w:szCs w:val="18"/>
                <w:lang w:val="en-US" w:eastAsia="zh-CN"/>
              </w:rPr>
            </w:pPr>
          </w:p>
        </w:tc>
        <w:tc>
          <w:tcPr>
            <w:tcW w:w="544"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39.00</w:t>
            </w: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213</w:t>
            </w:r>
          </w:p>
        </w:tc>
        <w:tc>
          <w:tcPr>
            <w:tcW w:w="45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03</w:t>
            </w:r>
          </w:p>
        </w:tc>
        <w:tc>
          <w:tcPr>
            <w:tcW w:w="453"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99</w:t>
            </w:r>
          </w:p>
        </w:tc>
        <w:tc>
          <w:tcPr>
            <w:tcW w:w="129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 xml:space="preserve">   其他水利支出</w:t>
            </w:r>
          </w:p>
        </w:tc>
        <w:tc>
          <w:tcPr>
            <w:tcW w:w="82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99.59 </w:t>
            </w:r>
          </w:p>
        </w:tc>
        <w:tc>
          <w:tcPr>
            <w:tcW w:w="84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60.59 </w:t>
            </w:r>
          </w:p>
        </w:tc>
        <w:tc>
          <w:tcPr>
            <w:tcW w:w="10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06" w:type="dxa"/>
            <w:tcBorders>
              <w:top w:val="nil"/>
              <w:left w:val="nil"/>
              <w:bottom w:val="single" w:color="auto" w:sz="4" w:space="0"/>
              <w:right w:val="single" w:color="auto" w:sz="4" w:space="0"/>
            </w:tcBorders>
          </w:tcPr>
          <w:p>
            <w:pPr>
              <w:jc w:val="center"/>
              <w:rPr>
                <w:rFonts w:hint="eastAsia" w:ascii="仿宋_GB2312" w:hAnsi="宋体" w:eastAsia="仿宋_GB2312" w:cs="宋体"/>
                <w:kern w:val="0"/>
                <w:sz w:val="18"/>
                <w:szCs w:val="18"/>
                <w:lang w:val="en-US" w:eastAsia="zh-CN"/>
              </w:rPr>
            </w:pPr>
          </w:p>
        </w:tc>
        <w:tc>
          <w:tcPr>
            <w:tcW w:w="50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500" w:type="dxa"/>
            <w:tcBorders>
              <w:top w:val="nil"/>
              <w:left w:val="nil"/>
              <w:bottom w:val="single" w:color="auto" w:sz="4" w:space="0"/>
              <w:right w:val="single" w:color="auto" w:sz="4" w:space="0"/>
            </w:tcBorders>
          </w:tcPr>
          <w:p>
            <w:pPr>
              <w:jc w:val="center"/>
              <w:rPr>
                <w:rFonts w:hint="eastAsia" w:ascii="仿宋_GB2312" w:hAnsi="宋体" w:eastAsia="仿宋_GB2312" w:cs="宋体"/>
                <w:kern w:val="0"/>
                <w:sz w:val="18"/>
                <w:szCs w:val="18"/>
                <w:lang w:val="en-US" w:eastAsia="zh-CN"/>
              </w:rPr>
            </w:pPr>
          </w:p>
        </w:tc>
        <w:tc>
          <w:tcPr>
            <w:tcW w:w="544"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39.00</w:t>
            </w: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213</w:t>
            </w:r>
          </w:p>
        </w:tc>
        <w:tc>
          <w:tcPr>
            <w:tcW w:w="45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03</w:t>
            </w:r>
          </w:p>
        </w:tc>
        <w:tc>
          <w:tcPr>
            <w:tcW w:w="453"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01</w:t>
            </w:r>
          </w:p>
        </w:tc>
        <w:tc>
          <w:tcPr>
            <w:tcW w:w="129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 xml:space="preserve">   行政运行（水利）</w:t>
            </w:r>
          </w:p>
        </w:tc>
        <w:tc>
          <w:tcPr>
            <w:tcW w:w="82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475.04 </w:t>
            </w:r>
          </w:p>
        </w:tc>
        <w:tc>
          <w:tcPr>
            <w:tcW w:w="84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475.04 </w:t>
            </w:r>
          </w:p>
        </w:tc>
        <w:tc>
          <w:tcPr>
            <w:tcW w:w="10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06" w:type="dxa"/>
            <w:tcBorders>
              <w:top w:val="nil"/>
              <w:left w:val="nil"/>
              <w:bottom w:val="single" w:color="auto" w:sz="4" w:space="0"/>
              <w:right w:val="single" w:color="auto" w:sz="4" w:space="0"/>
            </w:tcBorders>
          </w:tcPr>
          <w:p>
            <w:pPr>
              <w:jc w:val="center"/>
              <w:rPr>
                <w:rFonts w:hint="eastAsia" w:ascii="仿宋_GB2312" w:hAnsi="宋体" w:eastAsia="仿宋_GB2312" w:cs="宋体"/>
                <w:kern w:val="0"/>
                <w:sz w:val="18"/>
                <w:szCs w:val="18"/>
                <w:lang w:val="en-US" w:eastAsia="zh-CN"/>
              </w:rPr>
            </w:pPr>
          </w:p>
        </w:tc>
        <w:tc>
          <w:tcPr>
            <w:tcW w:w="50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500" w:type="dxa"/>
            <w:tcBorders>
              <w:top w:val="nil"/>
              <w:left w:val="nil"/>
              <w:bottom w:val="single" w:color="auto" w:sz="4" w:space="0"/>
              <w:right w:val="single" w:color="auto" w:sz="4" w:space="0"/>
            </w:tcBorders>
          </w:tcPr>
          <w:p>
            <w:pPr>
              <w:jc w:val="center"/>
              <w:rPr>
                <w:rFonts w:hint="eastAsia" w:ascii="仿宋_GB2312" w:hAnsi="宋体" w:eastAsia="仿宋_GB2312" w:cs="宋体"/>
                <w:kern w:val="0"/>
                <w:sz w:val="18"/>
                <w:szCs w:val="18"/>
                <w:lang w:val="en-US" w:eastAsia="zh-CN"/>
              </w:rPr>
            </w:pPr>
          </w:p>
        </w:tc>
        <w:tc>
          <w:tcPr>
            <w:tcW w:w="544"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w:t>
            </w:r>
          </w:p>
        </w:tc>
        <w:tc>
          <w:tcPr>
            <w:tcW w:w="7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kern w:val="0"/>
                <w:sz w:val="18"/>
                <w:szCs w:val="18"/>
                <w:lang w:val="en-US" w:eastAsia="zh-CN"/>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33"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57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574.63</w:t>
            </w: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535.63</w:t>
            </w: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6"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50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7" w:type="dxa"/>
            <w:tcBorders>
              <w:top w:val="nil"/>
              <w:left w:val="nil"/>
              <w:bottom w:val="single" w:color="auto" w:sz="4" w:space="0"/>
              <w:right w:val="single" w:color="auto" w:sz="4" w:space="0"/>
            </w:tcBorders>
            <w:vAlign w:val="center"/>
          </w:tcPr>
          <w:p>
            <w:pPr>
              <w:jc w:val="both"/>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39.00</w:t>
            </w:r>
          </w:p>
        </w:tc>
        <w:tc>
          <w:tcPr>
            <w:tcW w:w="5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val="en-US" w:eastAsia="zh-CN"/>
        </w:rPr>
        <w:t>克孜勒苏柯尔克孜自治州水利局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519"/>
        <w:gridCol w:w="378"/>
        <w:gridCol w:w="400"/>
        <w:gridCol w:w="2508"/>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97"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0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0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213</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农林水支出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574.63</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474.18</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100.46</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213</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03</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keepNext w:val="0"/>
              <w:keepLines w:val="0"/>
              <w:widowControl/>
              <w:suppressLineNumbers w:val="0"/>
              <w:ind w:firstLine="180" w:firstLineChars="10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水利</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574.63</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474.18</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100.46</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213</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03</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99</w:t>
            </w:r>
          </w:p>
        </w:tc>
        <w:tc>
          <w:tcPr>
            <w:tcW w:w="2508" w:type="dxa"/>
            <w:tcBorders>
              <w:top w:val="nil"/>
              <w:left w:val="nil"/>
              <w:bottom w:val="single" w:color="auto" w:sz="4" w:space="0"/>
              <w:right w:val="single" w:color="auto" w:sz="4" w:space="0"/>
            </w:tcBorders>
            <w:vAlign w:val="center"/>
          </w:tcPr>
          <w:p>
            <w:pPr>
              <w:keepNext w:val="0"/>
              <w:keepLines w:val="0"/>
              <w:widowControl/>
              <w:suppressLineNumbers w:val="0"/>
              <w:ind w:firstLine="360" w:firstLineChars="20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其他水利支出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99.59</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99.59</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213</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03</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r>
              <w:rPr>
                <w:rFonts w:hint="eastAsia" w:ascii="宋体" w:hAnsi="宋体" w:cs="宋体"/>
                <w:b/>
                <w:bCs/>
                <w:color w:val="000000"/>
                <w:kern w:val="0"/>
                <w:sz w:val="16"/>
                <w:szCs w:val="16"/>
                <w:lang w:val="en-US" w:eastAsia="zh-CN"/>
              </w:rPr>
              <w:t>01</w:t>
            </w:r>
          </w:p>
        </w:tc>
        <w:tc>
          <w:tcPr>
            <w:tcW w:w="2508" w:type="dxa"/>
            <w:tcBorders>
              <w:top w:val="nil"/>
              <w:left w:val="nil"/>
              <w:bottom w:val="single" w:color="auto" w:sz="4" w:space="0"/>
              <w:right w:val="single" w:color="auto" w:sz="4" w:space="0"/>
            </w:tcBorders>
            <w:vAlign w:val="center"/>
          </w:tcPr>
          <w:p>
            <w:pPr>
              <w:keepNext w:val="0"/>
              <w:keepLines w:val="0"/>
              <w:widowControl/>
              <w:suppressLineNumbers w:val="0"/>
              <w:ind w:firstLine="360" w:firstLineChars="20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行政运行（水利）</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475.04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474.18</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0.86</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51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78"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574.63</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474.18</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lang w:val="en-US" w:eastAsia="zh-CN"/>
              </w:rPr>
              <w:t>100.46</w:t>
            </w:r>
            <w:r>
              <w:rPr>
                <w:rFonts w:hint="eastAsia" w:ascii="宋体" w:hAnsi="宋体" w:cs="宋体"/>
                <w:color w:val="000000"/>
                <w:kern w:val="0"/>
                <w:sz w:val="24"/>
              </w:rPr>
              <w:t>　</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val="en-US" w:eastAsia="zh-CN"/>
        </w:rPr>
        <w:t>克孜勒苏柯尔克孜自治州水利局</w:t>
      </w:r>
      <w:r>
        <w:rPr>
          <w:rFonts w:hint="eastAsia" w:ascii="仿宋_GB2312" w:hAnsi="宋体" w:eastAsia="仿宋_GB2312"/>
          <w:kern w:val="0"/>
          <w:sz w:val="24"/>
        </w:rPr>
        <w:t xml:space="preserve">             单位：万元</w:t>
      </w:r>
    </w:p>
    <w:tbl>
      <w:tblPr>
        <w:tblStyle w:val="7"/>
        <w:tblpPr w:leftFromText="180" w:rightFromText="180" w:vertAnchor="text" w:tblpY="1"/>
        <w:tblOverlap w:val="never"/>
        <w:tblW w:w="9390" w:type="dxa"/>
        <w:tblInd w:w="0" w:type="dxa"/>
        <w:tblLayout w:type="fixed"/>
        <w:tblCellMar>
          <w:top w:w="0" w:type="dxa"/>
          <w:left w:w="108" w:type="dxa"/>
          <w:bottom w:w="0" w:type="dxa"/>
          <w:right w:w="108" w:type="dxa"/>
        </w:tblCellMar>
      </w:tblPr>
      <w:tblGrid>
        <w:gridCol w:w="1789"/>
        <w:gridCol w:w="1061"/>
        <w:gridCol w:w="2580"/>
        <w:gridCol w:w="1304"/>
        <w:gridCol w:w="945"/>
        <w:gridCol w:w="800"/>
        <w:gridCol w:w="911"/>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629"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911"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673" w:hRule="atLeast"/>
        </w:trPr>
        <w:tc>
          <w:tcPr>
            <w:tcW w:w="17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30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45"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80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911"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535.63</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30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535.63</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6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535.63</w:t>
            </w: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535.63</w:t>
            </w: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61"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3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本  年  收  入  小  计</w:t>
            </w:r>
          </w:p>
        </w:tc>
        <w:tc>
          <w:tcPr>
            <w:tcW w:w="1061"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535.63</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本  年  支  出  小  计</w:t>
            </w:r>
          </w:p>
        </w:tc>
        <w:tc>
          <w:tcPr>
            <w:tcW w:w="13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535.63</w:t>
            </w:r>
          </w:p>
        </w:tc>
        <w:tc>
          <w:tcPr>
            <w:tcW w:w="9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535.63</w:t>
            </w:r>
          </w:p>
        </w:tc>
        <w:tc>
          <w:tcPr>
            <w:tcW w:w="8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20"/>
                <w:szCs w:val="20"/>
              </w:rPr>
            </w:pPr>
          </w:p>
        </w:tc>
        <w:tc>
          <w:tcPr>
            <w:tcW w:w="911"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310" w:hRule="exact"/>
        </w:trPr>
        <w:tc>
          <w:tcPr>
            <w:tcW w:w="1789" w:type="dxa"/>
            <w:tcBorders>
              <w:top w:val="nil"/>
              <w:left w:val="single" w:color="auto" w:sz="4" w:space="0"/>
              <w:bottom w:val="single" w:color="auto" w:sz="4" w:space="0"/>
              <w:right w:val="single" w:color="auto" w:sz="4" w:space="0"/>
            </w:tcBorders>
            <w:noWrap/>
            <w:vAlign w:val="bottom"/>
          </w:tcPr>
          <w:p>
            <w:pPr>
              <w:keepNext w:val="0"/>
              <w:keepLines w:val="0"/>
              <w:widowControl/>
              <w:suppressLineNumbers w:val="0"/>
              <w:jc w:val="left"/>
              <w:textAlignment w:val="bottom"/>
              <w:rPr>
                <w:rFonts w:hint="eastAsia" w:ascii="仿宋_GB2312" w:hAnsi="宋体" w:eastAsia="仿宋_GB2312" w:cs="宋体"/>
                <w:kern w:val="0"/>
                <w:sz w:val="18"/>
                <w:szCs w:val="18"/>
              </w:rPr>
            </w:pPr>
            <w:r>
              <w:rPr>
                <w:rFonts w:hint="eastAsia" w:ascii="仿宋_GB2312" w:hAnsi="宋体" w:eastAsia="仿宋_GB2312" w:cs="宋体"/>
                <w:kern w:val="0"/>
                <w:sz w:val="20"/>
                <w:szCs w:val="20"/>
                <w:lang w:val="en-US" w:eastAsia="zh-CN"/>
              </w:rPr>
              <w:t>单位上年结余（不包</w:t>
            </w:r>
            <w:r>
              <w:rPr>
                <w:rFonts w:hint="eastAsia" w:ascii="宋体" w:hAnsi="宋体" w:eastAsia="宋体" w:cs="宋体"/>
                <w:i w:val="0"/>
                <w:color w:val="000000"/>
                <w:kern w:val="0"/>
                <w:sz w:val="18"/>
                <w:szCs w:val="18"/>
                <w:u w:val="none"/>
                <w:lang w:val="en-US" w:eastAsia="zh-CN" w:bidi="ar"/>
              </w:rPr>
              <w:t>含国库集中支付额度结余）</w:t>
            </w:r>
          </w:p>
        </w:tc>
        <w:tc>
          <w:tcPr>
            <w:tcW w:w="1061"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p>
        </w:tc>
        <w:tc>
          <w:tcPr>
            <w:tcW w:w="1304"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6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535.63</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3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color w:val="000000"/>
                <w:kern w:val="0"/>
                <w:sz w:val="22"/>
                <w:szCs w:val="22"/>
                <w:lang w:val="en-US" w:eastAsia="zh-CN"/>
              </w:rPr>
              <w:t>535.63</w:t>
            </w:r>
          </w:p>
        </w:tc>
        <w:tc>
          <w:tcPr>
            <w:tcW w:w="945" w:type="dxa"/>
            <w:tcBorders>
              <w:top w:val="nil"/>
              <w:left w:val="nil"/>
              <w:bottom w:val="single" w:color="auto" w:sz="4" w:space="0"/>
              <w:right w:val="single" w:color="auto" w:sz="4" w:space="0"/>
            </w:tcBorders>
            <w:vAlign w:val="top"/>
          </w:tcPr>
          <w:p>
            <w:pPr>
              <w:widowControl/>
              <w:spacing w:line="280" w:lineRule="exact"/>
              <w:jc w:val="left"/>
              <w:rPr>
                <w:rFonts w:ascii="宋体" w:hAnsi="宋体" w:cs="宋体"/>
                <w:kern w:val="0"/>
                <w:sz w:val="18"/>
                <w:szCs w:val="18"/>
              </w:rPr>
            </w:pPr>
            <w:r>
              <w:rPr>
                <w:rFonts w:hint="eastAsia" w:ascii="宋体" w:hAnsi="宋体" w:cs="宋体"/>
                <w:color w:val="000000"/>
                <w:kern w:val="0"/>
                <w:sz w:val="22"/>
                <w:szCs w:val="22"/>
                <w:lang w:val="en-US" w:eastAsia="zh-CN"/>
              </w:rPr>
              <w:t>535.63</w:t>
            </w: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1"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pPr>
              <w:widowControl/>
              <w:jc w:val="left"/>
              <w:rPr>
                <w:rFonts w:hint="eastAsia" w:ascii="仿宋_GB2312" w:hAnsi="宋体" w:eastAsia="仿宋_GB2312"/>
                <w:kern w:val="0"/>
                <w:sz w:val="24"/>
              </w:rPr>
            </w:pPr>
          </w:p>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克孜勒苏柯尔克孜自治州水利局</w:t>
            </w:r>
            <w:r>
              <w:rPr>
                <w:rFonts w:hint="eastAsia" w:ascii="仿宋_GB2312" w:hAnsi="宋体" w:eastAsia="仿宋_GB2312"/>
                <w:kern w:val="0"/>
                <w:sz w:val="24"/>
              </w:rPr>
              <w:t xml:space="preserve">             </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商品和服务支出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535.63</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474.18</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61.46</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其他商品和服务支出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535.63</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474.18</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61.46</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ind w:firstLine="360" w:firstLineChars="20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行政运行（水利）</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475.04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474.18</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0.86</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ind w:firstLine="360" w:firstLineChars="20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其他水利支出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60.59</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60.59</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bookmarkStart w:id="0" w:name="_GoBack"/>
            <w:bookmarkEnd w:id="0"/>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842" w:type="dxa"/>
            <w:gridSpan w:val="2"/>
            <w:tcBorders>
              <w:top w:val="nil"/>
              <w:left w:val="nil"/>
              <w:bottom w:val="single" w:color="auto" w:sz="4" w:space="0"/>
              <w:right w:val="single" w:color="auto" w:sz="4" w:space="0"/>
            </w:tcBorders>
            <w:vAlign w:val="center"/>
          </w:tcPr>
          <w:p>
            <w:pPr>
              <w:jc w:val="center"/>
              <w:rPr>
                <w:rFonts w:hint="eastAsia" w:ascii="宋体" w:hAnsi="宋体" w:eastAsia="宋体" w:cs="宋体"/>
                <w:i w:val="0"/>
                <w:color w:val="000000"/>
                <w:kern w:val="0"/>
                <w:sz w:val="20"/>
                <w:szCs w:val="20"/>
                <w:u w:val="none"/>
                <w:lang w:val="en-US" w:eastAsia="zh-CN" w:bidi="ar"/>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842" w:type="dxa"/>
            <w:gridSpan w:val="2"/>
            <w:tcBorders>
              <w:top w:val="nil"/>
              <w:left w:val="nil"/>
              <w:bottom w:val="single" w:color="auto" w:sz="4" w:space="0"/>
              <w:right w:val="single" w:color="auto" w:sz="4" w:space="0"/>
            </w:tcBorders>
            <w:vAlign w:val="center"/>
          </w:tcPr>
          <w:p>
            <w:pPr>
              <w:jc w:val="center"/>
              <w:rPr>
                <w:rFonts w:hint="eastAsia" w:ascii="宋体" w:hAnsi="宋体" w:eastAsia="宋体" w:cs="宋体"/>
                <w:i w:val="0"/>
                <w:color w:val="000000"/>
                <w:kern w:val="0"/>
                <w:sz w:val="20"/>
                <w:szCs w:val="20"/>
                <w:u w:val="none"/>
                <w:lang w:val="en-US" w:eastAsia="zh-CN" w:bidi="ar"/>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535.63</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474.18</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61.46</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noWrap/>
            <w:vAlign w:val="center"/>
          </w:tcPr>
          <w:p>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val="en-US" w:eastAsia="zh-CN"/>
              </w:rPr>
              <w:t>克孜勒苏柯尔克孜自治州水利局</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124.80</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124.80</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154.95</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154.95</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10.40</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10.40</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40.61</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40.61</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33.14</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33.14</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29.34</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29.34</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2.86</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2.86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咨询费</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04</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手续费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取暖费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3.62</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3.62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维修(护)费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培训费</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专用材料费</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3.00</w:t>
            </w: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委托业务费</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1.76</w:t>
            </w: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1.76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3.17</w:t>
            </w: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3.17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5.00</w:t>
            </w: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5.50</w:t>
            </w: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1.40</w:t>
            </w: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1.40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19.51</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19.51</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5.92</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5.92</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1.76</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1.76</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其他对个人和家庭的补助</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19.44</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19.44</w:t>
            </w:r>
          </w:p>
        </w:tc>
        <w:tc>
          <w:tcPr>
            <w:tcW w:w="1701"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474.18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439.87</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34.31</w:t>
            </w: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890" w:type="dxa"/>
        <w:tblInd w:w="-710" w:type="dxa"/>
        <w:tblLayout w:type="fixed"/>
        <w:tblCellMar>
          <w:top w:w="0" w:type="dxa"/>
          <w:left w:w="108" w:type="dxa"/>
          <w:bottom w:w="0" w:type="dxa"/>
          <w:right w:w="108" w:type="dxa"/>
        </w:tblCellMar>
      </w:tblPr>
      <w:tblGrid>
        <w:gridCol w:w="8"/>
        <w:gridCol w:w="570"/>
        <w:gridCol w:w="456"/>
        <w:gridCol w:w="507"/>
        <w:gridCol w:w="851"/>
        <w:gridCol w:w="1456"/>
        <w:gridCol w:w="750"/>
        <w:gridCol w:w="569"/>
        <w:gridCol w:w="822"/>
        <w:gridCol w:w="678"/>
        <w:gridCol w:w="422"/>
        <w:gridCol w:w="496"/>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803" w:type="dxa"/>
            <w:gridSpan w:val="1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9803" w:type="dxa"/>
            <w:gridSpan w:val="1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val="en-US" w:eastAsia="zh-CN"/>
              </w:rPr>
              <w:t xml:space="preserve">克孜勒苏柯尔克孜自治州水利局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4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2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2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9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78"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6"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0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2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9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213</w:t>
            </w:r>
          </w:p>
        </w:tc>
        <w:tc>
          <w:tcPr>
            <w:tcW w:w="456" w:type="dxa"/>
            <w:vAlign w:val="center"/>
          </w:tcPr>
          <w:p>
            <w:pPr>
              <w:jc w:val="center"/>
              <w:rPr>
                <w:rFonts w:ascii="仿宋_GB2312" w:hAnsi="宋体" w:eastAsia="仿宋_GB2312"/>
                <w:kern w:val="0"/>
                <w:sz w:val="32"/>
                <w:szCs w:val="32"/>
              </w:rPr>
            </w:pPr>
          </w:p>
        </w:tc>
        <w:tc>
          <w:tcPr>
            <w:tcW w:w="507" w:type="dxa"/>
            <w:vAlign w:val="center"/>
          </w:tcPr>
          <w:p>
            <w:pPr>
              <w:jc w:val="center"/>
              <w:rPr>
                <w:rFonts w:ascii="仿宋_GB2312" w:hAnsi="宋体" w:eastAsia="仿宋_GB2312"/>
                <w:kern w:val="0"/>
                <w:sz w:val="32"/>
                <w:szCs w:val="32"/>
              </w:rPr>
            </w:pP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农林水支出</w:t>
            </w:r>
          </w:p>
        </w:tc>
        <w:tc>
          <w:tcPr>
            <w:tcW w:w="1456" w:type="dxa"/>
            <w:vAlign w:val="center"/>
          </w:tcPr>
          <w:p>
            <w:pPr>
              <w:jc w:val="left"/>
              <w:rPr>
                <w:rFonts w:ascii="仿宋_GB2312" w:hAnsi="宋体" w:eastAsia="仿宋_GB2312"/>
                <w:kern w:val="0"/>
                <w:sz w:val="32"/>
                <w:szCs w:val="32"/>
              </w:rPr>
            </w:pP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61.46 </w:t>
            </w:r>
          </w:p>
        </w:tc>
        <w:tc>
          <w:tcPr>
            <w:tcW w:w="569" w:type="dxa"/>
            <w:vAlign w:val="center"/>
          </w:tcPr>
          <w:p>
            <w:pPr>
              <w:jc w:val="right"/>
              <w:rPr>
                <w:rFonts w:ascii="仿宋_GB2312" w:hAnsi="宋体" w:eastAsia="仿宋_GB2312"/>
                <w:kern w:val="0"/>
                <w:sz w:val="32"/>
                <w:szCs w:val="32"/>
              </w:rPr>
            </w:pPr>
          </w:p>
        </w:tc>
        <w:tc>
          <w:tcPr>
            <w:tcW w:w="822"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60.59</w:t>
            </w:r>
          </w:p>
        </w:tc>
        <w:tc>
          <w:tcPr>
            <w:tcW w:w="678"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0.86 </w:t>
            </w: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213</w:t>
            </w:r>
          </w:p>
        </w:tc>
        <w:tc>
          <w:tcPr>
            <w:tcW w:w="456"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03</w:t>
            </w:r>
          </w:p>
        </w:tc>
        <w:tc>
          <w:tcPr>
            <w:tcW w:w="507" w:type="dxa"/>
            <w:vAlign w:val="center"/>
          </w:tcPr>
          <w:p>
            <w:pPr>
              <w:jc w:val="center"/>
              <w:rPr>
                <w:rFonts w:ascii="仿宋_GB2312" w:hAnsi="宋体" w:eastAsia="仿宋_GB2312"/>
                <w:kern w:val="0"/>
                <w:sz w:val="32"/>
                <w:szCs w:val="32"/>
              </w:rPr>
            </w:pP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水利</w:t>
            </w:r>
          </w:p>
        </w:tc>
        <w:tc>
          <w:tcPr>
            <w:tcW w:w="1456" w:type="dxa"/>
            <w:vAlign w:val="center"/>
          </w:tcPr>
          <w:p>
            <w:pPr>
              <w:jc w:val="left"/>
              <w:rPr>
                <w:rFonts w:ascii="仿宋_GB2312" w:hAnsi="宋体" w:eastAsia="仿宋_GB2312"/>
                <w:kern w:val="0"/>
                <w:sz w:val="32"/>
                <w:szCs w:val="32"/>
              </w:rPr>
            </w:pP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61.46 </w:t>
            </w:r>
          </w:p>
        </w:tc>
        <w:tc>
          <w:tcPr>
            <w:tcW w:w="569" w:type="dxa"/>
            <w:vAlign w:val="center"/>
          </w:tcPr>
          <w:p>
            <w:pPr>
              <w:jc w:val="right"/>
              <w:rPr>
                <w:rFonts w:ascii="仿宋_GB2312" w:hAnsi="宋体" w:eastAsia="仿宋_GB2312"/>
                <w:kern w:val="0"/>
                <w:sz w:val="32"/>
                <w:szCs w:val="32"/>
              </w:rPr>
            </w:pPr>
          </w:p>
        </w:tc>
        <w:tc>
          <w:tcPr>
            <w:tcW w:w="822"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60.59</w:t>
            </w:r>
          </w:p>
        </w:tc>
        <w:tc>
          <w:tcPr>
            <w:tcW w:w="678"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0.86 </w:t>
            </w: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213</w:t>
            </w:r>
          </w:p>
        </w:tc>
        <w:tc>
          <w:tcPr>
            <w:tcW w:w="456"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03</w:t>
            </w:r>
          </w:p>
        </w:tc>
        <w:tc>
          <w:tcPr>
            <w:tcW w:w="507"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其他水利支出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河长制工作经费</w:t>
            </w: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40.00 </w:t>
            </w:r>
          </w:p>
        </w:tc>
        <w:tc>
          <w:tcPr>
            <w:tcW w:w="569" w:type="dxa"/>
            <w:vAlign w:val="center"/>
          </w:tcPr>
          <w:p>
            <w:pPr>
              <w:jc w:val="right"/>
              <w:rPr>
                <w:rFonts w:ascii="仿宋_GB2312" w:hAnsi="宋体" w:eastAsia="仿宋_GB2312"/>
                <w:kern w:val="0"/>
                <w:sz w:val="32"/>
                <w:szCs w:val="32"/>
              </w:rPr>
            </w:pPr>
          </w:p>
        </w:tc>
        <w:tc>
          <w:tcPr>
            <w:tcW w:w="822"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40.00</w:t>
            </w:r>
          </w:p>
        </w:tc>
        <w:tc>
          <w:tcPr>
            <w:tcW w:w="678" w:type="dxa"/>
            <w:vAlign w:val="center"/>
          </w:tcPr>
          <w:p>
            <w:pPr>
              <w:jc w:val="right"/>
              <w:rPr>
                <w:rFonts w:ascii="仿宋_GB2312" w:hAnsi="宋体" w:eastAsia="仿宋_GB2312"/>
                <w:kern w:val="0"/>
                <w:sz w:val="32"/>
                <w:szCs w:val="32"/>
              </w:rPr>
            </w:pP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213</w:t>
            </w:r>
          </w:p>
        </w:tc>
        <w:tc>
          <w:tcPr>
            <w:tcW w:w="456"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03</w:t>
            </w:r>
          </w:p>
        </w:tc>
        <w:tc>
          <w:tcPr>
            <w:tcW w:w="507"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01</w:t>
            </w: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行政运行（水利）</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见习岗位补贴</w:t>
            </w: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0.86 </w:t>
            </w:r>
          </w:p>
        </w:tc>
        <w:tc>
          <w:tcPr>
            <w:tcW w:w="569" w:type="dxa"/>
            <w:vAlign w:val="center"/>
          </w:tcPr>
          <w:p>
            <w:pPr>
              <w:jc w:val="right"/>
              <w:rPr>
                <w:rFonts w:ascii="仿宋_GB2312" w:hAnsi="宋体" w:eastAsia="仿宋_GB2312"/>
                <w:kern w:val="0"/>
                <w:sz w:val="32"/>
                <w:szCs w:val="32"/>
              </w:rPr>
            </w:pPr>
          </w:p>
        </w:tc>
        <w:tc>
          <w:tcPr>
            <w:tcW w:w="822" w:type="dxa"/>
            <w:vAlign w:val="center"/>
          </w:tcPr>
          <w:p>
            <w:pPr>
              <w:jc w:val="center"/>
              <w:rPr>
                <w:rFonts w:ascii="仿宋_GB2312" w:hAnsi="宋体" w:eastAsia="仿宋_GB2312"/>
                <w:kern w:val="0"/>
                <w:sz w:val="32"/>
                <w:szCs w:val="32"/>
              </w:rPr>
            </w:pPr>
          </w:p>
        </w:tc>
        <w:tc>
          <w:tcPr>
            <w:tcW w:w="678"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0.86 </w:t>
            </w: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213</w:t>
            </w:r>
          </w:p>
        </w:tc>
        <w:tc>
          <w:tcPr>
            <w:tcW w:w="456"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03</w:t>
            </w:r>
          </w:p>
        </w:tc>
        <w:tc>
          <w:tcPr>
            <w:tcW w:w="507"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其他水利支出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消防运行维护费</w:t>
            </w: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2.59 </w:t>
            </w:r>
          </w:p>
        </w:tc>
        <w:tc>
          <w:tcPr>
            <w:tcW w:w="569" w:type="dxa"/>
            <w:vAlign w:val="center"/>
          </w:tcPr>
          <w:p>
            <w:pPr>
              <w:jc w:val="right"/>
              <w:rPr>
                <w:rFonts w:ascii="仿宋_GB2312" w:hAnsi="宋体" w:eastAsia="仿宋_GB2312"/>
                <w:kern w:val="0"/>
                <w:sz w:val="32"/>
                <w:szCs w:val="32"/>
              </w:rPr>
            </w:pPr>
          </w:p>
        </w:tc>
        <w:tc>
          <w:tcPr>
            <w:tcW w:w="822"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2.59</w:t>
            </w:r>
          </w:p>
        </w:tc>
        <w:tc>
          <w:tcPr>
            <w:tcW w:w="678" w:type="dxa"/>
            <w:vAlign w:val="center"/>
          </w:tcPr>
          <w:p>
            <w:pPr>
              <w:jc w:val="right"/>
              <w:rPr>
                <w:rFonts w:ascii="仿宋_GB2312" w:hAnsi="宋体" w:eastAsia="仿宋_GB2312"/>
                <w:kern w:val="0"/>
                <w:sz w:val="32"/>
                <w:szCs w:val="32"/>
              </w:rPr>
            </w:pP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213</w:t>
            </w:r>
          </w:p>
        </w:tc>
        <w:tc>
          <w:tcPr>
            <w:tcW w:w="456"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03</w:t>
            </w:r>
          </w:p>
        </w:tc>
        <w:tc>
          <w:tcPr>
            <w:tcW w:w="507"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其他水利支出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cs="宋体"/>
                <w:i w:val="0"/>
                <w:color w:val="000000"/>
                <w:kern w:val="0"/>
                <w:sz w:val="20"/>
                <w:szCs w:val="20"/>
                <w:u w:val="none"/>
                <w:lang w:val="en-US" w:eastAsia="zh-CN" w:bidi="ar"/>
              </w:rPr>
              <w:t>群众</w:t>
            </w:r>
            <w:r>
              <w:rPr>
                <w:rFonts w:hint="eastAsia" w:ascii="宋体" w:hAnsi="宋体" w:eastAsia="宋体" w:cs="宋体"/>
                <w:i w:val="0"/>
                <w:color w:val="000000"/>
                <w:kern w:val="0"/>
                <w:sz w:val="20"/>
                <w:szCs w:val="20"/>
                <w:u w:val="none"/>
                <w:lang w:val="en-US" w:eastAsia="zh-CN" w:bidi="ar"/>
              </w:rPr>
              <w:t>工作经费</w:t>
            </w: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10.00 </w:t>
            </w:r>
          </w:p>
        </w:tc>
        <w:tc>
          <w:tcPr>
            <w:tcW w:w="569" w:type="dxa"/>
            <w:vAlign w:val="center"/>
          </w:tcPr>
          <w:p>
            <w:pPr>
              <w:jc w:val="right"/>
              <w:rPr>
                <w:rFonts w:ascii="仿宋_GB2312" w:hAnsi="宋体" w:eastAsia="仿宋_GB2312"/>
                <w:kern w:val="0"/>
                <w:sz w:val="32"/>
                <w:szCs w:val="32"/>
              </w:rPr>
            </w:pPr>
          </w:p>
        </w:tc>
        <w:tc>
          <w:tcPr>
            <w:tcW w:w="822"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10.00</w:t>
            </w:r>
          </w:p>
        </w:tc>
        <w:tc>
          <w:tcPr>
            <w:tcW w:w="678" w:type="dxa"/>
            <w:vAlign w:val="center"/>
          </w:tcPr>
          <w:p>
            <w:pPr>
              <w:jc w:val="right"/>
              <w:rPr>
                <w:rFonts w:ascii="仿宋_GB2312" w:hAnsi="宋体" w:eastAsia="仿宋_GB2312"/>
                <w:kern w:val="0"/>
                <w:sz w:val="32"/>
                <w:szCs w:val="32"/>
              </w:rPr>
            </w:pP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213</w:t>
            </w:r>
          </w:p>
        </w:tc>
        <w:tc>
          <w:tcPr>
            <w:tcW w:w="456"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03</w:t>
            </w:r>
          </w:p>
        </w:tc>
        <w:tc>
          <w:tcPr>
            <w:tcW w:w="507"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其他水利支出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水土保持技术评审费</w:t>
            </w: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8.00 </w:t>
            </w:r>
          </w:p>
        </w:tc>
        <w:tc>
          <w:tcPr>
            <w:tcW w:w="569" w:type="dxa"/>
            <w:vAlign w:val="center"/>
          </w:tcPr>
          <w:p>
            <w:pPr>
              <w:jc w:val="right"/>
              <w:rPr>
                <w:rFonts w:ascii="仿宋_GB2312" w:hAnsi="宋体" w:eastAsia="仿宋_GB2312"/>
                <w:kern w:val="0"/>
                <w:sz w:val="32"/>
                <w:szCs w:val="32"/>
              </w:rPr>
            </w:pPr>
          </w:p>
        </w:tc>
        <w:tc>
          <w:tcPr>
            <w:tcW w:w="822"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8.00</w:t>
            </w:r>
          </w:p>
        </w:tc>
        <w:tc>
          <w:tcPr>
            <w:tcW w:w="678" w:type="dxa"/>
            <w:vAlign w:val="center"/>
          </w:tcPr>
          <w:p>
            <w:pPr>
              <w:jc w:val="right"/>
              <w:rPr>
                <w:rFonts w:ascii="仿宋_GB2312" w:hAnsi="宋体" w:eastAsia="仿宋_GB2312"/>
                <w:kern w:val="0"/>
                <w:sz w:val="32"/>
                <w:szCs w:val="32"/>
              </w:rPr>
            </w:pP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2" w:type="dxa"/>
          </w:tcPr>
          <w:p>
            <w:pPr>
              <w:widowControl/>
              <w:jc w:val="center"/>
              <w:outlineLvl w:val="1"/>
              <w:rPr>
                <w:rFonts w:ascii="仿宋_GB2312" w:hAnsi="宋体" w:eastAsia="仿宋_GB2312"/>
                <w:kern w:val="0"/>
                <w:sz w:val="32"/>
                <w:szCs w:val="32"/>
              </w:rPr>
            </w:pPr>
          </w:p>
        </w:tc>
        <w:tc>
          <w:tcPr>
            <w:tcW w:w="6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2" w:type="dxa"/>
          </w:tcPr>
          <w:p>
            <w:pPr>
              <w:widowControl/>
              <w:jc w:val="center"/>
              <w:outlineLvl w:val="1"/>
              <w:rPr>
                <w:rFonts w:ascii="仿宋_GB2312" w:hAnsi="宋体" w:eastAsia="仿宋_GB2312"/>
                <w:kern w:val="0"/>
                <w:sz w:val="32"/>
                <w:szCs w:val="32"/>
              </w:rPr>
            </w:pPr>
          </w:p>
        </w:tc>
        <w:tc>
          <w:tcPr>
            <w:tcW w:w="6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tcPr>
          <w:p>
            <w:pPr>
              <w:widowControl/>
              <w:jc w:val="left"/>
              <w:outlineLvl w:val="1"/>
              <w:rPr>
                <w:rFonts w:ascii="仿宋_GB2312" w:hAnsi="宋体" w:eastAsia="仿宋_GB2312"/>
                <w:kern w:val="0"/>
                <w:sz w:val="32"/>
                <w:szCs w:val="32"/>
              </w:rPr>
            </w:pPr>
          </w:p>
        </w:tc>
        <w:tc>
          <w:tcPr>
            <w:tcW w:w="456" w:type="dxa"/>
          </w:tcPr>
          <w:p>
            <w:pPr>
              <w:widowControl/>
              <w:jc w:val="left"/>
              <w:outlineLvl w:val="1"/>
              <w:rPr>
                <w:rFonts w:ascii="仿宋_GB2312" w:hAnsi="宋体" w:eastAsia="仿宋_GB2312"/>
                <w:kern w:val="0"/>
                <w:sz w:val="32"/>
                <w:szCs w:val="32"/>
              </w:rPr>
            </w:pPr>
          </w:p>
        </w:tc>
        <w:tc>
          <w:tcPr>
            <w:tcW w:w="50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tcPr>
          <w:p>
            <w:pPr>
              <w:widowControl/>
              <w:jc w:val="left"/>
              <w:outlineLvl w:val="1"/>
              <w:rPr>
                <w:rFonts w:ascii="仿宋_GB2312" w:hAnsi="宋体" w:eastAsia="仿宋_GB2312"/>
                <w:kern w:val="0"/>
                <w:sz w:val="32"/>
                <w:szCs w:val="32"/>
              </w:rPr>
            </w:pPr>
          </w:p>
        </w:tc>
        <w:tc>
          <w:tcPr>
            <w:tcW w:w="822" w:type="dxa"/>
          </w:tcPr>
          <w:p>
            <w:pPr>
              <w:widowControl/>
              <w:jc w:val="center"/>
              <w:outlineLvl w:val="1"/>
              <w:rPr>
                <w:rFonts w:ascii="仿宋_GB2312" w:hAnsi="宋体" w:eastAsia="仿宋_GB2312"/>
                <w:kern w:val="0"/>
                <w:sz w:val="32"/>
                <w:szCs w:val="32"/>
              </w:rPr>
            </w:pPr>
          </w:p>
        </w:tc>
        <w:tc>
          <w:tcPr>
            <w:tcW w:w="678" w:type="dxa"/>
          </w:tcPr>
          <w:p>
            <w:pPr>
              <w:widowControl/>
              <w:jc w:val="left"/>
              <w:outlineLvl w:val="1"/>
              <w:rPr>
                <w:rFonts w:ascii="仿宋_GB2312" w:hAnsi="宋体" w:eastAsia="仿宋_GB2312"/>
                <w:kern w:val="0"/>
                <w:sz w:val="32"/>
                <w:szCs w:val="32"/>
              </w:rPr>
            </w:pPr>
          </w:p>
        </w:tc>
        <w:tc>
          <w:tcPr>
            <w:tcW w:w="422" w:type="dxa"/>
          </w:tcPr>
          <w:p>
            <w:pPr>
              <w:widowControl/>
              <w:jc w:val="left"/>
              <w:outlineLvl w:val="1"/>
              <w:rPr>
                <w:rFonts w:ascii="仿宋_GB2312" w:hAnsi="宋体" w:eastAsia="仿宋_GB2312"/>
                <w:kern w:val="0"/>
                <w:sz w:val="32"/>
                <w:szCs w:val="32"/>
              </w:rPr>
            </w:pPr>
          </w:p>
        </w:tc>
        <w:tc>
          <w:tcPr>
            <w:tcW w:w="496" w:type="dxa"/>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tcPr>
          <w:p>
            <w:pPr>
              <w:widowControl/>
              <w:jc w:val="left"/>
              <w:outlineLvl w:val="1"/>
              <w:rPr>
                <w:rFonts w:ascii="仿宋_GB2312" w:hAnsi="宋体" w:eastAsia="仿宋_GB2312"/>
                <w:kern w:val="0"/>
                <w:sz w:val="32"/>
                <w:szCs w:val="32"/>
              </w:rPr>
            </w:pPr>
          </w:p>
        </w:tc>
        <w:tc>
          <w:tcPr>
            <w:tcW w:w="456" w:type="dxa"/>
          </w:tcPr>
          <w:p>
            <w:pPr>
              <w:widowControl/>
              <w:jc w:val="left"/>
              <w:outlineLvl w:val="1"/>
              <w:rPr>
                <w:rFonts w:ascii="仿宋_GB2312" w:hAnsi="宋体" w:eastAsia="仿宋_GB2312"/>
                <w:kern w:val="0"/>
                <w:sz w:val="32"/>
                <w:szCs w:val="32"/>
              </w:rPr>
            </w:pPr>
          </w:p>
        </w:tc>
        <w:tc>
          <w:tcPr>
            <w:tcW w:w="50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tcPr>
          <w:p>
            <w:pPr>
              <w:widowControl/>
              <w:jc w:val="left"/>
              <w:outlineLvl w:val="1"/>
              <w:rPr>
                <w:rFonts w:ascii="仿宋_GB2312" w:hAnsi="宋体" w:eastAsia="仿宋_GB2312"/>
                <w:kern w:val="0"/>
                <w:sz w:val="32"/>
                <w:szCs w:val="32"/>
              </w:rPr>
            </w:pPr>
          </w:p>
        </w:tc>
        <w:tc>
          <w:tcPr>
            <w:tcW w:w="822" w:type="dxa"/>
          </w:tcPr>
          <w:p>
            <w:pPr>
              <w:widowControl/>
              <w:jc w:val="center"/>
              <w:outlineLvl w:val="1"/>
              <w:rPr>
                <w:rFonts w:ascii="仿宋_GB2312" w:hAnsi="宋体" w:eastAsia="仿宋_GB2312"/>
                <w:kern w:val="0"/>
                <w:sz w:val="32"/>
                <w:szCs w:val="32"/>
              </w:rPr>
            </w:pPr>
          </w:p>
        </w:tc>
        <w:tc>
          <w:tcPr>
            <w:tcW w:w="678" w:type="dxa"/>
          </w:tcPr>
          <w:p>
            <w:pPr>
              <w:widowControl/>
              <w:jc w:val="left"/>
              <w:outlineLvl w:val="1"/>
              <w:rPr>
                <w:rFonts w:ascii="仿宋_GB2312" w:hAnsi="宋体" w:eastAsia="仿宋_GB2312"/>
                <w:kern w:val="0"/>
                <w:sz w:val="32"/>
                <w:szCs w:val="32"/>
              </w:rPr>
            </w:pPr>
          </w:p>
        </w:tc>
        <w:tc>
          <w:tcPr>
            <w:tcW w:w="422" w:type="dxa"/>
          </w:tcPr>
          <w:p>
            <w:pPr>
              <w:widowControl/>
              <w:jc w:val="left"/>
              <w:outlineLvl w:val="1"/>
              <w:rPr>
                <w:rFonts w:ascii="仿宋_GB2312" w:hAnsi="宋体" w:eastAsia="仿宋_GB2312"/>
                <w:kern w:val="0"/>
                <w:sz w:val="32"/>
                <w:szCs w:val="32"/>
              </w:rPr>
            </w:pPr>
          </w:p>
        </w:tc>
        <w:tc>
          <w:tcPr>
            <w:tcW w:w="496" w:type="dxa"/>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61.46</w:t>
            </w:r>
          </w:p>
        </w:tc>
        <w:tc>
          <w:tcPr>
            <w:tcW w:w="569" w:type="dxa"/>
          </w:tcPr>
          <w:p>
            <w:pPr>
              <w:widowControl/>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　</w:t>
            </w:r>
          </w:p>
        </w:tc>
        <w:tc>
          <w:tcPr>
            <w:tcW w:w="822" w:type="dxa"/>
          </w:tcPr>
          <w:p>
            <w:pPr>
              <w:keepNext w:val="0"/>
              <w:keepLines w:val="0"/>
              <w:pageBreakBefore w:val="0"/>
              <w:widowControl/>
              <w:kinsoku/>
              <w:wordWrap/>
              <w:overflowPunct/>
              <w:topLinePunct w:val="0"/>
              <w:autoSpaceDE/>
              <w:autoSpaceDN/>
              <w:bidi w:val="0"/>
              <w:adjustRightInd/>
              <w:snapToGrid/>
              <w:spacing w:before="188" w:beforeLines="60"/>
              <w:jc w:val="center"/>
              <w:textAlignment w:val="auto"/>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60.59</w:t>
            </w:r>
          </w:p>
        </w:tc>
        <w:tc>
          <w:tcPr>
            <w:tcW w:w="678" w:type="dxa"/>
          </w:tcPr>
          <w:p>
            <w:pPr>
              <w:keepNext w:val="0"/>
              <w:keepLines w:val="0"/>
              <w:pageBreakBefore w:val="0"/>
              <w:widowControl/>
              <w:kinsoku/>
              <w:wordWrap/>
              <w:overflowPunct/>
              <w:topLinePunct w:val="0"/>
              <w:autoSpaceDE/>
              <w:autoSpaceDN/>
              <w:bidi w:val="0"/>
              <w:adjustRightInd/>
              <w:snapToGrid/>
              <w:spacing w:before="188" w:beforeLines="60"/>
              <w:jc w:val="center"/>
              <w:textAlignment w:val="auto"/>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0.86</w:t>
            </w:r>
          </w:p>
        </w:tc>
        <w:tc>
          <w:tcPr>
            <w:tcW w:w="42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克孜勒苏柯尔克孜自治州水利局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6.00</w:t>
            </w:r>
          </w:p>
        </w:tc>
        <w:tc>
          <w:tcPr>
            <w:tcW w:w="141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0.00</w:t>
            </w: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5.00</w:t>
            </w:r>
          </w:p>
        </w:tc>
        <w:tc>
          <w:tcPr>
            <w:tcW w:w="1418"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0.00</w:t>
            </w: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5.00</w:t>
            </w:r>
          </w:p>
        </w:tc>
        <w:tc>
          <w:tcPr>
            <w:tcW w:w="171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4"/>
                <w:lang w:val="en-US"/>
              </w:rPr>
            </w:pPr>
            <w:r>
              <w:rPr>
                <w:rFonts w:hint="eastAsia" w:ascii="宋体" w:hAnsi="宋体" w:cs="宋体"/>
                <w:color w:val="000000"/>
                <w:kern w:val="0"/>
                <w:sz w:val="24"/>
                <w:lang w:val="en-US" w:eastAsia="zh-CN"/>
              </w:rPr>
              <w:t>5.50</w:t>
            </w:r>
          </w:p>
        </w:tc>
        <w:tc>
          <w:tcPr>
            <w:tcW w:w="141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4"/>
                <w:lang w:val="en-US"/>
              </w:rPr>
            </w:pPr>
            <w:r>
              <w:rPr>
                <w:rFonts w:hint="eastAsia" w:ascii="宋体" w:hAnsi="宋体" w:cs="宋体"/>
                <w:color w:val="000000"/>
                <w:kern w:val="0"/>
                <w:sz w:val="24"/>
                <w:lang w:val="en-US" w:eastAsia="zh-CN"/>
              </w:rPr>
              <w:t>5.50</w:t>
            </w:r>
          </w:p>
        </w:tc>
        <w:tc>
          <w:tcPr>
            <w:tcW w:w="1418"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4"/>
                <w:lang w:val="en-US"/>
              </w:rPr>
            </w:pPr>
            <w:r>
              <w:rPr>
                <w:rFonts w:hint="eastAsia" w:ascii="宋体" w:hAnsi="宋体" w:cs="宋体"/>
                <w:color w:val="000000"/>
                <w:kern w:val="0"/>
                <w:sz w:val="24"/>
                <w:lang w:val="en-US" w:eastAsia="zh-CN"/>
              </w:rPr>
              <w:t>5.50</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11.50</w:t>
            </w:r>
          </w:p>
        </w:tc>
        <w:tc>
          <w:tcPr>
            <w:tcW w:w="141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0.00</w:t>
            </w: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10.50</w:t>
            </w:r>
          </w:p>
        </w:tc>
        <w:tc>
          <w:tcPr>
            <w:tcW w:w="1418"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0.00</w:t>
            </w: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10.50</w:t>
            </w:r>
          </w:p>
        </w:tc>
        <w:tc>
          <w:tcPr>
            <w:tcW w:w="171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1.00</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克孜勒苏柯尔克孜自治州水利局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克孜勒苏柯尔克孜自治州水利局2021年没有使用政府性基金预算拨款安排的支出，政府性基金预算支出情况表为空表。</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2021年部门（单位）</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克孜勒苏柯尔克孜自治州水利局部门（单位）2021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克孜勒苏柯尔克孜自治州水利局单位2021</w:t>
      </w:r>
      <w:r>
        <w:rPr>
          <w:rFonts w:hint="eastAsia" w:ascii="仿宋_GB2312" w:hAnsi="宋体" w:eastAsia="仿宋_GB2312" w:cs="宋体"/>
          <w:kern w:val="0"/>
          <w:sz w:val="32"/>
          <w:szCs w:val="32"/>
        </w:rPr>
        <w:t>年所有收入和支出均纳入部门（单位）预算管理。收支总预算</w:t>
      </w:r>
      <w:r>
        <w:rPr>
          <w:rFonts w:hint="eastAsia" w:ascii="仿宋_GB2312" w:hAnsi="宋体" w:eastAsia="仿宋_GB2312" w:cs="宋体"/>
          <w:kern w:val="0"/>
          <w:sz w:val="32"/>
          <w:szCs w:val="32"/>
          <w:lang w:val="en-US" w:eastAsia="zh-CN"/>
        </w:rPr>
        <w:t>574.63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535.63万元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上级专项收入39万元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574.63</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克孜勒苏柯尔克孜自治州水利局部门（单位）2021</w:t>
      </w:r>
      <w:r>
        <w:rPr>
          <w:rFonts w:hint="eastAsia" w:ascii="黑体" w:hAnsi="宋体" w:eastAsia="黑体" w:cs="宋体"/>
          <w:kern w:val="0"/>
          <w:sz w:val="32"/>
          <w:szCs w:val="32"/>
        </w:rPr>
        <w:t>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克孜勒苏柯尔克孜自治州水利局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574.63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535.63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93.21</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 xml:space="preserve">减少 </w:t>
      </w:r>
      <w:r>
        <w:rPr>
          <w:rFonts w:hint="eastAsia" w:ascii="仿宋_GB2312" w:hAnsi="宋体" w:eastAsia="仿宋_GB2312" w:cs="宋体"/>
          <w:kern w:val="0"/>
          <w:sz w:val="32"/>
          <w:szCs w:val="32"/>
          <w:lang w:val="en-US" w:eastAsia="zh-CN"/>
        </w:rPr>
        <w:t>28.45</w:t>
      </w:r>
      <w:r>
        <w:rPr>
          <w:rFonts w:hint="eastAsia" w:ascii="仿宋_GB2312" w:hAnsi="宋体" w:eastAsia="仿宋_GB2312" w:cs="宋体"/>
          <w:kern w:val="0"/>
          <w:sz w:val="32"/>
          <w:szCs w:val="32"/>
        </w:rPr>
        <w:t>万元，主要原因是本年度基本工资进行调资、</w:t>
      </w:r>
      <w:r>
        <w:rPr>
          <w:rFonts w:hint="eastAsia" w:ascii="仿宋_GB2312" w:hAnsi="宋体" w:eastAsia="仿宋_GB2312" w:cs="宋体"/>
          <w:kern w:val="0"/>
          <w:sz w:val="32"/>
          <w:szCs w:val="32"/>
          <w:lang w:val="en-US" w:eastAsia="zh-CN"/>
        </w:rPr>
        <w:t>调出2人副县级领导干部，未纳入预算，调入1名领导干部，进行正常晋升调资等，人员工资减少</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rPr>
        <w:t>国有资本</w:t>
      </w:r>
      <w:r>
        <w:rPr>
          <w:rFonts w:ascii="仿宋_GB2312" w:hAnsi="宋体" w:eastAsia="仿宋_GB2312" w:cs="宋体"/>
          <w:color w:val="auto"/>
          <w:kern w:val="0"/>
          <w:sz w:val="32"/>
          <w:szCs w:val="32"/>
          <w:highlight w:val="none"/>
        </w:rPr>
        <w:t>经营预算</w:t>
      </w:r>
      <w:r>
        <w:rPr>
          <w:rFonts w:hint="eastAsia" w:ascii="仿宋_GB2312" w:hAnsi="宋体" w:eastAsia="仿宋_GB2312" w:cs="宋体"/>
          <w:color w:val="auto"/>
          <w:kern w:val="0"/>
          <w:sz w:val="32"/>
          <w:szCs w:val="32"/>
          <w:highlight w:val="none"/>
        </w:rPr>
        <w:t>未安排</w:t>
      </w:r>
      <w:r>
        <w:rPr>
          <w:rFonts w:hint="eastAsia" w:ascii="仿宋_GB2312" w:hAnsi="宋体" w:eastAsia="仿宋_GB2312" w:cs="宋体"/>
          <w:color w:val="auto"/>
          <w:kern w:val="0"/>
          <w:sz w:val="32"/>
          <w:szCs w:val="32"/>
          <w:highlight w:val="none"/>
          <w:lang w:eastAsia="zh-CN"/>
        </w:rPr>
        <w:t>。</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lang w:val="en-US" w:eastAsia="zh-CN"/>
        </w:rPr>
        <w:t>上级拨款专项</w:t>
      </w:r>
      <w:r>
        <w:rPr>
          <w:rFonts w:hint="eastAsia" w:ascii="仿宋_GB2312" w:hAnsi="宋体" w:eastAsia="仿宋_GB2312" w:cs="宋体"/>
          <w:kern w:val="0"/>
          <w:sz w:val="32"/>
          <w:szCs w:val="32"/>
        </w:rPr>
        <w:t xml:space="preserve">资金 </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6.79</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 xml:space="preserve">减少 </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各县市的水资源经费，今年自治区拨款到州财政局，由州财政局直接分配给各县市，未经州水利局转拨。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克孜勒苏柯尔克孜自治州水利局部门（单位）2021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克孜勒苏柯尔克孜自治州水利局2021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574.63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474.18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82.52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45.63</w:t>
      </w:r>
      <w:r>
        <w:rPr>
          <w:rFonts w:hint="eastAsia" w:ascii="仿宋_GB2312" w:hAnsi="宋体" w:eastAsia="仿宋_GB2312" w:cs="宋体"/>
          <w:kern w:val="0"/>
          <w:sz w:val="32"/>
          <w:szCs w:val="32"/>
        </w:rPr>
        <w:t>万元，主要原因是上年度结余资金较多，</w:t>
      </w:r>
      <w:r>
        <w:rPr>
          <w:rFonts w:hint="eastAsia" w:ascii="仿宋_GB2312" w:hAnsi="宋体" w:eastAsia="仿宋_GB2312" w:cs="宋体"/>
          <w:kern w:val="0"/>
          <w:sz w:val="32"/>
          <w:szCs w:val="32"/>
          <w:lang w:val="en-US" w:eastAsia="zh-CN"/>
        </w:rPr>
        <w:t>还有2020年单位调出2人等</w:t>
      </w:r>
      <w:r>
        <w:rPr>
          <w:rFonts w:hint="eastAsia" w:ascii="仿宋_GB2312" w:hAnsi="宋体" w:eastAsia="仿宋_GB2312" w:cs="宋体"/>
          <w:kern w:val="0"/>
          <w:sz w:val="32"/>
          <w:szCs w:val="32"/>
        </w:rPr>
        <w:t>。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100.46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17.48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 xml:space="preserve">减少 </w:t>
      </w:r>
      <w:r>
        <w:rPr>
          <w:rFonts w:hint="eastAsia" w:ascii="仿宋_GB2312" w:hAnsi="宋体" w:eastAsia="仿宋_GB2312" w:cs="宋体"/>
          <w:kern w:val="0"/>
          <w:sz w:val="32"/>
          <w:szCs w:val="32"/>
          <w:lang w:val="en-US" w:eastAsia="zh-CN"/>
        </w:rPr>
        <w:t>66.63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水资源管理费比上年度减少了18万元，上年度河湖岸线规划编制费51万等</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克孜勒苏柯尔克孜自治州水利局部门（单位）2021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535.63</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spacing w:val="-6"/>
          <w:kern w:val="0"/>
          <w:sz w:val="32"/>
          <w:szCs w:val="32"/>
          <w:highlight w:val="none"/>
        </w:rPr>
        <w:t xml:space="preserve"> </w:t>
      </w:r>
      <w:r>
        <w:rPr>
          <w:rFonts w:hint="eastAsia" w:ascii="仿宋_GB2312" w:hAnsi="宋体" w:eastAsia="仿宋_GB2312" w:cs="宋体"/>
          <w:spacing w:val="-6"/>
          <w:kern w:val="0"/>
          <w:sz w:val="32"/>
          <w:szCs w:val="32"/>
          <w:highlight w:val="none"/>
          <w:lang w:val="en-US" w:eastAsia="zh-CN"/>
        </w:rPr>
        <w:t>535.63</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60" w:lineRule="exact"/>
        <w:ind w:firstLine="616" w:firstLineChars="200"/>
        <w:rPr>
          <w:rFonts w:hint="eastAsia" w:ascii="仿宋_GB2312" w:hAnsi="宋体" w:eastAsia="仿宋_GB2312" w:cs="宋体"/>
          <w:b/>
          <w:spacing w:val="-6"/>
          <w:kern w:val="0"/>
          <w:sz w:val="32"/>
          <w:szCs w:val="32"/>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w:t>
      </w:r>
      <w:r>
        <w:rPr>
          <w:rFonts w:hint="eastAsia" w:ascii="仿宋_GB2312" w:hAnsi="宋体" w:eastAsia="仿宋_GB2312" w:cs="宋体"/>
          <w:kern w:val="0"/>
          <w:sz w:val="32"/>
          <w:szCs w:val="32"/>
          <w:highlight w:val="none"/>
        </w:rPr>
        <w:t>一</w:t>
      </w:r>
      <w:r>
        <w:rPr>
          <w:rFonts w:hint="eastAsia" w:ascii="仿宋_GB2312" w:hAnsi="宋体" w:eastAsia="仿宋_GB2312" w:cs="宋体"/>
          <w:kern w:val="0"/>
          <w:sz w:val="32"/>
          <w:szCs w:val="32"/>
        </w:rPr>
        <w:t>般公共服务支出</w:t>
      </w:r>
      <w:r>
        <w:rPr>
          <w:rFonts w:hint="eastAsia" w:ascii="仿宋_GB2312" w:hAnsi="宋体" w:eastAsia="仿宋_GB2312" w:cs="宋体"/>
          <w:kern w:val="0"/>
          <w:sz w:val="32"/>
          <w:szCs w:val="32"/>
          <w:lang w:val="en-US" w:eastAsia="zh-CN"/>
        </w:rPr>
        <w:t>535.63</w:t>
      </w:r>
      <w:r>
        <w:rPr>
          <w:rFonts w:hint="eastAsia" w:ascii="仿宋_GB2312" w:hAnsi="宋体" w:eastAsia="仿宋_GB2312" w:cs="宋体"/>
          <w:kern w:val="0"/>
          <w:sz w:val="32"/>
          <w:szCs w:val="32"/>
        </w:rPr>
        <w:t>万元，主要用于单位</w:t>
      </w:r>
      <w:r>
        <w:rPr>
          <w:rFonts w:hint="eastAsia" w:ascii="仿宋_GB2312" w:hAnsi="宋体" w:eastAsia="仿宋_GB2312" w:cs="宋体"/>
          <w:kern w:val="0"/>
          <w:sz w:val="32"/>
          <w:szCs w:val="32"/>
          <w:lang w:val="en-US" w:eastAsia="zh-CN"/>
        </w:rPr>
        <w:t>开展相关业务工作的日常公用经费和人员工资以及实施各项水利相关的项目</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克孜勒苏柯尔克孜自治州水利局部门（单位）2021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none"/>
          <w:lang w:eastAsia="zh-CN"/>
        </w:rPr>
        <w:t>克孜勒苏柯尔克孜自治州水利局部门（单位）2021</w:t>
      </w:r>
      <w:r>
        <w:rPr>
          <w:rFonts w:hint="eastAsia" w:ascii="仿宋_GB2312" w:hAnsi="宋体" w:eastAsia="仿宋_GB2312" w:cs="宋体"/>
          <w:kern w:val="0"/>
          <w:sz w:val="32"/>
          <w:szCs w:val="32"/>
          <w:highlight w:val="none"/>
        </w:rPr>
        <w:t>年一般公共预算拨款合计</w:t>
      </w:r>
      <w:r>
        <w:rPr>
          <w:rFonts w:hint="eastAsia" w:ascii="仿宋_GB2312" w:hAnsi="宋体" w:eastAsia="仿宋_GB2312" w:cs="宋体"/>
          <w:kern w:val="0"/>
          <w:sz w:val="32"/>
          <w:szCs w:val="32"/>
          <w:highlight w:val="none"/>
          <w:lang w:val="en-US" w:eastAsia="zh-CN"/>
        </w:rPr>
        <w:t>535.63</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rPr>
        <w:t xml:space="preserve">基本支出 </w:t>
      </w:r>
      <w:r>
        <w:rPr>
          <w:rFonts w:hint="eastAsia" w:ascii="仿宋_GB2312" w:hAnsi="宋体" w:eastAsia="仿宋_GB2312" w:cs="宋体"/>
          <w:kern w:val="0"/>
          <w:sz w:val="32"/>
          <w:szCs w:val="32"/>
          <w:lang w:val="en-US" w:eastAsia="zh-CN"/>
        </w:rPr>
        <w:t>474.18</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37.31</w:t>
      </w:r>
      <w:r>
        <w:rPr>
          <w:rFonts w:hint="eastAsia" w:ascii="仿宋_GB2312" w:hAnsi="宋体" w:eastAsia="仿宋_GB2312" w:cs="宋体"/>
          <w:kern w:val="0"/>
          <w:sz w:val="32"/>
          <w:szCs w:val="32"/>
        </w:rPr>
        <w:t xml:space="preserve"> 万元，下降</w:t>
      </w:r>
      <w:r>
        <w:rPr>
          <w:rFonts w:hint="eastAsia" w:ascii="仿宋_GB2312" w:hAnsi="宋体" w:eastAsia="仿宋_GB2312" w:cs="宋体"/>
          <w:kern w:val="0"/>
          <w:sz w:val="32"/>
          <w:szCs w:val="32"/>
          <w:lang w:val="en-US" w:eastAsia="zh-CN"/>
        </w:rPr>
        <w:t>7.29</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年底人员调出未纳入预算。项目</w:t>
      </w:r>
      <w:r>
        <w:rPr>
          <w:rFonts w:hint="eastAsia" w:ascii="仿宋_GB2312" w:hAnsi="宋体" w:eastAsia="仿宋_GB2312" w:cs="宋体"/>
          <w:kern w:val="0"/>
          <w:sz w:val="32"/>
          <w:szCs w:val="32"/>
        </w:rPr>
        <w:t xml:space="preserve">支出 </w:t>
      </w:r>
      <w:r>
        <w:rPr>
          <w:rFonts w:hint="eastAsia" w:ascii="仿宋_GB2312" w:hAnsi="宋体" w:eastAsia="仿宋_GB2312" w:cs="宋体"/>
          <w:kern w:val="0"/>
          <w:sz w:val="32"/>
          <w:szCs w:val="32"/>
          <w:lang w:val="en-US" w:eastAsia="zh-CN"/>
        </w:rPr>
        <w:t>61.46</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8.87</w:t>
      </w:r>
      <w:r>
        <w:rPr>
          <w:rFonts w:hint="eastAsia" w:ascii="仿宋_GB2312" w:hAnsi="宋体" w:eastAsia="仿宋_GB2312" w:cs="宋体"/>
          <w:kern w:val="0"/>
          <w:sz w:val="32"/>
          <w:szCs w:val="32"/>
        </w:rPr>
        <w:t xml:space="preserve"> 万元，下降</w:t>
      </w:r>
      <w:r>
        <w:rPr>
          <w:rFonts w:hint="eastAsia" w:ascii="仿宋_GB2312" w:hAnsi="宋体" w:eastAsia="仿宋_GB2312" w:cs="宋体"/>
          <w:kern w:val="0"/>
          <w:sz w:val="32"/>
          <w:szCs w:val="32"/>
          <w:lang w:val="en-US" w:eastAsia="zh-CN"/>
        </w:rPr>
        <w:t>16.87</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本年新增水土保持技术评审费、见习岗位补贴。</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一般公共</w:t>
      </w:r>
      <w:r>
        <w:rPr>
          <w:rFonts w:hint="eastAsia" w:ascii="仿宋_GB2312" w:eastAsia="仿宋_GB2312"/>
          <w:sz w:val="32"/>
          <w:szCs w:val="32"/>
          <w:lang w:val="en-US" w:eastAsia="zh-CN"/>
        </w:rPr>
        <w:t>预算</w:t>
      </w:r>
      <w:r>
        <w:rPr>
          <w:rFonts w:hint="eastAsia" w:ascii="仿宋_GB2312" w:eastAsia="仿宋_GB2312"/>
          <w:sz w:val="32"/>
          <w:szCs w:val="32"/>
        </w:rPr>
        <w:t>农林水（213）</w:t>
      </w:r>
      <w:r>
        <w:rPr>
          <w:rFonts w:hint="eastAsia" w:ascii="仿宋_GB2312" w:eastAsia="仿宋_GB2312"/>
          <w:sz w:val="32"/>
          <w:szCs w:val="32"/>
          <w:lang w:val="en-US" w:eastAsia="zh-CN"/>
        </w:rPr>
        <w:t>535.63</w:t>
      </w:r>
      <w:r>
        <w:rPr>
          <w:rFonts w:hint="eastAsia" w:ascii="仿宋_GB2312" w:eastAsia="仿宋_GB2312"/>
          <w:sz w:val="32"/>
          <w:szCs w:val="32"/>
        </w:rPr>
        <w:t>万</w:t>
      </w:r>
      <w:r>
        <w:rPr>
          <w:rFonts w:hint="eastAsia" w:ascii="仿宋_GB2312" w:hAnsi="宋体" w:eastAsia="仿宋_GB2312" w:cs="宋体"/>
          <w:kern w:val="0"/>
          <w:sz w:val="32"/>
          <w:szCs w:val="32"/>
        </w:rPr>
        <w:t>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475.04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36.46</w:t>
      </w:r>
      <w:r>
        <w:rPr>
          <w:rFonts w:hint="eastAsia" w:ascii="仿宋_GB2312" w:hAnsi="宋体" w:eastAsia="仿宋_GB2312" w:cs="宋体"/>
          <w:kern w:val="0"/>
          <w:sz w:val="32"/>
          <w:szCs w:val="32"/>
        </w:rPr>
        <w:t xml:space="preserve"> 万元，下降</w:t>
      </w:r>
      <w:r>
        <w:rPr>
          <w:rFonts w:hint="eastAsia" w:ascii="仿宋_GB2312" w:hAnsi="宋体" w:eastAsia="仿宋_GB2312" w:cs="宋体"/>
          <w:kern w:val="0"/>
          <w:sz w:val="32"/>
          <w:szCs w:val="32"/>
          <w:lang w:val="en-US" w:eastAsia="zh-CN"/>
        </w:rPr>
        <w:t>7.13</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上年度调出2名副县级干部职工等。</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99</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60.59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预算增加8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上升15.21</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本年度新增水土保持技术评审费8万元。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克孜勒苏柯尔克孜自治州水利局部门（单位）2021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克孜勒苏柯尔克孜自治州水利局2021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474.18</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439.87</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124.8万元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154.95万元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10.4万元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40.61万元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33.14万元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29.34万元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19.51万元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5.92万元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1.76万元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19.44万元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34.31</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2.86万元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、手续费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1.5万元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3.62万元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3万元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3万元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1.76万元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3.17万元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5万元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1.4万元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办公用品及设备采购5.5万元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克孜勒苏柯尔克孜自治州水利局部门（单位）2021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hint="eastAsia"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河长制工作经费</w:t>
      </w:r>
    </w:p>
    <w:p>
      <w:pPr>
        <w:widowControl/>
        <w:spacing w:line="50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为深入贯彻落实《中共中央办公厅、国务院办公厅印发&lt;关于全面推行河长制的意见&gt;的通知》（厅字〔2016〕42号）和《自治区党委办公厅、自治区人民政府办公厅关于印发&lt;新疆维吾尔自治区实施河长制工作方案&gt;的通知》（新党厅字〔2017〕71号）精神，根据《克州党委办公室 克州政府办公室关于印发&lt;克孜勒苏柯尔克孜自治州河长制实施方案&gt;的通知》（克党室字〔2017〕78号）要求，设立此项目。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40万元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克孜勒苏柯尔克孜自治州水利局</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highlight w:val="none"/>
        </w:rPr>
        <w:t>印刷费</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w:t>
      </w:r>
      <w:r>
        <w:rPr>
          <w:rFonts w:hint="eastAsia" w:ascii="仿宋" w:hAnsi="仿宋" w:eastAsia="仿宋" w:cs="宋体"/>
          <w:kern w:val="0"/>
          <w:sz w:val="32"/>
          <w:szCs w:val="32"/>
          <w:highlight w:val="none"/>
        </w:rPr>
        <w:t>、</w:t>
      </w:r>
      <w:r>
        <w:rPr>
          <w:rFonts w:hint="eastAsia" w:ascii="仿宋_GB2312" w:hAnsi="宋体" w:eastAsia="仿宋_GB2312" w:cs="宋体"/>
          <w:kern w:val="0"/>
          <w:sz w:val="32"/>
          <w:szCs w:val="32"/>
          <w:highlight w:val="none"/>
        </w:rPr>
        <w:t>差费</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w:t>
      </w:r>
      <w:r>
        <w:rPr>
          <w:rFonts w:hint="eastAsia" w:ascii="仿宋" w:hAnsi="仿宋" w:eastAsia="仿宋" w:cs="宋体"/>
          <w:kern w:val="0"/>
          <w:sz w:val="32"/>
          <w:szCs w:val="32"/>
          <w:highlight w:val="none"/>
        </w:rPr>
        <w:t>、培训费</w:t>
      </w:r>
      <w:r>
        <w:rPr>
          <w:rFonts w:hint="eastAsia" w:ascii="仿宋" w:hAnsi="仿宋" w:eastAsia="仿宋" w:cs="宋体"/>
          <w:kern w:val="0"/>
          <w:sz w:val="32"/>
          <w:szCs w:val="32"/>
          <w:highlight w:val="none"/>
          <w:lang w:val="en-US" w:eastAsia="zh-CN"/>
        </w:rPr>
        <w:t>1</w:t>
      </w:r>
      <w:r>
        <w:rPr>
          <w:rFonts w:hint="eastAsia" w:ascii="仿宋" w:hAnsi="仿宋" w:eastAsia="仿宋" w:cs="宋体"/>
          <w:kern w:val="0"/>
          <w:sz w:val="32"/>
          <w:szCs w:val="32"/>
          <w:highlight w:val="none"/>
        </w:rPr>
        <w:t>万元、委托业务费</w:t>
      </w:r>
      <w:r>
        <w:rPr>
          <w:rFonts w:hint="eastAsia" w:ascii="仿宋" w:hAnsi="仿宋" w:eastAsia="仿宋" w:cs="宋体"/>
          <w:kern w:val="0"/>
          <w:sz w:val="32"/>
          <w:szCs w:val="32"/>
          <w:highlight w:val="none"/>
          <w:lang w:val="en-US" w:eastAsia="zh-CN"/>
        </w:rPr>
        <w:t>24</w:t>
      </w:r>
      <w:r>
        <w:rPr>
          <w:rFonts w:hint="eastAsia" w:ascii="仿宋" w:hAnsi="仿宋" w:eastAsia="仿宋" w:cs="宋体"/>
          <w:kern w:val="0"/>
          <w:sz w:val="32"/>
          <w:szCs w:val="32"/>
          <w:highlight w:val="none"/>
        </w:rPr>
        <w:t>万元、公务用车运行维护费4万元、办公用品及设备采购</w:t>
      </w:r>
      <w:r>
        <w:rPr>
          <w:rFonts w:hint="eastAsia" w:ascii="仿宋" w:hAnsi="仿宋" w:eastAsia="仿宋" w:cs="宋体"/>
          <w:kern w:val="0"/>
          <w:sz w:val="32"/>
          <w:szCs w:val="32"/>
          <w:highlight w:val="none"/>
          <w:lang w:val="en-US" w:eastAsia="zh-CN"/>
        </w:rPr>
        <w:t>2</w:t>
      </w:r>
      <w:r>
        <w:rPr>
          <w:rFonts w:hint="eastAsia" w:ascii="仿宋" w:hAnsi="仿宋" w:eastAsia="仿宋" w:cs="宋体"/>
          <w:kern w:val="0"/>
          <w:sz w:val="32"/>
          <w:szCs w:val="32"/>
          <w:highlight w:val="none"/>
        </w:rPr>
        <w:t>万元、其他商品和服务支出</w:t>
      </w:r>
      <w:r>
        <w:rPr>
          <w:rFonts w:hint="eastAsia" w:ascii="仿宋" w:hAnsi="仿宋" w:eastAsia="仿宋" w:cs="宋体"/>
          <w:kern w:val="0"/>
          <w:sz w:val="32"/>
          <w:szCs w:val="32"/>
          <w:highlight w:val="none"/>
          <w:lang w:val="en-US" w:eastAsia="zh-CN"/>
        </w:rPr>
        <w:t>6</w:t>
      </w:r>
      <w:r>
        <w:rPr>
          <w:rFonts w:hint="eastAsia" w:ascii="仿宋" w:hAnsi="仿宋" w:eastAsia="仿宋" w:cs="宋体"/>
          <w:kern w:val="0"/>
          <w:sz w:val="32"/>
          <w:szCs w:val="32"/>
          <w:highlight w:val="none"/>
        </w:rPr>
        <w:t>万元。</w:t>
      </w:r>
    </w:p>
    <w:p>
      <w:pPr>
        <w:widowControl/>
        <w:spacing w:line="540" w:lineRule="exact"/>
        <w:ind w:firstLine="640" w:firstLineChars="200"/>
        <w:jc w:val="left"/>
        <w:rPr>
          <w:rFonts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年1月1日—12月31日</w:t>
      </w:r>
    </w:p>
    <w:p>
      <w:pPr>
        <w:widowControl/>
        <w:spacing w:line="500" w:lineRule="exact"/>
        <w:ind w:firstLine="640"/>
        <w:jc w:val="left"/>
        <w:rPr>
          <w:rFonts w:ascii="仿宋_GB2312" w:hAnsi="黑体" w:eastAsia="仿宋_GB2312"/>
          <w:b/>
          <w:bCs/>
          <w:sz w:val="32"/>
          <w:szCs w:val="32"/>
          <w:highlight w:val="none"/>
        </w:rPr>
      </w:pPr>
      <w:r>
        <w:rPr>
          <w:rFonts w:hint="eastAsia" w:ascii="仿宋_GB2312" w:hAnsi="黑体" w:eastAsia="仿宋_GB2312"/>
          <w:b/>
          <w:bCs/>
          <w:sz w:val="32"/>
          <w:szCs w:val="32"/>
          <w:highlight w:val="none"/>
        </w:rPr>
        <w:t>项目名称：群众工作经费</w:t>
      </w:r>
    </w:p>
    <w:p>
      <w:pPr>
        <w:widowControl/>
        <w:spacing w:line="540" w:lineRule="exact"/>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根据州财政202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年预算编制内容</w:t>
      </w:r>
    </w:p>
    <w:p>
      <w:pPr>
        <w:widowControl/>
        <w:spacing w:line="540" w:lineRule="exact"/>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万元</w:t>
      </w:r>
    </w:p>
    <w:p>
      <w:pPr>
        <w:widowControl/>
        <w:spacing w:line="540" w:lineRule="exact"/>
        <w:ind w:firstLine="640" w:firstLineChars="200"/>
        <w:jc w:val="left"/>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lang w:eastAsia="zh-CN"/>
        </w:rPr>
        <w:t>克孜勒苏柯尔克孜自治州水利局</w:t>
      </w:r>
    </w:p>
    <w:p>
      <w:pPr>
        <w:widowControl/>
        <w:spacing w:line="540" w:lineRule="exact"/>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hint="eastAsia" w:ascii="仿宋_GB2312" w:hAnsi="宋体" w:eastAsia="仿宋_GB2312" w:cs="宋体"/>
          <w:kern w:val="0"/>
          <w:sz w:val="32"/>
          <w:szCs w:val="32"/>
          <w:highlight w:val="none"/>
        </w:rPr>
        <w:t>群众工作经费</w:t>
      </w:r>
      <w:r>
        <w:rPr>
          <w:rFonts w:hint="eastAsia" w:ascii="仿宋_GB2312" w:hAnsi="宋体" w:eastAsia="仿宋_GB2312" w:cs="宋体"/>
          <w:kern w:val="0"/>
          <w:sz w:val="32"/>
          <w:szCs w:val="32"/>
          <w:highlight w:val="none"/>
          <w:lang w:val="en-US" w:eastAsia="zh-CN"/>
        </w:rPr>
        <w:t>10万元</w:t>
      </w:r>
      <w:r>
        <w:rPr>
          <w:rFonts w:hint="eastAsia" w:ascii="仿宋_GB2312" w:hAnsi="宋体" w:eastAsia="仿宋_GB2312" w:cs="宋体"/>
          <w:kern w:val="0"/>
          <w:sz w:val="32"/>
          <w:szCs w:val="32"/>
          <w:highlight w:val="none"/>
        </w:rPr>
        <w:t>。</w:t>
      </w:r>
    </w:p>
    <w:p>
      <w:pPr>
        <w:widowControl/>
        <w:spacing w:line="540" w:lineRule="exact"/>
        <w:ind w:firstLine="640" w:firstLineChars="20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年1月1日—12月31日</w:t>
      </w:r>
    </w:p>
    <w:p>
      <w:pPr>
        <w:widowControl/>
        <w:spacing w:line="50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项目名称：办公楼消防运行维护费</w:t>
      </w:r>
    </w:p>
    <w:p>
      <w:pPr>
        <w:widowControl/>
        <w:spacing w:line="54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根据相关合同内容</w:t>
      </w:r>
    </w:p>
    <w:p>
      <w:pPr>
        <w:widowControl/>
        <w:spacing w:line="54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2.59万元</w:t>
      </w:r>
    </w:p>
    <w:p>
      <w:pPr>
        <w:widowControl/>
        <w:spacing w:line="540" w:lineRule="exact"/>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eastAsia="zh-CN"/>
        </w:rPr>
        <w:t>克孜勒苏柯尔克孜自治州水利局</w:t>
      </w:r>
    </w:p>
    <w:p>
      <w:pPr>
        <w:widowControl/>
        <w:spacing w:line="54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lang w:val="en-US" w:eastAsia="zh-CN"/>
        </w:rPr>
        <w:t>项目</w:t>
      </w:r>
      <w:r>
        <w:rPr>
          <w:rFonts w:hint="eastAsia" w:ascii="仿宋_GB2312" w:hAnsi="宋体" w:eastAsia="仿宋_GB2312" w:cs="宋体"/>
          <w:kern w:val="0"/>
          <w:sz w:val="32"/>
          <w:szCs w:val="32"/>
        </w:rPr>
        <w:t>支出2.59万元。</w:t>
      </w:r>
    </w:p>
    <w:p>
      <w:pPr>
        <w:widowControl/>
        <w:spacing w:line="54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年1月1日—12月31日</w:t>
      </w:r>
    </w:p>
    <w:p>
      <w:pPr>
        <w:widowControl/>
        <w:spacing w:line="500" w:lineRule="exact"/>
        <w:ind w:firstLine="640"/>
        <w:jc w:val="left"/>
        <w:rPr>
          <w:rFonts w:hint="eastAsia" w:ascii="仿宋_GB2312" w:hAnsi="黑体" w:eastAsia="仿宋_GB2312"/>
          <w:b/>
          <w:bCs/>
          <w:sz w:val="32"/>
          <w:szCs w:val="32"/>
          <w:lang w:val="en-US" w:eastAsia="zh-CN"/>
        </w:rPr>
      </w:pPr>
      <w:r>
        <w:rPr>
          <w:rFonts w:hint="eastAsia" w:ascii="仿宋_GB2312" w:hAnsi="黑体" w:eastAsia="仿宋_GB2312"/>
          <w:b/>
          <w:bCs/>
          <w:sz w:val="32"/>
          <w:szCs w:val="32"/>
        </w:rPr>
        <w:t>项目名称：</w:t>
      </w:r>
      <w:r>
        <w:rPr>
          <w:rFonts w:hint="eastAsia" w:ascii="仿宋_GB2312" w:hAnsi="黑体" w:eastAsia="仿宋_GB2312"/>
          <w:b/>
          <w:bCs/>
          <w:sz w:val="32"/>
          <w:szCs w:val="32"/>
          <w:lang w:val="en-US" w:eastAsia="zh-CN"/>
        </w:rPr>
        <w:t>水土保持技术评审费</w:t>
      </w:r>
    </w:p>
    <w:p>
      <w:pPr>
        <w:widowControl/>
        <w:spacing w:line="540" w:lineRule="exact"/>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设立的政策依据：</w:t>
      </w:r>
      <w:r>
        <w:rPr>
          <w:rFonts w:hint="eastAsia" w:ascii="仿宋_GB2312" w:hAnsi="仿宋_GB2312" w:eastAsia="仿宋_GB2312" w:cs="仿宋_GB2312"/>
          <w:kern w:val="2"/>
          <w:sz w:val="32"/>
          <w:szCs w:val="32"/>
        </w:rPr>
        <w:t>依据水利部</w:t>
      </w:r>
      <w:r>
        <w:rPr>
          <w:rFonts w:hint="eastAsia" w:ascii="仿宋_GB2312" w:hAnsi="仿宋_GB2312" w:eastAsia="仿宋_GB2312" w:cs="仿宋_GB2312"/>
          <w:sz w:val="32"/>
          <w:szCs w:val="32"/>
        </w:rPr>
        <w:t>依据</w:t>
      </w:r>
      <w:r>
        <w:rPr>
          <w:rFonts w:hint="eastAsia" w:ascii="仿宋_GB2312" w:hAnsi="仿宋_GB2312" w:eastAsia="仿宋_GB2312" w:cs="仿宋_GB2312"/>
          <w:sz w:val="32"/>
          <w:szCs w:val="32"/>
          <w:lang w:eastAsia="zh-CN"/>
        </w:rPr>
        <w:t>水利部【</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160号《关于水利部进一步深化“放管服”改革全面加强水土保持监管的意见》</w:t>
      </w:r>
      <w:r>
        <w:rPr>
          <w:rFonts w:hint="eastAsia" w:ascii="仿宋_GB2312" w:hAnsi="仿宋_GB2312" w:eastAsia="仿宋_GB2312" w:cs="仿宋_GB2312"/>
          <w:kern w:val="2"/>
          <w:sz w:val="32"/>
          <w:szCs w:val="32"/>
        </w:rPr>
        <w:t>和</w:t>
      </w:r>
      <w:r>
        <w:rPr>
          <w:rFonts w:hint="eastAsia" w:ascii="仿宋_GB2312" w:hAnsi="仿宋_GB2312" w:eastAsia="仿宋_GB2312" w:cs="仿宋_GB2312"/>
          <w:sz w:val="32"/>
          <w:szCs w:val="32"/>
        </w:rPr>
        <w:t>财政部关于印发《中央财政科研项目专家咨询费管理办法》的通</w:t>
      </w:r>
      <w:r>
        <w:rPr>
          <w:rFonts w:hint="eastAsia" w:ascii="仿宋_GB2312" w:hAnsi="仿宋_GB2312" w:eastAsia="仿宋_GB2312" w:cs="仿宋_GB2312"/>
          <w:kern w:val="2"/>
          <w:sz w:val="32"/>
          <w:szCs w:val="32"/>
        </w:rPr>
        <w:t>知“第六条要求。</w:t>
      </w:r>
    </w:p>
    <w:p>
      <w:pPr>
        <w:widowControl/>
        <w:spacing w:line="54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w:t>
      </w:r>
    </w:p>
    <w:p>
      <w:pPr>
        <w:widowControl/>
        <w:spacing w:line="540" w:lineRule="exact"/>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eastAsia="zh-CN"/>
        </w:rPr>
        <w:t>克孜勒苏柯尔克孜自治州水利局</w:t>
      </w:r>
    </w:p>
    <w:p>
      <w:pPr>
        <w:widowControl/>
        <w:spacing w:line="54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lang w:val="en-US" w:eastAsia="zh-CN"/>
        </w:rPr>
        <w:t>水土保持技术评审费8</w:t>
      </w:r>
      <w:r>
        <w:rPr>
          <w:rFonts w:hint="eastAsia" w:ascii="仿宋_GB2312" w:hAnsi="宋体" w:eastAsia="仿宋_GB2312" w:cs="宋体"/>
          <w:kern w:val="0"/>
          <w:sz w:val="32"/>
          <w:szCs w:val="32"/>
        </w:rPr>
        <w:t>万元。</w:t>
      </w:r>
    </w:p>
    <w:p>
      <w:pPr>
        <w:widowControl/>
        <w:spacing w:line="54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年1月1日—12月31日</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见习岗位补贴</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依据克财社[2020]99号《关于拨付中央财政2020年第四季度就业补助资金的通知》</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0.86万元</w:t>
      </w:r>
    </w:p>
    <w:p>
      <w:pPr>
        <w:widowControl/>
        <w:spacing w:line="540" w:lineRule="exact"/>
        <w:ind w:firstLine="640" w:firstLineChars="200"/>
        <w:jc w:val="left"/>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克孜勒苏柯尔克孜自治州水利局</w:t>
      </w:r>
    </w:p>
    <w:p>
      <w:pPr>
        <w:spacing w:line="560" w:lineRule="exact"/>
        <w:ind w:firstLine="640" w:firstLineChars="200"/>
        <w:rPr>
          <w:rFonts w:hint="default" w:ascii="仿宋_GB2312" w:hAnsi="黑体" w:eastAsia="仿宋_GB2312"/>
          <w:sz w:val="32"/>
          <w:szCs w:val="32"/>
          <w:highlight w:val="none"/>
          <w:lang w:val="en-US"/>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见习岗位补贴0.86万元</w:t>
      </w:r>
    </w:p>
    <w:p>
      <w:pPr>
        <w:widowControl/>
        <w:spacing w:line="540" w:lineRule="exact"/>
        <w:ind w:firstLine="640" w:firstLineChars="200"/>
        <w:jc w:val="left"/>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年1月1日—12月31日</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宋体" w:eastAsia="仿宋_GB2312"/>
          <w:sz w:val="32"/>
          <w:szCs w:val="22"/>
          <w:highlight w:val="none"/>
        </w:rPr>
        <w:t>资金来源</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克孜勒苏柯尔克孜自治</w:t>
      </w:r>
      <w:r>
        <w:rPr>
          <w:rFonts w:hint="eastAsia" w:ascii="仿宋_GB2312" w:hAnsi="宋体" w:eastAsia="仿宋_GB2312" w:cs="宋体"/>
          <w:kern w:val="0"/>
          <w:sz w:val="32"/>
          <w:szCs w:val="32"/>
          <w:highlight w:val="none"/>
          <w:lang w:val="en-US" w:eastAsia="zh-CN"/>
        </w:rPr>
        <w:t>州财政拨款</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宋体" w:eastAsia="仿宋_GB2312"/>
          <w:sz w:val="32"/>
          <w:szCs w:val="22"/>
          <w:highlight w:val="none"/>
        </w:rPr>
        <w:t>补贴人数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两人</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ascii="仿宋_GB2312" w:hAnsi="宋体" w:eastAsia="仿宋_GB2312"/>
          <w:sz w:val="32"/>
          <w:szCs w:val="22"/>
          <w:highlight w:val="none"/>
        </w:rPr>
        <w:t>补贴标准</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720元/月</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宋体" w:eastAsia="仿宋_GB2312"/>
          <w:sz w:val="32"/>
          <w:szCs w:val="22"/>
          <w:highlight w:val="none"/>
        </w:rPr>
        <w:t>补贴范围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两名大学生</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宋体" w:eastAsia="仿宋_GB2312"/>
          <w:sz w:val="32"/>
          <w:szCs w:val="22"/>
          <w:highlight w:val="none"/>
        </w:rPr>
        <w:t>补贴方式</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按月转账</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发放程序：</w:t>
      </w:r>
      <w:r>
        <w:rPr>
          <w:rFonts w:hint="eastAsia" w:ascii="仿宋_GB2312" w:hAnsi="宋体" w:eastAsia="仿宋_GB2312" w:cs="宋体"/>
          <w:kern w:val="0"/>
          <w:sz w:val="32"/>
          <w:szCs w:val="32"/>
          <w:highlight w:val="none"/>
          <w:lang w:val="en-US" w:eastAsia="zh-CN"/>
        </w:rPr>
        <w:t>按月发放</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ascii="仿宋_GB2312" w:hAnsi="宋体" w:eastAsia="仿宋_GB2312"/>
          <w:sz w:val="32"/>
          <w:szCs w:val="22"/>
          <w:highlight w:val="none"/>
        </w:rPr>
        <w:t>受益人群和社会效益</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绝对保证</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克孜勒苏柯尔克孜自治州水利局部门（单位）2021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克孜勒苏柯尔克孜自治州水利局2021</w:t>
      </w:r>
      <w:r>
        <w:rPr>
          <w:rFonts w:hint="eastAsia" w:ascii="仿宋_GB2312" w:hAnsi="宋体" w:eastAsia="仿宋_GB2312" w:cs="宋体"/>
          <w:kern w:val="0"/>
          <w:sz w:val="32"/>
          <w:szCs w:val="32"/>
        </w:rPr>
        <w:t xml:space="preserve">年一般公共预算“三公”经费数为 </w:t>
      </w:r>
      <w:r>
        <w:rPr>
          <w:rFonts w:hint="eastAsia" w:ascii="仿宋_GB2312" w:hAnsi="宋体" w:eastAsia="仿宋_GB2312" w:cs="宋体"/>
          <w:kern w:val="0"/>
          <w:sz w:val="32"/>
          <w:szCs w:val="32"/>
          <w:lang w:val="en-US" w:eastAsia="zh-CN"/>
        </w:rPr>
        <w:t>11.5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万元，公务用车运行费 </w:t>
      </w:r>
      <w:r>
        <w:rPr>
          <w:rFonts w:hint="eastAsia" w:ascii="仿宋_GB2312" w:hAnsi="宋体" w:eastAsia="仿宋_GB2312" w:cs="宋体"/>
          <w:kern w:val="0"/>
          <w:sz w:val="32"/>
          <w:szCs w:val="32"/>
          <w:lang w:val="en-US" w:eastAsia="zh-CN"/>
        </w:rPr>
        <w:t>10.5</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年一般公共预算“三公”经费比上年减少</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 xml:space="preserve"> 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无该项业务未安排预算</w:t>
      </w:r>
      <w:r>
        <w:rPr>
          <w:rFonts w:hint="eastAsia" w:ascii="仿宋_GB2312" w:hAnsi="宋体" w:eastAsia="仿宋_GB2312" w:cs="宋体"/>
          <w:kern w:val="0"/>
          <w:sz w:val="32"/>
          <w:szCs w:val="32"/>
        </w:rPr>
        <w:t>；公务用车购置费为0，主要原因是</w:t>
      </w:r>
      <w:r>
        <w:rPr>
          <w:rFonts w:hint="eastAsia" w:ascii="仿宋_GB2312" w:hAnsi="宋体" w:eastAsia="仿宋_GB2312" w:cs="宋体"/>
          <w:kern w:val="0"/>
          <w:sz w:val="32"/>
          <w:szCs w:val="32"/>
          <w:lang w:val="en-US" w:eastAsia="zh-CN"/>
        </w:rPr>
        <w:t>无该项业务</w:t>
      </w:r>
      <w:r>
        <w:rPr>
          <w:rFonts w:hint="eastAsia" w:ascii="仿宋_GB2312" w:hAnsi="宋体" w:eastAsia="仿宋_GB2312" w:cs="宋体"/>
          <w:kern w:val="0"/>
          <w:sz w:val="32"/>
          <w:szCs w:val="32"/>
        </w:rPr>
        <w:t>未安排预算；公务用车运行费，</w:t>
      </w:r>
      <w:r>
        <w:rPr>
          <w:rFonts w:hint="eastAsia" w:ascii="仿宋_GB2312" w:hAnsi="宋体" w:eastAsia="仿宋_GB2312" w:cs="宋体"/>
          <w:kern w:val="0"/>
          <w:sz w:val="32"/>
          <w:szCs w:val="32"/>
          <w:lang w:val="en-US" w:eastAsia="zh-CN"/>
        </w:rPr>
        <w:t>与上年预算一致</w:t>
      </w:r>
      <w:r>
        <w:rPr>
          <w:rFonts w:hint="eastAsia" w:ascii="仿宋_GB2312" w:hAnsi="宋体" w:eastAsia="仿宋_GB2312" w:cs="宋体"/>
          <w:kern w:val="0"/>
          <w:sz w:val="32"/>
          <w:szCs w:val="32"/>
        </w:rPr>
        <w:t xml:space="preserve"> ；公务接待费减少</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减少预算安排</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p>
    <w:p>
      <w:pPr>
        <w:numPr>
          <w:ilvl w:val="0"/>
          <w:numId w:val="2"/>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克孜勒苏柯尔克孜自治州水利局部门（单位）2021</w:t>
      </w:r>
      <w:r>
        <w:rPr>
          <w:rFonts w:hint="eastAsia" w:ascii="黑体" w:hAnsi="宋体" w:eastAsia="黑体" w:cs="宋体"/>
          <w:kern w:val="0"/>
          <w:sz w:val="32"/>
          <w:szCs w:val="32"/>
        </w:rPr>
        <w:t>年政府性基金预算拨款情况说明</w:t>
      </w:r>
    </w:p>
    <w:p>
      <w:pPr>
        <w:numPr>
          <w:ilvl w:val="0"/>
          <w:numId w:val="0"/>
        </w:numPr>
        <w:spacing w:line="560" w:lineRule="exact"/>
        <w:rPr>
          <w:rFonts w:hint="eastAsia" w:ascii="黑体" w:hAnsi="宋体" w:eastAsia="黑体" w:cs="宋体"/>
          <w:kern w:val="0"/>
          <w:sz w:val="32"/>
          <w:szCs w:val="32"/>
        </w:rPr>
      </w:pP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克孜勒苏柯尔克孜自治州水利局部门（单位）2021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克孜勒苏柯尔克孜自治州水利局</w:t>
      </w:r>
      <w:r>
        <w:rPr>
          <w:rFonts w:hint="eastAsia" w:ascii="仿宋_GB2312" w:hAnsi="宋体" w:eastAsia="仿宋_GB2312" w:cs="宋体"/>
          <w:kern w:val="0"/>
          <w:sz w:val="32"/>
          <w:szCs w:val="32"/>
        </w:rPr>
        <w:t xml:space="preserve">本级及下属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w:t>
      </w:r>
      <w:r>
        <w:rPr>
          <w:rFonts w:hint="eastAsia" w:ascii="仿宋_GB2312" w:hAnsi="宋体" w:eastAsia="仿宋_GB2312" w:cs="宋体"/>
          <w:kern w:val="0"/>
          <w:sz w:val="32"/>
          <w:szCs w:val="32"/>
          <w:lang w:eastAsia="zh-CN"/>
        </w:rPr>
        <w:t>部门（单位）</w:t>
      </w:r>
      <w:r>
        <w:rPr>
          <w:rFonts w:hint="eastAsia" w:ascii="仿宋_GB2312" w:hAnsi="宋体" w:eastAsia="仿宋_GB2312" w:cs="宋体"/>
          <w:kern w:val="0"/>
          <w:sz w:val="32"/>
          <w:szCs w:val="32"/>
        </w:rPr>
        <w:t>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w:t>
      </w:r>
      <w:r>
        <w:rPr>
          <w:rFonts w:hint="eastAsia" w:ascii="仿宋_GB2312" w:hAnsi="宋体" w:eastAsia="仿宋_GB2312" w:cs="宋体"/>
          <w:kern w:val="0"/>
          <w:sz w:val="32"/>
          <w:szCs w:val="32"/>
          <w:lang w:eastAsia="zh-CN"/>
        </w:rPr>
        <w:t>部门（单位）</w:t>
      </w:r>
      <w:r>
        <w:rPr>
          <w:rFonts w:hint="eastAsia" w:ascii="仿宋_GB2312" w:hAnsi="宋体" w:eastAsia="仿宋_GB2312" w:cs="宋体"/>
          <w:kern w:val="0"/>
          <w:sz w:val="32"/>
          <w:szCs w:val="32"/>
        </w:rPr>
        <w:t>的机关运行经费财政拨款预算</w:t>
      </w:r>
      <w:r>
        <w:rPr>
          <w:rFonts w:hint="eastAsia" w:ascii="仿宋_GB2312" w:hAnsi="宋体" w:eastAsia="仿宋_GB2312" w:cs="宋体"/>
          <w:kern w:val="0"/>
          <w:sz w:val="32"/>
          <w:szCs w:val="32"/>
          <w:lang w:val="en-US" w:eastAsia="zh-CN"/>
        </w:rPr>
        <w:t>34.31</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1.57</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4.38</w:t>
      </w:r>
      <w:r>
        <w:rPr>
          <w:rFonts w:hint="eastAsia" w:ascii="仿宋_GB2312" w:hAnsi="宋体" w:eastAsia="仿宋_GB2312" w:cs="宋体"/>
          <w:kern w:val="0"/>
          <w:sz w:val="32"/>
          <w:szCs w:val="32"/>
        </w:rPr>
        <w:t xml:space="preserve"> %。主要原因</w:t>
      </w:r>
      <w:r>
        <w:rPr>
          <w:rFonts w:hint="eastAsia" w:ascii="仿宋_GB2312" w:hAnsi="宋体" w:eastAsia="仿宋_GB2312" w:cs="宋体"/>
          <w:kern w:val="0"/>
          <w:sz w:val="32"/>
          <w:szCs w:val="32"/>
          <w:lang w:val="en-US" w:eastAsia="zh-CN"/>
        </w:rPr>
        <w:t>是上年度调出2人副县级干部，相应的工会费、福利费、取暖人等人员及商品服务支出减少</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克孜勒苏柯尔克孜自治州水利局2021</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93.06</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45</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48.06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年度本部门（单位）面向中小企业预留政府采购项目预算金额</w:t>
      </w:r>
      <w:r>
        <w:rPr>
          <w:rFonts w:hint="eastAsia" w:ascii="仿宋_GB2312" w:hAnsi="仿宋_GB2312" w:eastAsia="仿宋_GB2312"/>
          <w:sz w:val="32"/>
          <w:lang w:val="en-US" w:eastAsia="zh-CN"/>
        </w:rPr>
        <w:t>33.5</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20.5</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val="en-US" w:eastAsia="zh-CN"/>
        </w:rPr>
        <w:t>克孜勒苏柯尔克孜自治州水利局</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1.房屋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平方米，价值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2.车辆3辆，价值79.33万元；其中：一般公务用车0辆，价值0万元；执法执勤用车1辆，价值21.28万元；其他车辆2辆，价值58.06万元。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39.56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93.02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台（套），单位价值100万元以上大型设备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年部门（单位）预算未安排购置车辆经费（或安排购置车辆经费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万元），安排购置50万元以上大型设备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61.46</w:t>
      </w:r>
      <w:r>
        <w:rPr>
          <w:rFonts w:hint="eastAsia" w:ascii="仿宋_GB2312" w:hAnsi="宋体" w:eastAsia="仿宋_GB2312" w:cs="宋体"/>
          <w:kern w:val="0"/>
          <w:sz w:val="32"/>
          <w:szCs w:val="32"/>
        </w:rPr>
        <w:t>万元。具体情况见下表：</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7"/>
        <w:tblW w:w="94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60"/>
        <w:gridCol w:w="20"/>
        <w:gridCol w:w="410"/>
        <w:gridCol w:w="860"/>
        <w:gridCol w:w="460"/>
        <w:gridCol w:w="1405"/>
        <w:gridCol w:w="755"/>
        <w:gridCol w:w="2256"/>
        <w:gridCol w:w="144"/>
        <w:gridCol w:w="2489"/>
        <w:gridCol w:w="1"/>
        <w:gridCol w:w="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2"/>
          <w:wAfter w:w="45" w:type="dxa"/>
          <w:trHeight w:val="674" w:hRule="atLeast"/>
        </w:trPr>
        <w:tc>
          <w:tcPr>
            <w:tcW w:w="9359" w:type="dxa"/>
            <w:gridSpan w:val="10"/>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部门预算项目支出绩效目标表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359" w:type="dxa"/>
            <w:gridSpan w:val="10"/>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4470" w:type="dxa"/>
            <w:gridSpan w:val="7"/>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4889"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办公楼消防运行维护费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4470" w:type="dxa"/>
            <w:gridSpan w:val="7"/>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4889"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克孜勒苏柯尔克孜自治州水利局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4470"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4889"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年度资金总额：2.59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4470"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4889"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其中：财政拨款：2.59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4470"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4889"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8369"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8369"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我单位属于综合大楼，由一家物业公司进行管理，我单位按照相关合同每年给物业付消防运行维护费，物业公司保证大楼消防安全。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2160" w:type="dxa"/>
            <w:gridSpan w:val="2"/>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物业服务时间（年）</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160"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维护水利办公楼层数（层）</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160" w:type="dxa"/>
            <w:gridSpan w:val="2"/>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设备完好率（%）</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160"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消防安全达标率（%）</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160" w:type="dxa"/>
            <w:gridSpan w:val="2"/>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项目完成时间</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160" w:type="dxa"/>
            <w:gridSpan w:val="2"/>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消防运行维护费（万元）</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2160" w:type="dxa"/>
            <w:gridSpan w:val="2"/>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提升公共服务能力</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保证办公楼消防安全</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绝对保证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45" w:type="dxa"/>
          <w:trHeight w:val="5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单位满意度（%）</w:t>
            </w:r>
          </w:p>
        </w:tc>
        <w:tc>
          <w:tcPr>
            <w:tcW w:w="2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4" w:hRule="atLeast"/>
        </w:trPr>
        <w:tc>
          <w:tcPr>
            <w:tcW w:w="9404" w:type="dxa"/>
            <w:gridSpan w:val="12"/>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部门预算项目支出绩效目标表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trPr>
        <w:tc>
          <w:tcPr>
            <w:tcW w:w="9404" w:type="dxa"/>
            <w:gridSpan w:val="12"/>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3715" w:type="dxa"/>
            <w:gridSpan w:val="6"/>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5689"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群众工作经费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3715" w:type="dxa"/>
            <w:gridSpan w:val="6"/>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5689"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克孜勒苏柯尔克孜自治州水利局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1" w:hRule="atLeast"/>
        </w:trPr>
        <w:tc>
          <w:tcPr>
            <w:tcW w:w="371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5689"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年度资金总额：10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8" w:hRule="atLeast"/>
        </w:trPr>
        <w:tc>
          <w:tcPr>
            <w:tcW w:w="371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689"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其中：财政拨款：10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91" w:hRule="atLeast"/>
        </w:trPr>
        <w:tc>
          <w:tcPr>
            <w:tcW w:w="371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689"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1" w:hRule="atLeast"/>
        </w:trPr>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8844" w:type="dxa"/>
            <w:gridSpan w:val="11"/>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9"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8844" w:type="dxa"/>
            <w:gridSpan w:val="11"/>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利用群众工作经费，开展各项活动，最终实现好现代文化引领，逐步提高文化队伍建设，资助困难群众形成良好的社会氛围。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5" w:hRule="atLeast"/>
        </w:trPr>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9"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18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开展文体活动次数（次）</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8"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办好事件数（件）</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慰问次数（次）</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56"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组织大型宣传活动次数（次）</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9"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好事受益人群覆盖率（%）</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6"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开展大型宣传活动覆盖率（%）</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9"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大型宣传活动完成及时率（%）</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项目完成时间</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3"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开展工作所需经费（万元）</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9"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受益群众生活改善情况</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4"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7"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农民文化知识水平改善情况</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2" w:hRule="atLeast"/>
        </w:trPr>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受益群众满意度（%）</w:t>
            </w:r>
          </w:p>
        </w:tc>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497" w:hRule="atLeast"/>
        </w:trPr>
        <w:tc>
          <w:tcPr>
            <w:tcW w:w="9360" w:type="dxa"/>
            <w:gridSpan w:val="11"/>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部门预算项目支出绩效目标表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285" w:hRule="atLeast"/>
        </w:trPr>
        <w:tc>
          <w:tcPr>
            <w:tcW w:w="9360" w:type="dxa"/>
            <w:gridSpan w:val="11"/>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435" w:hRule="atLeast"/>
        </w:trPr>
        <w:tc>
          <w:tcPr>
            <w:tcW w:w="3715" w:type="dxa"/>
            <w:gridSpan w:val="6"/>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5645" w:type="dxa"/>
            <w:gridSpan w:val="5"/>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河长制工作经费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3715" w:type="dxa"/>
            <w:gridSpan w:val="6"/>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预算单位</w:t>
            </w:r>
          </w:p>
        </w:tc>
        <w:tc>
          <w:tcPr>
            <w:tcW w:w="5645" w:type="dxa"/>
            <w:gridSpan w:val="5"/>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克孜勒苏柯尔克孜自治州水利局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371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5645" w:type="dxa"/>
            <w:gridSpan w:val="5"/>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年度资金总额：40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371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645" w:type="dxa"/>
            <w:gridSpan w:val="5"/>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其中：财政拨款：40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371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645" w:type="dxa"/>
            <w:gridSpan w:val="5"/>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Style w:val="23"/>
                <w:lang w:val="en-US" w:eastAsia="zh-CN" w:bidi="ar"/>
              </w:rPr>
              <w:t xml:space="preserve">             其他资金：0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389" w:hRule="atLeast"/>
        </w:trPr>
        <w:tc>
          <w:tcPr>
            <w:tcW w:w="5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87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7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87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利用河长制工作经费，主要开展我局与各县市河长相关工作，促进我州水资源保护，水域岸线管理，水污染防治和水环境治理，建立健全河湖保护治理体制机制，维护河湖生态安全。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668" w:hRule="atLeast"/>
        </w:trPr>
        <w:tc>
          <w:tcPr>
            <w:tcW w:w="5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项目完成</w:t>
            </w:r>
          </w:p>
        </w:tc>
        <w:tc>
          <w:tcPr>
            <w:tcW w:w="18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更新公示牌数量（个）</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州级河长巡河次数（次/每条河）</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组织培训次数（次）</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年工作开展情况通讯（篇）</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州级公示牌更新率（%）</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培训计划按期完成率（%）</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5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项目完成时间</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3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印刷费（万元）</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3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培训费（万元）</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28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公务用车运行维护费（万元）</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28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办公费（万元）</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28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差费（万元）</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28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委托业务费（万元）</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28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其他办公相关费用（万元）</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3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项目效益</w:t>
            </w:r>
          </w:p>
        </w:tc>
        <w:tc>
          <w:tcPr>
            <w:tcW w:w="1865" w:type="dxa"/>
            <w:gridSpan w:val="2"/>
            <w:tcBorders>
              <w:top w:val="nil"/>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28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水资源合理开发利用率（%）</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28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提升公众环保意识</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逐步提升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3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3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维护河流生态环境</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4" w:type="dxa"/>
          <w:trHeight w:val="300" w:hRule="atLeast"/>
        </w:trPr>
        <w:tc>
          <w:tcPr>
            <w:tcW w:w="5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满意度指标</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满意度指标</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受益人员满意度（%）</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7"/>
        <w:tblW w:w="93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90"/>
        <w:gridCol w:w="1320"/>
        <w:gridCol w:w="1580"/>
        <w:gridCol w:w="2660"/>
        <w:gridCol w:w="2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75" w:hRule="atLeast"/>
        </w:trPr>
        <w:tc>
          <w:tcPr>
            <w:tcW w:w="9338" w:type="dxa"/>
            <w:gridSpan w:val="5"/>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部门预算项目支出绩效目标表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338" w:type="dxa"/>
            <w:gridSpan w:val="5"/>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890" w:type="dxa"/>
            <w:gridSpan w:val="3"/>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544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水土保持技术评审费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890" w:type="dxa"/>
            <w:gridSpan w:val="3"/>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544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克孜勒苏柯尔克孜自治州水利局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8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544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年度资金总额：8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8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44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其中：财政拨款：8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8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44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834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8348"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督促相关市县级水土保持方案技术评审，水土保持履职监管监察等水土保持相关事项。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技术服务时间（年）</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技术评审完好率（%）</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技术评审达标率（%）</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项目完成时间</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水土保持技术评审费（万元）</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提升公共服务能力</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保证技术质量安全</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绝对保证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单位满意度（%）</w:t>
            </w:r>
          </w:p>
        </w:tc>
        <w:tc>
          <w:tcPr>
            <w:tcW w:w="2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r>
    </w:tbl>
    <w:p>
      <w:pPr>
        <w:widowControl/>
        <w:spacing w:line="480" w:lineRule="exact"/>
        <w:rPr>
          <w:rFonts w:ascii="仿宋_GB2312" w:hAnsi="宋体" w:eastAsia="仿宋_GB2312" w:cs="宋体"/>
          <w:kern w:val="0"/>
          <w:sz w:val="32"/>
          <w:szCs w:val="32"/>
        </w:rPr>
      </w:pPr>
    </w:p>
    <w:tbl>
      <w:tblPr>
        <w:tblStyle w:val="7"/>
        <w:tblW w:w="93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90"/>
        <w:gridCol w:w="1200"/>
        <w:gridCol w:w="1580"/>
        <w:gridCol w:w="2434"/>
        <w:gridCol w:w="3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75" w:hRule="atLeast"/>
        </w:trPr>
        <w:tc>
          <w:tcPr>
            <w:tcW w:w="9349" w:type="dxa"/>
            <w:gridSpan w:val="5"/>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部门预算项目支出绩效目标表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349" w:type="dxa"/>
            <w:gridSpan w:val="5"/>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770" w:type="dxa"/>
            <w:gridSpan w:val="3"/>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557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见习岗位补贴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770" w:type="dxa"/>
            <w:gridSpan w:val="3"/>
            <w:tcBorders>
              <w:top w:val="single" w:color="000000" w:sz="4" w:space="0"/>
              <w:left w:val="single" w:color="000000" w:sz="4" w:space="0"/>
              <w:bottom w:val="single" w:color="000000" w:sz="4" w:space="0"/>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557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克孜勒苏柯尔克孜自治州水利局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77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557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年度资金总额：0.86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7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57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其中：财政拨款：0.86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37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57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8359"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8359"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为认真落实自治区和自治州更加积极的就业政策，进一步提高就业专项资金使用效益。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见习工作时间（年）</w:t>
            </w: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见习工作达标率（%）</w:t>
            </w: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项目完成时间</w:t>
            </w: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见习岗位补贴（万元）</w:t>
            </w: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158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提升公共服务能力</w:t>
            </w: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保证见习期工作完成</w:t>
            </w: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绝对保证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5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43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单位满意度（%）</w:t>
            </w:r>
          </w:p>
        </w:tc>
        <w:tc>
          <w:tcPr>
            <w:tcW w:w="31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r>
    </w:tbl>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克孜勒苏柯尔克孜自治州水利局无其他需说明的事项。</w:t>
      </w:r>
    </w:p>
    <w:p>
      <w:pPr>
        <w:widowControl/>
        <w:spacing w:line="520" w:lineRule="exact"/>
        <w:jc w:val="left"/>
        <w:rPr>
          <w:rFonts w:hint="eastAsia" w:ascii="仿宋_GB2312" w:hAnsi="宋体" w:eastAsia="仿宋_GB2312" w:cs="宋体"/>
          <w:kern w:val="0"/>
          <w:sz w:val="32"/>
          <w:szCs w:val="32"/>
          <w:lang w:val="en-US" w:eastAsia="zh-CN"/>
        </w:rPr>
      </w:pPr>
    </w:p>
    <w:p>
      <w:pPr>
        <w:widowControl/>
        <w:spacing w:line="520" w:lineRule="exact"/>
        <w:jc w:val="left"/>
        <w:rPr>
          <w:rFonts w:hint="eastAsia" w:ascii="仿宋_GB2312" w:hAnsi="宋体" w:eastAsia="仿宋_GB2312" w:cs="宋体"/>
          <w:kern w:val="0"/>
          <w:sz w:val="32"/>
          <w:szCs w:val="32"/>
          <w:lang w:val="en-US" w:eastAsia="zh-CN"/>
        </w:rPr>
      </w:pPr>
    </w:p>
    <w:p>
      <w:pPr>
        <w:widowControl/>
        <w:spacing w:line="520" w:lineRule="exact"/>
        <w:jc w:val="left"/>
        <w:rPr>
          <w:rFonts w:hint="eastAsia" w:ascii="仿宋_GB2312" w:hAnsi="宋体" w:eastAsia="仿宋_GB2312" w:cs="宋体"/>
          <w:kern w:val="0"/>
          <w:sz w:val="32"/>
          <w:szCs w:val="32"/>
          <w:lang w:val="en-US" w:eastAsia="zh-CN"/>
        </w:rPr>
      </w:pPr>
    </w:p>
    <w:p>
      <w:pPr>
        <w:widowControl/>
        <w:numPr>
          <w:ilvl w:val="0"/>
          <w:numId w:val="3"/>
        </w:numPr>
        <w:spacing w:before="217" w:beforeLines="50" w:line="520" w:lineRule="exact"/>
        <w:jc w:val="center"/>
        <w:outlineLvl w:val="1"/>
        <w:rPr>
          <w:rFonts w:hint="eastAsia" w:ascii="黑体" w:hAnsi="黑体" w:eastAsia="黑体"/>
          <w:kern w:val="0"/>
          <w:sz w:val="32"/>
          <w:szCs w:val="32"/>
        </w:rPr>
      </w:pPr>
      <w:r>
        <w:rPr>
          <w:rFonts w:hint="eastAsia" w:ascii="黑体" w:hAnsi="黑体" w:eastAsia="黑体"/>
          <w:kern w:val="0"/>
          <w:sz w:val="32"/>
          <w:szCs w:val="32"/>
        </w:rPr>
        <w:t>名词解释</w:t>
      </w:r>
    </w:p>
    <w:p>
      <w:pPr>
        <w:widowControl/>
        <w:numPr>
          <w:ilvl w:val="0"/>
          <w:numId w:val="0"/>
        </w:numPr>
        <w:spacing w:before="217" w:beforeLines="50" w:line="520" w:lineRule="exact"/>
        <w:jc w:val="both"/>
        <w:outlineLvl w:val="1"/>
        <w:rPr>
          <w:rFonts w:hint="eastAsia" w:ascii="黑体" w:hAnsi="黑体" w:eastAsia="黑体"/>
          <w:kern w:val="0"/>
          <w:sz w:val="32"/>
          <w:szCs w:val="32"/>
        </w:rPr>
      </w:pP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lang w:val="en-US" w:eastAsia="zh-CN"/>
        </w:rPr>
        <w:t>包括</w:t>
      </w:r>
      <w:r>
        <w:rPr>
          <w:rFonts w:hint="eastAsia" w:ascii="仿宋_GB2312" w:eastAsia="仿宋_GB2312"/>
          <w:sz w:val="32"/>
          <w:szCs w:val="32"/>
        </w:rPr>
        <w:t>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包括其他收入。</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指自治州本级部门（单位）用一般公共预算财政拨款安排的因公出国（境）费、公务用车购置及运行费和公务接待费。其中，公务用车购置及运行</w:t>
      </w:r>
      <w:r>
        <w:rPr>
          <w:rFonts w:hint="eastAsia" w:ascii="仿宋_GB2312" w:eastAsia="仿宋_GB2312"/>
          <w:sz w:val="32"/>
          <w:szCs w:val="32"/>
          <w:lang w:val="en-US" w:eastAsia="zh-CN"/>
        </w:rPr>
        <w:t>费中无安排购置部分，主要有</w:t>
      </w:r>
      <w:r>
        <w:rPr>
          <w:rFonts w:hint="eastAsia" w:ascii="仿宋_GB2312" w:eastAsia="仿宋_GB2312"/>
          <w:sz w:val="32"/>
          <w:szCs w:val="32"/>
        </w:rPr>
        <w:t>公务用车</w:t>
      </w:r>
      <w:r>
        <w:rPr>
          <w:rFonts w:hint="eastAsia" w:ascii="仿宋_GB2312" w:eastAsia="仿宋_GB2312"/>
          <w:sz w:val="32"/>
          <w:szCs w:val="32"/>
          <w:lang w:val="en-US" w:eastAsia="zh-CN"/>
        </w:rPr>
        <w:t>运行维护</w:t>
      </w:r>
      <w:r>
        <w:rPr>
          <w:rFonts w:hint="eastAsia" w:ascii="仿宋_GB2312" w:eastAsia="仿宋_GB2312"/>
          <w:sz w:val="32"/>
          <w:szCs w:val="32"/>
        </w:rPr>
        <w:t>费指单位公务用车燃料费、维修费、过路过桥费、保险费用等支出；公务接待费指单位按规定开支的各类公务接待（含外宾接待）支出。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克孜勒苏柯尔克孜自治州水利局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EBF4CA"/>
    <w:multiLevelType w:val="singleLevel"/>
    <w:tmpl w:val="82EBF4CA"/>
    <w:lvl w:ilvl="0" w:tentative="0">
      <w:start w:val="2"/>
      <w:numFmt w:val="chineseCounting"/>
      <w:suff w:val="nothing"/>
      <w:lvlText w:val="%1、"/>
      <w:lvlJc w:val="left"/>
      <w:rPr>
        <w:rFonts w:hint="eastAsia"/>
      </w:rPr>
    </w:lvl>
  </w:abstractNum>
  <w:abstractNum w:abstractNumId="1">
    <w:nsid w:val="CDA403BD"/>
    <w:multiLevelType w:val="singleLevel"/>
    <w:tmpl w:val="CDA403BD"/>
    <w:lvl w:ilvl="0" w:tentative="0">
      <w:start w:val="9"/>
      <w:numFmt w:val="chineseCounting"/>
      <w:suff w:val="nothing"/>
      <w:lvlText w:val="%1、"/>
      <w:lvlJc w:val="left"/>
      <w:rPr>
        <w:rFonts w:hint="eastAsia"/>
      </w:rPr>
    </w:lvl>
  </w:abstractNum>
  <w:abstractNum w:abstractNumId="2">
    <w:nsid w:val="D8ACE15E"/>
    <w:multiLevelType w:val="singleLevel"/>
    <w:tmpl w:val="D8ACE15E"/>
    <w:lvl w:ilvl="0" w:tentative="0">
      <w:start w:val="4"/>
      <w:numFmt w:val="chineseCounting"/>
      <w:suff w:val="space"/>
      <w:lvlText w:val="第%1部分"/>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3F2C30"/>
    <w:rsid w:val="00432267"/>
    <w:rsid w:val="004422D6"/>
    <w:rsid w:val="00493EEC"/>
    <w:rsid w:val="004C06DA"/>
    <w:rsid w:val="004F62F9"/>
    <w:rsid w:val="00520D5A"/>
    <w:rsid w:val="006A3660"/>
    <w:rsid w:val="006B6A8C"/>
    <w:rsid w:val="007011F1"/>
    <w:rsid w:val="007219F8"/>
    <w:rsid w:val="007E2CEA"/>
    <w:rsid w:val="00810657"/>
    <w:rsid w:val="00830CB4"/>
    <w:rsid w:val="009035BA"/>
    <w:rsid w:val="00950B98"/>
    <w:rsid w:val="0096028F"/>
    <w:rsid w:val="0099744C"/>
    <w:rsid w:val="009C6198"/>
    <w:rsid w:val="00A9706D"/>
    <w:rsid w:val="00B82C38"/>
    <w:rsid w:val="00BA582F"/>
    <w:rsid w:val="00C117E5"/>
    <w:rsid w:val="00CA4E1E"/>
    <w:rsid w:val="00CE5389"/>
    <w:rsid w:val="00D14635"/>
    <w:rsid w:val="00DC05BF"/>
    <w:rsid w:val="00E569BC"/>
    <w:rsid w:val="00E84BFF"/>
    <w:rsid w:val="00EF4090"/>
    <w:rsid w:val="00F02FC7"/>
    <w:rsid w:val="00F23808"/>
    <w:rsid w:val="00F54FE8"/>
    <w:rsid w:val="00F830A1"/>
    <w:rsid w:val="00F83503"/>
    <w:rsid w:val="00F90952"/>
    <w:rsid w:val="01BE2FB2"/>
    <w:rsid w:val="01EB030D"/>
    <w:rsid w:val="024C6EAA"/>
    <w:rsid w:val="02C20391"/>
    <w:rsid w:val="030477FE"/>
    <w:rsid w:val="03491F78"/>
    <w:rsid w:val="03F526FF"/>
    <w:rsid w:val="0418490B"/>
    <w:rsid w:val="043D7FF1"/>
    <w:rsid w:val="0453060D"/>
    <w:rsid w:val="045B70FF"/>
    <w:rsid w:val="047F675D"/>
    <w:rsid w:val="04956242"/>
    <w:rsid w:val="04CF0D5D"/>
    <w:rsid w:val="04EF688B"/>
    <w:rsid w:val="05131534"/>
    <w:rsid w:val="05243D99"/>
    <w:rsid w:val="056A257B"/>
    <w:rsid w:val="057777E3"/>
    <w:rsid w:val="05851B76"/>
    <w:rsid w:val="05CB160C"/>
    <w:rsid w:val="05DF0084"/>
    <w:rsid w:val="061126B8"/>
    <w:rsid w:val="062313F0"/>
    <w:rsid w:val="06405698"/>
    <w:rsid w:val="06494DF5"/>
    <w:rsid w:val="069131CE"/>
    <w:rsid w:val="069A4ADB"/>
    <w:rsid w:val="077567D5"/>
    <w:rsid w:val="077743F0"/>
    <w:rsid w:val="078B54AC"/>
    <w:rsid w:val="07F15623"/>
    <w:rsid w:val="07F80B5A"/>
    <w:rsid w:val="07F963FA"/>
    <w:rsid w:val="081F4C33"/>
    <w:rsid w:val="0840789E"/>
    <w:rsid w:val="08A94B51"/>
    <w:rsid w:val="08F448AE"/>
    <w:rsid w:val="090422FE"/>
    <w:rsid w:val="092962F9"/>
    <w:rsid w:val="096A5A88"/>
    <w:rsid w:val="09C1492B"/>
    <w:rsid w:val="0AAF139A"/>
    <w:rsid w:val="0AC232AB"/>
    <w:rsid w:val="0AE95F46"/>
    <w:rsid w:val="0B1E12C0"/>
    <w:rsid w:val="0B381536"/>
    <w:rsid w:val="0BB70E39"/>
    <w:rsid w:val="0BFD0832"/>
    <w:rsid w:val="0C444C32"/>
    <w:rsid w:val="0C457115"/>
    <w:rsid w:val="0C497BA4"/>
    <w:rsid w:val="0C52287E"/>
    <w:rsid w:val="0C6428A5"/>
    <w:rsid w:val="0C6642DB"/>
    <w:rsid w:val="0C887C1B"/>
    <w:rsid w:val="0C9E0534"/>
    <w:rsid w:val="0CB16633"/>
    <w:rsid w:val="0CB85658"/>
    <w:rsid w:val="0CC5101B"/>
    <w:rsid w:val="0D562964"/>
    <w:rsid w:val="0DCD2E18"/>
    <w:rsid w:val="0E08253E"/>
    <w:rsid w:val="0E194B54"/>
    <w:rsid w:val="0E974783"/>
    <w:rsid w:val="0EED598B"/>
    <w:rsid w:val="0F4E2CBB"/>
    <w:rsid w:val="0F5F2B54"/>
    <w:rsid w:val="0FB15664"/>
    <w:rsid w:val="0FD062F7"/>
    <w:rsid w:val="0FE62974"/>
    <w:rsid w:val="102905A6"/>
    <w:rsid w:val="102C17E9"/>
    <w:rsid w:val="103A65C9"/>
    <w:rsid w:val="109547EA"/>
    <w:rsid w:val="10A73CDC"/>
    <w:rsid w:val="10AC0939"/>
    <w:rsid w:val="10C33BCC"/>
    <w:rsid w:val="110F2881"/>
    <w:rsid w:val="11697E3E"/>
    <w:rsid w:val="11DF45E5"/>
    <w:rsid w:val="11EA1797"/>
    <w:rsid w:val="12771E98"/>
    <w:rsid w:val="12C135B4"/>
    <w:rsid w:val="13222569"/>
    <w:rsid w:val="135F0140"/>
    <w:rsid w:val="13FD0F10"/>
    <w:rsid w:val="140F38C4"/>
    <w:rsid w:val="1420193C"/>
    <w:rsid w:val="14257C22"/>
    <w:rsid w:val="14F2036C"/>
    <w:rsid w:val="1511717C"/>
    <w:rsid w:val="151F3748"/>
    <w:rsid w:val="1544405F"/>
    <w:rsid w:val="154758A2"/>
    <w:rsid w:val="15640A24"/>
    <w:rsid w:val="171B4843"/>
    <w:rsid w:val="17301987"/>
    <w:rsid w:val="17A6590D"/>
    <w:rsid w:val="183D7BF8"/>
    <w:rsid w:val="18531CC7"/>
    <w:rsid w:val="185B424A"/>
    <w:rsid w:val="18704DA4"/>
    <w:rsid w:val="18B770DD"/>
    <w:rsid w:val="18BB347E"/>
    <w:rsid w:val="19CA0A61"/>
    <w:rsid w:val="1A263DE4"/>
    <w:rsid w:val="1A4975C0"/>
    <w:rsid w:val="1A870BBD"/>
    <w:rsid w:val="1A8B1B53"/>
    <w:rsid w:val="1AC470B8"/>
    <w:rsid w:val="1ACF52FC"/>
    <w:rsid w:val="1B18561B"/>
    <w:rsid w:val="1B212D50"/>
    <w:rsid w:val="1B524C1A"/>
    <w:rsid w:val="1B7963CA"/>
    <w:rsid w:val="1BA12903"/>
    <w:rsid w:val="1C3B7D16"/>
    <w:rsid w:val="1C534B4B"/>
    <w:rsid w:val="1C8D02EC"/>
    <w:rsid w:val="1C9F510C"/>
    <w:rsid w:val="1CA615D9"/>
    <w:rsid w:val="1CB54172"/>
    <w:rsid w:val="1CFD6BEC"/>
    <w:rsid w:val="1D1153C1"/>
    <w:rsid w:val="1D43011C"/>
    <w:rsid w:val="1D5666C5"/>
    <w:rsid w:val="1D583658"/>
    <w:rsid w:val="1D6D04E7"/>
    <w:rsid w:val="1DAB2C9C"/>
    <w:rsid w:val="1DC05C6E"/>
    <w:rsid w:val="1DD02BCD"/>
    <w:rsid w:val="1E151ED0"/>
    <w:rsid w:val="1E730A1F"/>
    <w:rsid w:val="1EF835D8"/>
    <w:rsid w:val="1F085652"/>
    <w:rsid w:val="1F2F42F3"/>
    <w:rsid w:val="1F3839E9"/>
    <w:rsid w:val="1F724D37"/>
    <w:rsid w:val="1F9610F5"/>
    <w:rsid w:val="1F9D2E08"/>
    <w:rsid w:val="201A158B"/>
    <w:rsid w:val="20430A0D"/>
    <w:rsid w:val="205445BD"/>
    <w:rsid w:val="205D71A8"/>
    <w:rsid w:val="215E7B00"/>
    <w:rsid w:val="21F7291E"/>
    <w:rsid w:val="2299279F"/>
    <w:rsid w:val="22AC41B6"/>
    <w:rsid w:val="22D1186F"/>
    <w:rsid w:val="22D255D0"/>
    <w:rsid w:val="23132F08"/>
    <w:rsid w:val="23227931"/>
    <w:rsid w:val="23F839C0"/>
    <w:rsid w:val="24083925"/>
    <w:rsid w:val="24243903"/>
    <w:rsid w:val="24644FA1"/>
    <w:rsid w:val="253A43BE"/>
    <w:rsid w:val="253C049A"/>
    <w:rsid w:val="255E496D"/>
    <w:rsid w:val="25682FDA"/>
    <w:rsid w:val="25695663"/>
    <w:rsid w:val="258C11E7"/>
    <w:rsid w:val="25BB1EDC"/>
    <w:rsid w:val="25F5308A"/>
    <w:rsid w:val="262474F8"/>
    <w:rsid w:val="262E1044"/>
    <w:rsid w:val="26370956"/>
    <w:rsid w:val="265555FC"/>
    <w:rsid w:val="26623843"/>
    <w:rsid w:val="26A043AF"/>
    <w:rsid w:val="26A14A56"/>
    <w:rsid w:val="26E43E4E"/>
    <w:rsid w:val="26E7076D"/>
    <w:rsid w:val="272C01B0"/>
    <w:rsid w:val="278E23D5"/>
    <w:rsid w:val="279D72E1"/>
    <w:rsid w:val="27CE5C25"/>
    <w:rsid w:val="27F82D4B"/>
    <w:rsid w:val="27FA0C55"/>
    <w:rsid w:val="2824429A"/>
    <w:rsid w:val="285D30A8"/>
    <w:rsid w:val="285F3B27"/>
    <w:rsid w:val="28796365"/>
    <w:rsid w:val="2887129B"/>
    <w:rsid w:val="289E4BE5"/>
    <w:rsid w:val="28A11403"/>
    <w:rsid w:val="28FE750E"/>
    <w:rsid w:val="290773EC"/>
    <w:rsid w:val="29173DD2"/>
    <w:rsid w:val="29516296"/>
    <w:rsid w:val="29582788"/>
    <w:rsid w:val="29611CE0"/>
    <w:rsid w:val="29661AB7"/>
    <w:rsid w:val="29C52C84"/>
    <w:rsid w:val="2A4869B1"/>
    <w:rsid w:val="2A8C774A"/>
    <w:rsid w:val="2A9218FF"/>
    <w:rsid w:val="2AA91C61"/>
    <w:rsid w:val="2AC702E2"/>
    <w:rsid w:val="2AFE470B"/>
    <w:rsid w:val="2B076015"/>
    <w:rsid w:val="2BA503D6"/>
    <w:rsid w:val="2BBF0057"/>
    <w:rsid w:val="2C171A16"/>
    <w:rsid w:val="2C430C82"/>
    <w:rsid w:val="2C5F7DC3"/>
    <w:rsid w:val="2CEE155B"/>
    <w:rsid w:val="2D1449DA"/>
    <w:rsid w:val="2D16333B"/>
    <w:rsid w:val="2D4C4CCE"/>
    <w:rsid w:val="2D8D10FE"/>
    <w:rsid w:val="2D8D65FB"/>
    <w:rsid w:val="2DA852C0"/>
    <w:rsid w:val="2DC21F41"/>
    <w:rsid w:val="2DC52DCC"/>
    <w:rsid w:val="2E22202F"/>
    <w:rsid w:val="2E352A26"/>
    <w:rsid w:val="2E77013B"/>
    <w:rsid w:val="2E993351"/>
    <w:rsid w:val="2EA1724D"/>
    <w:rsid w:val="2EB23E37"/>
    <w:rsid w:val="2ED70E71"/>
    <w:rsid w:val="2FCE027B"/>
    <w:rsid w:val="30260F3E"/>
    <w:rsid w:val="306A1D1A"/>
    <w:rsid w:val="30987C68"/>
    <w:rsid w:val="30A607C6"/>
    <w:rsid w:val="30C00DDF"/>
    <w:rsid w:val="3117474B"/>
    <w:rsid w:val="313C3303"/>
    <w:rsid w:val="31491F4F"/>
    <w:rsid w:val="31693D64"/>
    <w:rsid w:val="31B90CA7"/>
    <w:rsid w:val="31CC7BF6"/>
    <w:rsid w:val="31DD2EE5"/>
    <w:rsid w:val="324E1EC9"/>
    <w:rsid w:val="32924795"/>
    <w:rsid w:val="32AF74E0"/>
    <w:rsid w:val="32CC5787"/>
    <w:rsid w:val="3348234C"/>
    <w:rsid w:val="335A2029"/>
    <w:rsid w:val="336301BC"/>
    <w:rsid w:val="33BE2595"/>
    <w:rsid w:val="33E46AF8"/>
    <w:rsid w:val="33E76744"/>
    <w:rsid w:val="33FE3BAF"/>
    <w:rsid w:val="34BA61FB"/>
    <w:rsid w:val="34CB7CA4"/>
    <w:rsid w:val="34F70F15"/>
    <w:rsid w:val="35265E84"/>
    <w:rsid w:val="35D768CE"/>
    <w:rsid w:val="363E636B"/>
    <w:rsid w:val="365746D8"/>
    <w:rsid w:val="365B5AE3"/>
    <w:rsid w:val="36605816"/>
    <w:rsid w:val="367E1B04"/>
    <w:rsid w:val="36D707B2"/>
    <w:rsid w:val="377F0F6F"/>
    <w:rsid w:val="37813A36"/>
    <w:rsid w:val="37AF0685"/>
    <w:rsid w:val="37BB4AF6"/>
    <w:rsid w:val="37DB0068"/>
    <w:rsid w:val="37EF0A9A"/>
    <w:rsid w:val="38023EDD"/>
    <w:rsid w:val="382B7BC2"/>
    <w:rsid w:val="386F569D"/>
    <w:rsid w:val="388B72D7"/>
    <w:rsid w:val="38A4682A"/>
    <w:rsid w:val="38AA3FAD"/>
    <w:rsid w:val="38D4269E"/>
    <w:rsid w:val="39574BB0"/>
    <w:rsid w:val="39954D1F"/>
    <w:rsid w:val="39B93668"/>
    <w:rsid w:val="39E27FC5"/>
    <w:rsid w:val="3A0D40A5"/>
    <w:rsid w:val="3A173AEA"/>
    <w:rsid w:val="3A3A71E0"/>
    <w:rsid w:val="3A44347F"/>
    <w:rsid w:val="3A884D06"/>
    <w:rsid w:val="3B3031BD"/>
    <w:rsid w:val="3B85358F"/>
    <w:rsid w:val="3B871E7B"/>
    <w:rsid w:val="3C1632D0"/>
    <w:rsid w:val="3D5B16F1"/>
    <w:rsid w:val="3D686646"/>
    <w:rsid w:val="3DBB47C3"/>
    <w:rsid w:val="3DBE6CB3"/>
    <w:rsid w:val="3DE10A06"/>
    <w:rsid w:val="3DE8520B"/>
    <w:rsid w:val="3E9C6E16"/>
    <w:rsid w:val="3EB30125"/>
    <w:rsid w:val="3ECE4AE4"/>
    <w:rsid w:val="3EDF627B"/>
    <w:rsid w:val="3F8F6C72"/>
    <w:rsid w:val="3FDB40A2"/>
    <w:rsid w:val="3FF975E0"/>
    <w:rsid w:val="4008610B"/>
    <w:rsid w:val="406E0F19"/>
    <w:rsid w:val="407679B4"/>
    <w:rsid w:val="40E30CD1"/>
    <w:rsid w:val="40EF6CE3"/>
    <w:rsid w:val="40F44AC4"/>
    <w:rsid w:val="41072855"/>
    <w:rsid w:val="413748D8"/>
    <w:rsid w:val="41606222"/>
    <w:rsid w:val="416B3050"/>
    <w:rsid w:val="425574DD"/>
    <w:rsid w:val="426605E4"/>
    <w:rsid w:val="42CB626B"/>
    <w:rsid w:val="43244A4E"/>
    <w:rsid w:val="43391708"/>
    <w:rsid w:val="439E72C8"/>
    <w:rsid w:val="441469DC"/>
    <w:rsid w:val="45AB6E12"/>
    <w:rsid w:val="462B40A0"/>
    <w:rsid w:val="46675893"/>
    <w:rsid w:val="4687444C"/>
    <w:rsid w:val="46FD7F73"/>
    <w:rsid w:val="470233A4"/>
    <w:rsid w:val="470261EE"/>
    <w:rsid w:val="471F5AF8"/>
    <w:rsid w:val="473C5BFD"/>
    <w:rsid w:val="479E32E0"/>
    <w:rsid w:val="48694E8E"/>
    <w:rsid w:val="48A062B5"/>
    <w:rsid w:val="48B56E2B"/>
    <w:rsid w:val="48DC2D1C"/>
    <w:rsid w:val="49061A40"/>
    <w:rsid w:val="49192CD8"/>
    <w:rsid w:val="493B2B28"/>
    <w:rsid w:val="49B70DF7"/>
    <w:rsid w:val="4A0A12EB"/>
    <w:rsid w:val="4A133022"/>
    <w:rsid w:val="4A1A66E7"/>
    <w:rsid w:val="4A314505"/>
    <w:rsid w:val="4A810F20"/>
    <w:rsid w:val="4A9713E5"/>
    <w:rsid w:val="4AA45610"/>
    <w:rsid w:val="4AE27946"/>
    <w:rsid w:val="4AF8180A"/>
    <w:rsid w:val="4B182C08"/>
    <w:rsid w:val="4B684BC6"/>
    <w:rsid w:val="4B954459"/>
    <w:rsid w:val="4BEB1975"/>
    <w:rsid w:val="4BEB1CF9"/>
    <w:rsid w:val="4C4B4B04"/>
    <w:rsid w:val="4C5C2969"/>
    <w:rsid w:val="4C8C403A"/>
    <w:rsid w:val="4C932E25"/>
    <w:rsid w:val="4CE17317"/>
    <w:rsid w:val="4D422549"/>
    <w:rsid w:val="4DCD31A3"/>
    <w:rsid w:val="4E1A26E1"/>
    <w:rsid w:val="4E37051E"/>
    <w:rsid w:val="4E86407B"/>
    <w:rsid w:val="4E8F6D8F"/>
    <w:rsid w:val="4EC638F0"/>
    <w:rsid w:val="4F09761D"/>
    <w:rsid w:val="4F7C6ABB"/>
    <w:rsid w:val="4FE04A3F"/>
    <w:rsid w:val="4FE5643C"/>
    <w:rsid w:val="4FE81CEB"/>
    <w:rsid w:val="50172210"/>
    <w:rsid w:val="503546AD"/>
    <w:rsid w:val="503F1D34"/>
    <w:rsid w:val="5056515A"/>
    <w:rsid w:val="506C7BDA"/>
    <w:rsid w:val="506D67E7"/>
    <w:rsid w:val="50E975E4"/>
    <w:rsid w:val="513B7B4E"/>
    <w:rsid w:val="516D44D8"/>
    <w:rsid w:val="519F5F2D"/>
    <w:rsid w:val="523603E0"/>
    <w:rsid w:val="52417AF1"/>
    <w:rsid w:val="52711A35"/>
    <w:rsid w:val="52B51B28"/>
    <w:rsid w:val="52E20DCA"/>
    <w:rsid w:val="53014A52"/>
    <w:rsid w:val="53021D5E"/>
    <w:rsid w:val="538D71C3"/>
    <w:rsid w:val="53C906EE"/>
    <w:rsid w:val="54A80DB4"/>
    <w:rsid w:val="54AC745A"/>
    <w:rsid w:val="55486129"/>
    <w:rsid w:val="55863527"/>
    <w:rsid w:val="55A0740F"/>
    <w:rsid w:val="560D6D72"/>
    <w:rsid w:val="561E54C2"/>
    <w:rsid w:val="56260463"/>
    <w:rsid w:val="569D0114"/>
    <w:rsid w:val="576A7F47"/>
    <w:rsid w:val="577629C4"/>
    <w:rsid w:val="57EC0056"/>
    <w:rsid w:val="582B7D10"/>
    <w:rsid w:val="58374A7A"/>
    <w:rsid w:val="584C1985"/>
    <w:rsid w:val="58655F36"/>
    <w:rsid w:val="586678B7"/>
    <w:rsid w:val="586E6D90"/>
    <w:rsid w:val="59005BF7"/>
    <w:rsid w:val="5944254C"/>
    <w:rsid w:val="594E12E6"/>
    <w:rsid w:val="59951357"/>
    <w:rsid w:val="59A830D3"/>
    <w:rsid w:val="59AB49EF"/>
    <w:rsid w:val="59C03E7B"/>
    <w:rsid w:val="5A496578"/>
    <w:rsid w:val="5A7D0222"/>
    <w:rsid w:val="5C0850AB"/>
    <w:rsid w:val="5C862697"/>
    <w:rsid w:val="5CC96C74"/>
    <w:rsid w:val="5CD10C61"/>
    <w:rsid w:val="5CF94B25"/>
    <w:rsid w:val="5D6B5801"/>
    <w:rsid w:val="5D7800F6"/>
    <w:rsid w:val="5DE02607"/>
    <w:rsid w:val="5E047488"/>
    <w:rsid w:val="5E276E1F"/>
    <w:rsid w:val="5F0B6F33"/>
    <w:rsid w:val="5F292655"/>
    <w:rsid w:val="5F4910AD"/>
    <w:rsid w:val="5F4B5DB0"/>
    <w:rsid w:val="6035024F"/>
    <w:rsid w:val="604712F5"/>
    <w:rsid w:val="60533790"/>
    <w:rsid w:val="61052AB7"/>
    <w:rsid w:val="616A2C45"/>
    <w:rsid w:val="6173711E"/>
    <w:rsid w:val="618C2A69"/>
    <w:rsid w:val="61C44C6C"/>
    <w:rsid w:val="61C90EED"/>
    <w:rsid w:val="62182CA3"/>
    <w:rsid w:val="621B01F5"/>
    <w:rsid w:val="62332F85"/>
    <w:rsid w:val="623A0884"/>
    <w:rsid w:val="629010EA"/>
    <w:rsid w:val="62A1791A"/>
    <w:rsid w:val="632D1704"/>
    <w:rsid w:val="633004D6"/>
    <w:rsid w:val="63325364"/>
    <w:rsid w:val="636A274D"/>
    <w:rsid w:val="63796CA7"/>
    <w:rsid w:val="63880CA5"/>
    <w:rsid w:val="63BF57E5"/>
    <w:rsid w:val="63FC1722"/>
    <w:rsid w:val="63FC2A34"/>
    <w:rsid w:val="64150644"/>
    <w:rsid w:val="64B03AB5"/>
    <w:rsid w:val="64FA56C4"/>
    <w:rsid w:val="6538043C"/>
    <w:rsid w:val="658446D5"/>
    <w:rsid w:val="65D5218A"/>
    <w:rsid w:val="65F60E1E"/>
    <w:rsid w:val="66142108"/>
    <w:rsid w:val="661540BB"/>
    <w:rsid w:val="662E3F0F"/>
    <w:rsid w:val="663E2DC0"/>
    <w:rsid w:val="668136F1"/>
    <w:rsid w:val="66BB17DC"/>
    <w:rsid w:val="66E93BB0"/>
    <w:rsid w:val="66EB0987"/>
    <w:rsid w:val="671B1767"/>
    <w:rsid w:val="67847B54"/>
    <w:rsid w:val="678C3F35"/>
    <w:rsid w:val="67B41A61"/>
    <w:rsid w:val="67D058FB"/>
    <w:rsid w:val="6826189A"/>
    <w:rsid w:val="6868383C"/>
    <w:rsid w:val="68A85056"/>
    <w:rsid w:val="68DF39DC"/>
    <w:rsid w:val="6909797E"/>
    <w:rsid w:val="691C4FD5"/>
    <w:rsid w:val="69254035"/>
    <w:rsid w:val="69914F44"/>
    <w:rsid w:val="69CC15B4"/>
    <w:rsid w:val="69D926EB"/>
    <w:rsid w:val="6A0A062D"/>
    <w:rsid w:val="6A296DC4"/>
    <w:rsid w:val="6A405C05"/>
    <w:rsid w:val="6AAC7074"/>
    <w:rsid w:val="6BB0079A"/>
    <w:rsid w:val="6BB03246"/>
    <w:rsid w:val="6BB97452"/>
    <w:rsid w:val="6C3C5F79"/>
    <w:rsid w:val="6CBE1EBF"/>
    <w:rsid w:val="6CC20DF1"/>
    <w:rsid w:val="6D226B49"/>
    <w:rsid w:val="6D387436"/>
    <w:rsid w:val="6D6B0511"/>
    <w:rsid w:val="6DD05A16"/>
    <w:rsid w:val="6E3110AC"/>
    <w:rsid w:val="6E510741"/>
    <w:rsid w:val="6E537E7F"/>
    <w:rsid w:val="6E704B97"/>
    <w:rsid w:val="6EC214CB"/>
    <w:rsid w:val="6EC55D33"/>
    <w:rsid w:val="6EE840A7"/>
    <w:rsid w:val="6F235BD4"/>
    <w:rsid w:val="709B78DA"/>
    <w:rsid w:val="70A647F8"/>
    <w:rsid w:val="70C15CF8"/>
    <w:rsid w:val="70FF50FD"/>
    <w:rsid w:val="71170870"/>
    <w:rsid w:val="711B0CC4"/>
    <w:rsid w:val="7120657C"/>
    <w:rsid w:val="71627F32"/>
    <w:rsid w:val="7186777F"/>
    <w:rsid w:val="719A605A"/>
    <w:rsid w:val="71B737C3"/>
    <w:rsid w:val="72334389"/>
    <w:rsid w:val="72524B6C"/>
    <w:rsid w:val="72743DF5"/>
    <w:rsid w:val="72AF1A84"/>
    <w:rsid w:val="72C06A0D"/>
    <w:rsid w:val="72C24F8B"/>
    <w:rsid w:val="72EA5D1A"/>
    <w:rsid w:val="72EC3861"/>
    <w:rsid w:val="72ED432D"/>
    <w:rsid w:val="72FE09B1"/>
    <w:rsid w:val="730B408C"/>
    <w:rsid w:val="731210A9"/>
    <w:rsid w:val="73471F21"/>
    <w:rsid w:val="73764FA3"/>
    <w:rsid w:val="7388606D"/>
    <w:rsid w:val="73C24780"/>
    <w:rsid w:val="74700FD1"/>
    <w:rsid w:val="74BF2B2E"/>
    <w:rsid w:val="751A0D38"/>
    <w:rsid w:val="754913D5"/>
    <w:rsid w:val="754A0ED3"/>
    <w:rsid w:val="75EA66CA"/>
    <w:rsid w:val="76145E53"/>
    <w:rsid w:val="76334E8C"/>
    <w:rsid w:val="76A32CCC"/>
    <w:rsid w:val="76AD0D3D"/>
    <w:rsid w:val="770C4457"/>
    <w:rsid w:val="773A5DAE"/>
    <w:rsid w:val="77A8740B"/>
    <w:rsid w:val="77BB3427"/>
    <w:rsid w:val="77CA1253"/>
    <w:rsid w:val="78050FAF"/>
    <w:rsid w:val="7805678A"/>
    <w:rsid w:val="78351772"/>
    <w:rsid w:val="78CD1AB1"/>
    <w:rsid w:val="78D03AD6"/>
    <w:rsid w:val="79077725"/>
    <w:rsid w:val="795E0116"/>
    <w:rsid w:val="79765C32"/>
    <w:rsid w:val="79D81136"/>
    <w:rsid w:val="7A6464C5"/>
    <w:rsid w:val="7A6E7D6B"/>
    <w:rsid w:val="7A9704E5"/>
    <w:rsid w:val="7A9C18CB"/>
    <w:rsid w:val="7A9F1DB5"/>
    <w:rsid w:val="7ADF7A75"/>
    <w:rsid w:val="7B0607B4"/>
    <w:rsid w:val="7B5C49E4"/>
    <w:rsid w:val="7B7708C7"/>
    <w:rsid w:val="7B917EE1"/>
    <w:rsid w:val="7BDD60C4"/>
    <w:rsid w:val="7BF352B3"/>
    <w:rsid w:val="7C1C0C22"/>
    <w:rsid w:val="7C340017"/>
    <w:rsid w:val="7C3522B2"/>
    <w:rsid w:val="7C7C7E44"/>
    <w:rsid w:val="7C9017EF"/>
    <w:rsid w:val="7CDB3FBD"/>
    <w:rsid w:val="7CFD6042"/>
    <w:rsid w:val="7D311552"/>
    <w:rsid w:val="7DA4783D"/>
    <w:rsid w:val="7DDF0F97"/>
    <w:rsid w:val="7DE103E2"/>
    <w:rsid w:val="7E1555F9"/>
    <w:rsid w:val="7E7F4250"/>
    <w:rsid w:val="7EC31A8E"/>
    <w:rsid w:val="7FB82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 w:type="character" w:customStyle="1" w:styleId="23">
    <w:name w:val="font21"/>
    <w:basedOn w:val="9"/>
    <w:qFormat/>
    <w:uiPriority w:val="0"/>
    <w:rPr>
      <w:rFonts w:hint="eastAsia" w:ascii="宋体" w:hAnsi="宋体" w:eastAsia="宋体" w:cs="宋体"/>
      <w:color w:val="000000"/>
      <w:sz w:val="24"/>
      <w:szCs w:val="24"/>
      <w:u w:val="none"/>
    </w:rPr>
  </w:style>
  <w:style w:type="character" w:customStyle="1" w:styleId="24">
    <w:name w:val="font01"/>
    <w:basedOn w:val="9"/>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2455</Words>
  <Characters>13996</Characters>
  <Lines>116</Lines>
  <Paragraphs>32</Paragraphs>
  <TotalTime>4</TotalTime>
  <ScaleCrop>false</ScaleCrop>
  <LinksUpToDate>false</LinksUpToDate>
  <CharactersWithSpaces>16419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Fade_ing</cp:lastModifiedBy>
  <dcterms:modified xsi:type="dcterms:W3CDTF">2021-03-01T11:14:04Z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