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csmb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厅领导，本厅有关处室</w:t>
      </w:r>
      <w:bookmarkEnd w:id="0"/>
      <w:bookmarkStart w:id="1" w:name="yinfadanwei"/>
      <w:r>
        <w:rPr>
          <w:rFonts w:hint="eastAsia" w:ascii="楷体_GB2312" w:hAnsi="黑体" w:eastAsia="楷体_GB2312"/>
          <w:spacing w:val="-30000"/>
          <w:w w:val="1"/>
          <w:sz w:val="10"/>
          <w:szCs w:val="10"/>
        </w:rPr>
        <w:t>新疆维吾尔自治区财政厅</w:t>
      </w:r>
      <w:bookmarkEnd w:id="1"/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中心血站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both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第一部分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部门（单位）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年部门（单位）预算情况说明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黑体" w:hAnsi="黑体" w:eastAsia="黑体"/>
          <w:kern w:val="0"/>
          <w:sz w:val="32"/>
          <w:szCs w:val="32"/>
        </w:rPr>
        <w:t>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依据《血站管理办法》、《血站质量管理规范》和《血站实验室质量管理规范》《血站技术操作规程2015版》及国家适用法律法规、行业规范和标准开展采供血各项业务工作，规范管理血站质量体系，保证质量管理体系的有效运行。任务是：在上级单位的指导下，负责为全州60万人，辖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家医疗机构提供安全有效充足的血液制品，进一步加大血液质量控制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加强对全州各医疗机构储血点(输血科)的业务指导和质量控制工作，督促检查各用血机构安全输血工作，召开全州血液管理质量控制工作会议，确保临床用血安全。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中心血站无下属预算单位，下设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  个处室，分别是：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办公室、体采科、检验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室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克孜勒苏柯尔克孜自治州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中心血站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28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ind w:firstLine="240" w:firstLineChars="100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 </w:t>
      </w:r>
      <w:r>
        <w:rPr>
          <w:rFonts w:hint="eastAsia" w:ascii="仿宋_GB2312" w:hAnsi="宋体" w:eastAsia="仿宋_GB2312"/>
          <w:w w:val="90"/>
          <w:kern w:val="0"/>
          <w:sz w:val="24"/>
          <w:lang w:eastAsia="zh-CN"/>
        </w:rPr>
        <w:t>克孜勒苏柯尔克孜自治州中心血站</w:t>
      </w:r>
      <w:r>
        <w:rPr>
          <w:rFonts w:hint="eastAsia" w:ascii="仿宋_GB2312" w:hAnsi="宋体" w:eastAsia="仿宋_GB2312"/>
          <w:kern w:val="0"/>
          <w:sz w:val="24"/>
        </w:rPr>
        <w:t xml:space="preserve">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</w:rPr>
        <w:t xml:space="preserve">单位：万元                                        </w:t>
      </w:r>
    </w:p>
    <w:tbl>
      <w:tblPr>
        <w:tblStyle w:val="7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285.54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285.54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ind w:firstLine="360" w:firstLineChars="20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上级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1870.56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本  年  收  入  小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285.54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本  年  收  入  小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1870.56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单位上年结余（不包含国库集中支付额度结余）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1585.02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1870.56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1870.56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克孜勒苏柯尔克孜自治州中心血站</w:t>
      </w:r>
      <w:r>
        <w:rPr>
          <w:rFonts w:hint="eastAsia" w:ascii="仿宋_GB2312" w:hAnsi="宋体" w:eastAsia="仿宋_GB2312"/>
          <w:kern w:val="0"/>
          <w:sz w:val="24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kern w:val="0"/>
          <w:sz w:val="24"/>
        </w:rPr>
        <w:t xml:space="preserve">单位：万元                                          </w:t>
      </w:r>
    </w:p>
    <w:tbl>
      <w:tblPr>
        <w:tblStyle w:val="7"/>
        <w:tblW w:w="11225" w:type="dxa"/>
        <w:tblInd w:w="-102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465"/>
        <w:gridCol w:w="450"/>
        <w:gridCol w:w="1392"/>
        <w:gridCol w:w="992"/>
        <w:gridCol w:w="851"/>
        <w:gridCol w:w="850"/>
        <w:gridCol w:w="709"/>
        <w:gridCol w:w="709"/>
        <w:gridCol w:w="567"/>
        <w:gridCol w:w="567"/>
        <w:gridCol w:w="567"/>
        <w:gridCol w:w="356"/>
        <w:gridCol w:w="420"/>
        <w:gridCol w:w="925"/>
        <w:gridCol w:w="8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</w:trPr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39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国有资本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  <w:highlight w:val="none"/>
              </w:rPr>
              <w:t>经营预算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35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采供血机构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155.54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155.54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其他公共卫生支出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1473.52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130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1343.52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210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09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重大公共卫生服务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241.5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241.5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1870.56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285.54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eastAsia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Times New Roman" w:eastAsia="仿宋_GB2312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lang w:val="en-US" w:eastAsia="zh-CN"/>
              </w:rPr>
              <w:t>1585.02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</w:tbl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克孜勒苏柯尔克孜自治州中心血站</w:t>
      </w:r>
      <w:r>
        <w:rPr>
          <w:rFonts w:hint="eastAsia" w:ascii="仿宋_GB2312" w:hAnsi="宋体" w:eastAsia="仿宋_GB2312"/>
          <w:kern w:val="0"/>
          <w:sz w:val="24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                                           </w:t>
      </w:r>
    </w:p>
    <w:tbl>
      <w:tblPr>
        <w:tblStyle w:val="7"/>
        <w:tblW w:w="9441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450"/>
        <w:gridCol w:w="420"/>
        <w:gridCol w:w="2420"/>
        <w:gridCol w:w="1855"/>
        <w:gridCol w:w="1856"/>
        <w:gridCol w:w="19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9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采供血机构　</w:t>
            </w:r>
          </w:p>
        </w:tc>
        <w:tc>
          <w:tcPr>
            <w:tcW w:w="18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155.54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155.54</w:t>
            </w:r>
          </w:p>
        </w:tc>
        <w:tc>
          <w:tcPr>
            <w:tcW w:w="19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其他公共卫生支出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1473.52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1473.52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09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default" w:ascii="仿宋_GB2312" w:hAnsi="宋体" w:eastAsia="仿宋_GB2312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重大公共卫生服务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241.5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0"/>
                <w:szCs w:val="20"/>
                <w:lang w:val="en-US" w:eastAsia="zh-CN"/>
              </w:rPr>
              <w:t>241.5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5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1870.56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155.54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1715.02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280" w:lineRule="exact"/>
        <w:textAlignment w:val="auto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280" w:lineRule="exact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Lines="50" w:line="280" w:lineRule="exact"/>
        <w:jc w:val="center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ind w:firstLine="210" w:firstLineChars="100"/>
        <w:jc w:val="lef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w w:val="100"/>
          <w:kern w:val="0"/>
          <w:szCs w:val="21"/>
          <w:lang w:eastAsia="zh-CN"/>
        </w:rPr>
        <w:t>克孜勒苏柯尔克孜自治州中心血站</w:t>
      </w:r>
      <w:r>
        <w:rPr>
          <w:rFonts w:hint="eastAsia" w:ascii="仿宋_GB2312" w:hAnsi="宋体" w:eastAsia="仿宋_GB2312"/>
          <w:w w:val="100"/>
          <w:kern w:val="0"/>
          <w:szCs w:val="21"/>
        </w:rPr>
        <w:t xml:space="preserve"> </w:t>
      </w:r>
      <w:r>
        <w:rPr>
          <w:rFonts w:hint="eastAsia" w:ascii="仿宋_GB2312" w:hAnsi="宋体" w:eastAsia="仿宋_GB2312"/>
          <w:kern w:val="0"/>
          <w:szCs w:val="21"/>
        </w:rPr>
        <w:t xml:space="preserve">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            </w:t>
      </w:r>
      <w:r>
        <w:rPr>
          <w:rFonts w:hint="eastAsia" w:ascii="仿宋_GB2312" w:hAnsi="宋体" w:eastAsia="仿宋_GB2312"/>
          <w:kern w:val="0"/>
          <w:szCs w:val="21"/>
        </w:rPr>
        <w:t xml:space="preserve">单位：万元                                                       </w:t>
      </w:r>
    </w:p>
    <w:tbl>
      <w:tblPr>
        <w:tblStyle w:val="7"/>
        <w:tblpPr w:leftFromText="180" w:rightFromText="180" w:vertAnchor="text" w:tblpX="-108" w:tblpY="1"/>
        <w:tblOverlap w:val="never"/>
        <w:tblW w:w="95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930"/>
        <w:gridCol w:w="2494"/>
        <w:gridCol w:w="901"/>
        <w:gridCol w:w="850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3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国有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285.54　</w:t>
            </w: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285.54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  <w:t>经营预算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285.54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285.54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w w:val="80"/>
                <w:sz w:val="20"/>
                <w:szCs w:val="20"/>
              </w:rPr>
              <w:t>本  年  收  入  小  计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285.54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本  年  支  出  小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285.54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/>
              </w:rPr>
              <w:t>285.54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单位上年结余（不包含国库集中支付额度结余）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1585.02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1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285.54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285.54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right"/>
              <w:rPr>
                <w:rFonts w:hint="eastAsia" w:ascii="仿宋" w:hAnsi="仿宋" w:eastAsia="仿宋" w:cs="仿宋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  <w:lang w:val="en-US" w:eastAsia="zh-CN"/>
              </w:rPr>
              <w:t>285.54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克孜勒苏柯尔克孜自治州中心血站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采供血机构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155.54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155.54</w:t>
            </w: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leftChars="0" w:right="0" w:rightChar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其他公共卫生支出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130.00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  <w:lang w:val="en-US" w:eastAsia="zh-CN"/>
              </w:rPr>
              <w:t>130.00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285.54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155.54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130.00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克孜勒苏柯尔克孜自治州中心血站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手续费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147" w:rightChars="7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42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办公用品及设备采购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57.25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57.25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3.65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培训费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4.90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14.67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10.57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退休费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7.36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物业管理费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公务接待费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42.94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42.94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400" w:lineRule="exact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印刷费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0.20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155.54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141.16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righ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14.38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679" w:type="dxa"/>
        <w:tblInd w:w="-4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454"/>
        <w:gridCol w:w="465"/>
        <w:gridCol w:w="726"/>
        <w:gridCol w:w="1689"/>
        <w:gridCol w:w="517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375" w:hRule="atLeast"/>
        </w:trPr>
        <w:tc>
          <w:tcPr>
            <w:tcW w:w="9600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trHeight w:val="405" w:hRule="atLeast"/>
        </w:trPr>
        <w:tc>
          <w:tcPr>
            <w:tcW w:w="717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克孜勒苏柯尔克孜自治州中心血站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55" w:type="dxa"/>
            <w:gridSpan w:val="3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726" w:type="dxa"/>
            <w:vMerge w:val="restart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689" w:type="dxa"/>
            <w:vMerge w:val="restart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51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3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54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65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72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68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1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04</w:t>
            </w:r>
          </w:p>
        </w:tc>
        <w:tc>
          <w:tcPr>
            <w:tcW w:w="4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7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其他公共卫生支出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</w:rPr>
              <w:t>采供血经费项目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  <w:tc>
          <w:tcPr>
            <w:tcW w:w="56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8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8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8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8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8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8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8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8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8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8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2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68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1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8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51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54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72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68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5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  <w:tc>
          <w:tcPr>
            <w:tcW w:w="569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outlineLvl w:val="1"/>
              <w:rPr>
                <w:rFonts w:hint="default"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outlineLvl w:val="1"/>
              <w:rPr>
                <w:rFonts w:hint="default" w:ascii="仿宋_GB2312" w:hAnsi="宋体" w:eastAsia="仿宋_GB2312" w:cs="Times New Roman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kern w:val="0"/>
                <w:sz w:val="20"/>
                <w:szCs w:val="20"/>
                <w:lang w:val="en-US" w:eastAsia="zh-CN"/>
              </w:rPr>
              <w:t>130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克孜勒苏柯尔克孜自治州中心血站</w:t>
      </w:r>
      <w:r>
        <w:rPr>
          <w:rFonts w:hint="eastAsia" w:ascii="仿宋_GB2312" w:hAnsi="宋体" w:eastAsia="仿宋_GB2312"/>
          <w:kern w:val="0"/>
          <w:sz w:val="24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</w:t>
      </w:r>
      <w:r>
        <w:rPr>
          <w:rFonts w:hint="eastAsia" w:ascii="仿宋_GB2312" w:hAnsi="宋体" w:eastAsia="仿宋_GB2312"/>
          <w:kern w:val="0"/>
          <w:sz w:val="24"/>
        </w:rPr>
        <w:t xml:space="preserve">单位：万元                                            </w:t>
      </w:r>
    </w:p>
    <w:tbl>
      <w:tblPr>
        <w:tblStyle w:val="7"/>
        <w:tblW w:w="0" w:type="auto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1.70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1.50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1.50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0.20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left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克孜勒苏柯尔克孜自治州中心血站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   </w:t>
      </w:r>
      <w:r>
        <w:rPr>
          <w:rFonts w:hint="eastAsia" w:ascii="仿宋_GB2312" w:hAnsi="宋体" w:eastAsia="仿宋_GB2312"/>
          <w:kern w:val="0"/>
          <w:sz w:val="24"/>
        </w:rPr>
        <w:t xml:space="preserve">单位：万元                                             </w:t>
      </w:r>
    </w:p>
    <w:tbl>
      <w:tblPr>
        <w:tblStyle w:val="7"/>
        <w:tblW w:w="0" w:type="auto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 w:val="0"/>
          <w:bCs/>
          <w:kern w:val="0"/>
          <w:sz w:val="24"/>
          <w:szCs w:val="24"/>
          <w:lang w:val="en-US" w:eastAsia="zh-CN"/>
        </w:rPr>
        <w:t>克孜勒苏柯尔克孜自治州中心</w:t>
      </w:r>
      <w:r>
        <w:rPr>
          <w:rFonts w:hint="eastAsia" w:ascii="仿宋_GB2312" w:hAnsi="宋体" w:eastAsia="仿宋_GB2312"/>
          <w:b w:val="0"/>
          <w:bCs/>
          <w:kern w:val="0"/>
          <w:sz w:val="24"/>
          <w:szCs w:val="24"/>
          <w:lang w:eastAsia="zh-CN"/>
        </w:rPr>
        <w:t>血站</w:t>
      </w:r>
      <w:r>
        <w:rPr>
          <w:rFonts w:hint="eastAsia" w:ascii="仿宋_GB2312" w:hAnsi="宋体" w:eastAsia="仿宋_GB2312"/>
          <w:b w:val="0"/>
          <w:bCs/>
          <w:kern w:val="0"/>
          <w:sz w:val="24"/>
          <w:szCs w:val="24"/>
          <w:lang w:val="en-US" w:eastAsia="zh-CN"/>
        </w:rPr>
        <w:t>2020年没有使用政府性基金预算拨款安排的支出，政府性基金预算支出情况表为空。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</w:t>
      </w:r>
      <w:r>
        <w:rPr>
          <w:rFonts w:hint="eastAsia" w:ascii="黑体" w:hAnsi="黑体" w:eastAsia="黑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年所有收入和支出均纳入部门（单位）预算管理。收支总预算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1870.56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285.54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 单位上年结余（不包括国库集中支付额度结余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1585.02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1870.56万元。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1870.56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285.54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15.26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</w:rPr>
        <w:t>比上年预算增加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  <w:lang w:val="en-US" w:eastAsia="zh-CN"/>
        </w:rPr>
        <w:t>105.66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shd w:val="clear" w:color="auto" w:fill="auto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单位人员工资福利待遇及公用经费增加；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国有资本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1585.02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84.74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1455.02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上级财政专项经费收入结余。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年支出预算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1870.56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155.54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8.32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304.34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人员减少，工资福利经费减少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1715.02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91.68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1705.02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上年财政拨付专项经费，但因疫情原因未能及时使用，结转至今年使用；财政专项经费增加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285.54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收入预算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285.54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b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一般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公共预算支出包括：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eastAsia="zh-CN"/>
        </w:rPr>
        <w:t>卫生健康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285.54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  <w:t>，主要用于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单位人员工资福利待遇及公用经费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285.54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万元，其中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155.54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14.34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8.44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%。主要原因是：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人员减少，人员经费及公用经费减少，开支缩减。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支出  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130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上年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120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92.3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%。主要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原因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2020年项目经费结转至本年继续使用，项目经费增加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卫生健康支出（类：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285.54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卫生健康支出（类：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）公共卫生（款：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）采供血机构（项：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155.54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单位人员减少，人员经费及公用经费减少，开支缩减。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卫生健康支出（类：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）公共卫生（款：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）其他公共卫生支出（项：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）：20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130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130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2020年项目经费结转至本年继续使用，项目经费增加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克孜勒苏柯尔克孜自治州血站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155.54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141.16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42.94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、津贴补贴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57.25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4.90万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、机关事业单位基本养老保险缴费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14.67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、其他社会保障缴费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7.36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、住房公积金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10.57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、退休费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2.59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、奖励金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0.88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14.38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3.65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、印刷费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万元、手续费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0.06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万元、水费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万元、邮电费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、取暖费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3.72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万元、物业管理费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万元、差旅费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万元、培训费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万元、公务接待费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万元、工会经费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0.62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福利费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1.12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万元、公务用车运行维护费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1.0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万元、办公设备购置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2.0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3" w:firstLineChars="200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采供血业务经费项目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财政部门的审批文件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171.52万元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克孜勒苏柯尔克孜自治州中心血站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一般财政预算拨款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171.52万元</w:t>
      </w:r>
    </w:p>
    <w:p>
      <w:pPr>
        <w:spacing w:line="560" w:lineRule="exact"/>
        <w:ind w:firstLine="640" w:firstLineChars="20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2021年全年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血站体系能力建设项目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财政部门的审批文件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191万元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克孜勒苏柯尔克孜自治州中心血站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一般财政预算拨款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191万元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2021年全年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3、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重大传染病防控经费补助资金（血液疾病检测项目）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财政部门的审批文件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50.5万元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克孜勒苏柯尔克孜自治州中心血站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一般财政预算拨款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50.5万元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2021年全年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2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，未安排预算。公务用车运行费增加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单位无偿调入一辆公务用车，且单位车辆年限较长，维修费有所增加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0.3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单位今年对公务接待费用严格控制，减少接待次数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克孜勒苏柯尔克孜自治州</w:t>
      </w:r>
      <w:r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  <w:lang w:eastAsia="zh-CN"/>
        </w:rPr>
        <w:t>中心血站</w:t>
      </w:r>
      <w:r>
        <w:rPr>
          <w:rFonts w:hint="eastAsia" w:ascii="仿宋_GB2312" w:hAnsi="宋体" w:eastAsia="仿宋_GB2312" w:cs="宋体"/>
          <w:b w:val="0"/>
          <w:bCs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  <w:bookmarkStart w:id="2" w:name="_GoBack"/>
      <w:bookmarkEnd w:id="2"/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jc w:val="both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中心血站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155.54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14.34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8.44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单位职工人数减少，工资减少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。                  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119.93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113.19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6.74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2021</w:t>
      </w:r>
      <w:r>
        <w:rPr>
          <w:rFonts w:hint="eastAsia" w:ascii="仿宋_GB2312" w:hAnsi="仿宋_GB2312" w:eastAsia="仿宋_GB2312"/>
          <w:sz w:val="32"/>
        </w:rPr>
        <w:t>年度本部门（单位）面向中小企业预留政府采购项目预算金额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克孜勒苏柯尔克孜自治州中心血站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1486.7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103.56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9.02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151.35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年部门（单位）预算未安排购置车辆经费（或安排购置车辆经费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年度，本年度实行绩效管理的一般公共预算项目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个，涉及预算金额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413.02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tbl>
      <w:tblPr>
        <w:tblStyle w:val="7"/>
        <w:tblpPr w:leftFromText="180" w:rightFromText="180" w:vertAnchor="text" w:horzAnchor="page" w:tblpX="1801" w:tblpY="175"/>
        <w:tblOverlap w:val="never"/>
        <w:tblW w:w="833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1"/>
        <w:gridCol w:w="1890"/>
        <w:gridCol w:w="865"/>
        <w:gridCol w:w="1466"/>
        <w:gridCol w:w="736"/>
        <w:gridCol w:w="1717"/>
        <w:gridCol w:w="8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3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bottom"/>
              <w:rPr>
                <w:rFonts w:hint="default"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33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bottom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2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克孜勒苏柯尔克孜自治州中心血站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采供血业务经费项目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171.52</w:t>
            </w:r>
          </w:p>
        </w:tc>
        <w:tc>
          <w:tcPr>
            <w:tcW w:w="14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171.52</w:t>
            </w:r>
          </w:p>
        </w:tc>
        <w:tc>
          <w:tcPr>
            <w:tcW w:w="17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81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目标</w:t>
            </w:r>
          </w:p>
        </w:tc>
        <w:tc>
          <w:tcPr>
            <w:tcW w:w="74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left"/>
              <w:textAlignment w:val="auto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保障单位聘用职工的工资，养老金，社保，住房公积金等正常支出；保障单位水电费、医疗垃圾清运费等正常支出；献血屋房屋物业费、水电费的正常缴纳，及时报销献血者用血后血费互助金，开展无偿献血活动及招募无偿献血者的日常开支；购买采供血相关试剂、耗材、专业服装，保证采供血业务的正常开展，为临床提供安全血液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聘用护理人员人数（人）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购买医用耗材（批次）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采供血车辆（辆）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血库最低库存血量（ml）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≥</w:t>
            </w: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10000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解决业务用房面积（M2）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130.21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医用耗材验收合格率（%）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聘用人员执业证持有率（%）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80%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血液采集合格率（%）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cs="Times New Roman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Times New Roman"/>
                <w:color w:val="000000"/>
                <w:sz w:val="18"/>
                <w:szCs w:val="18"/>
              </w:rPr>
              <w:t>资金拨付及时率（%）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2"/>
              </w:rPr>
              <w:t>聘用人员经费标准（万元/年）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2"/>
              </w:rPr>
              <w:t>医用耗材采购成本（万元/年）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2"/>
              </w:rPr>
              <w:t>车辆经费标准（万元/年）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1.5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2"/>
              </w:rPr>
              <w:t>献血屋租赁费、物业费、水电费标准（万元/年）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13.13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2"/>
              </w:rPr>
              <w:t>血费互助金报销金额（万元）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2"/>
              </w:rPr>
              <w:t>献血纪念品（万元）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2"/>
              </w:rPr>
              <w:t>设备检测及维修费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6.74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2"/>
              </w:rPr>
              <w:t>业务运行费用（万元/年）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56.15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2"/>
              </w:rPr>
              <w:t>提升社会服务能力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有效提升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2"/>
              </w:rPr>
              <w:t>保障采供血业务工作顺利开展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有效保障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2"/>
              </w:rPr>
              <w:t>提高无偿献血社会知晓率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tabs>
                <w:tab w:val="left" w:pos="818"/>
              </w:tabs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有效提高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指标</w:t>
            </w:r>
          </w:p>
        </w:tc>
        <w:tc>
          <w:tcPr>
            <w:tcW w:w="1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服务对象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受益职工满意度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≥</w:t>
            </w: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90%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献血者满意度</w:t>
            </w:r>
          </w:p>
        </w:tc>
        <w:tc>
          <w:tcPr>
            <w:tcW w:w="25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≥</w:t>
            </w: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90%</w:t>
            </w:r>
          </w:p>
        </w:tc>
      </w:tr>
    </w:tbl>
    <w:tbl>
      <w:tblPr>
        <w:tblStyle w:val="7"/>
        <w:tblW w:w="93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907"/>
        <w:gridCol w:w="868"/>
        <w:gridCol w:w="1478"/>
        <w:gridCol w:w="975"/>
        <w:gridCol w:w="1494"/>
        <w:gridCol w:w="179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ottom"/>
              <w:rPr>
                <w:rFonts w:hint="default"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bottom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2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克孜勒苏柯尔克孜自治州中心血站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left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血站体系能力建设项目资金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191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191</w:t>
            </w:r>
          </w:p>
        </w:tc>
        <w:tc>
          <w:tcPr>
            <w:tcW w:w="14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7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480" w:lineRule="exact"/>
              <w:ind w:left="0" w:right="0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目标</w:t>
            </w:r>
          </w:p>
        </w:tc>
        <w:tc>
          <w:tcPr>
            <w:tcW w:w="85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auto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该项目资金用于健全血液供应保障体系，采供血专业设备的购置，污水处理系统及血站信息化网络建设等方面，通过该项目实施，提高血站采供血量需求及保障血液安全，有效预防和控制因污水导致传染病传播和环境污染事故发生，满足人民群众临床用血的需求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污水处理系统（个）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全自动消毒高压锅（台）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数字化血浆融化箱（台）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低温移动操作台（台）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血浆速冻机（台）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both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加强血站信息化网络建设，提高血液安全管理效率和水平（项）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资金使用合规率（%）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cs="Times New Roman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18"/>
                <w:szCs w:val="18"/>
                <w:lang w:eastAsia="zh-CN"/>
              </w:rPr>
              <w:t>项目完成时间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2021年12月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cs="Times New Roman"/>
                <w:color w:val="000000"/>
                <w:sz w:val="20"/>
              </w:rPr>
            </w:pP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Times New Roman"/>
                <w:color w:val="000000"/>
                <w:sz w:val="18"/>
                <w:szCs w:val="18"/>
              </w:rPr>
              <w:t>资金拨付及时率（%）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污水处理系统（个）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32.5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2"/>
                <w:lang w:eastAsia="zh-CN"/>
              </w:rPr>
              <w:t>信息化网络建设（万元）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24.5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leftChars="0" w:right="0" w:rightChar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"/>
              </w:rPr>
              <w:t>全自动消毒高压锅（台）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leftChars="0" w:right="0" w:rightChar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"/>
              </w:rPr>
              <w:t>数字化血浆融化箱（台）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leftChars="0" w:right="0" w:rightChar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"/>
              </w:rPr>
              <w:t>低温移动操作台（台）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leftChars="0" w:right="0" w:rightChars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"/>
              </w:rPr>
              <w:t>血浆速冻机（台）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65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both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2"/>
              </w:rPr>
              <w:t>人民群众临床用血需求得到及时满足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≥</w:t>
            </w: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95%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2"/>
              </w:rPr>
              <w:t>血站血液储存运输能力大幅提高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较上年度提升50%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both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2"/>
              </w:rPr>
              <w:t>提高血站血液的采供血及储存运输能力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8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有效提高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指标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服务对象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受益群众满意度（%）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380" w:lineRule="exact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≥98%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bottom"/>
              <w:rPr>
                <w:rFonts w:hint="default"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936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bottom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2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克孜勒苏柯尔克孜自治州中心血站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重大传染病防控经费补助资金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left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（血液疾病检测项目）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50.5</w:t>
            </w: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50.5</w:t>
            </w:r>
          </w:p>
        </w:tc>
        <w:tc>
          <w:tcPr>
            <w:tcW w:w="14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79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项目总体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目标</w:t>
            </w:r>
          </w:p>
        </w:tc>
        <w:tc>
          <w:tcPr>
            <w:tcW w:w="851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left"/>
              <w:textAlignment w:val="auto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该项目资金用于对采集血液进行艾滋病、肝炎、丙型肝炎、梅毒、转氨酶、血红蛋白、血小板计数、血型检测；再对采集后的血液进行血液成分分离；通过该项目实施，给临床提供安全、有效的血液。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检测人数（人）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疾病检测完成率（%）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≥98%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宋体" w:hAnsi="宋体" w:cs="Times New Roman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18"/>
                <w:szCs w:val="18"/>
                <w:lang w:eastAsia="zh-CN"/>
              </w:rPr>
              <w:t>项目完成时间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2021年12月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宋体" w:hAnsi="宋体" w:cs="Times New Roman"/>
                <w:color w:val="000000"/>
                <w:sz w:val="20"/>
              </w:rPr>
            </w:pP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both"/>
              <w:rPr>
                <w:rFonts w:hint="eastAsia" w:ascii="宋体" w:hAns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Times New Roman"/>
                <w:color w:val="000000"/>
                <w:sz w:val="18"/>
                <w:szCs w:val="18"/>
              </w:rPr>
              <w:t>资金拨付及时率（%）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疾病检测试剂购买费用（万元）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27.5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2"/>
                <w:lang w:eastAsia="zh-CN"/>
              </w:rPr>
              <w:t>核酸检测费用（万元）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2"/>
              </w:rPr>
              <w:t>保障安全用血合格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有效保障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22"/>
              </w:rPr>
              <w:t>提高对献血者疾病检测力度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tabs>
                <w:tab w:val="left" w:pos="8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18"/>
                <w:szCs w:val="22"/>
                <w:lang w:val="en-US" w:eastAsia="zh-CN" w:bidi="ar-SA"/>
              </w:rPr>
              <w:t>有效提高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指标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default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 w:bidi="ar"/>
              </w:rPr>
              <w:t>服务对象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3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both"/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受益群众满意度（%）</w:t>
            </w:r>
          </w:p>
        </w:tc>
        <w:tc>
          <w:tcPr>
            <w:tcW w:w="3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560" w:lineRule="exact"/>
              <w:ind w:left="0" w:right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18"/>
                <w:szCs w:val="18"/>
                <w:lang w:val="en-US" w:eastAsia="zh-CN" w:bidi="ar-SA"/>
              </w:rPr>
              <w:t>≥98%</w:t>
            </w:r>
          </w:p>
        </w:tc>
      </w:tr>
    </w:tbl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numberInDash" w:start="1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ind w:firstLine="643" w:firstLineChars="2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克孜勒苏柯尔克孜自治州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中心血站无其他需说明的事项。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指由一般公共预算、政府性基金预算、</w:t>
      </w:r>
      <w:r>
        <w:rPr>
          <w:rFonts w:ascii="仿宋_GB2312" w:eastAsia="仿宋_GB2312"/>
          <w:sz w:val="32"/>
          <w:szCs w:val="32"/>
          <w:highlight w:val="none"/>
        </w:rPr>
        <w:t>国有资本经营预算</w:t>
      </w:r>
      <w:r>
        <w:rPr>
          <w:rFonts w:hint="eastAsia" w:ascii="仿宋_GB2312" w:eastAsia="仿宋_GB2312"/>
          <w:sz w:val="32"/>
          <w:szCs w:val="32"/>
          <w:highlight w:val="none"/>
        </w:rPr>
        <w:t>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七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克孜勒苏柯尔克孜自治州中心血站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sectPr>
      <w:footerReference r:id="rId6" w:type="default"/>
      <w:footerReference r:id="rId7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631" w:y="37"/>
      <w:jc w:val="right"/>
      <w:rPr>
        <w:rStyle w:val="11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11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11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11"/>
        <w:rFonts w:hint="eastAsia" w:ascii="宋体" w:hAnsi="宋体" w:eastAsia="宋体"/>
        <w:sz w:val="28"/>
      </w:rPr>
      <w:t xml:space="preserve"> </w:t>
    </w:r>
  </w:p>
  <w:p>
    <w:pPr>
      <w:pStyle w:val="3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11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11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11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7A0E1E"/>
    <w:multiLevelType w:val="singleLevel"/>
    <w:tmpl w:val="ED7A0E1E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0D3EE2B"/>
    <w:multiLevelType w:val="singleLevel"/>
    <w:tmpl w:val="10D3EE2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54ABF"/>
    <w:rsid w:val="0009522A"/>
    <w:rsid w:val="000C2AA9"/>
    <w:rsid w:val="00121764"/>
    <w:rsid w:val="001662FE"/>
    <w:rsid w:val="00172C01"/>
    <w:rsid w:val="00186398"/>
    <w:rsid w:val="001D3009"/>
    <w:rsid w:val="002166BA"/>
    <w:rsid w:val="00324290"/>
    <w:rsid w:val="00396814"/>
    <w:rsid w:val="003B4B5F"/>
    <w:rsid w:val="003C61E3"/>
    <w:rsid w:val="00432267"/>
    <w:rsid w:val="004422D6"/>
    <w:rsid w:val="00493EEC"/>
    <w:rsid w:val="004C06DA"/>
    <w:rsid w:val="004F62F9"/>
    <w:rsid w:val="00520D5A"/>
    <w:rsid w:val="006A3660"/>
    <w:rsid w:val="006B6A8C"/>
    <w:rsid w:val="007219F8"/>
    <w:rsid w:val="007E2CEA"/>
    <w:rsid w:val="009035BA"/>
    <w:rsid w:val="00950B98"/>
    <w:rsid w:val="0096028F"/>
    <w:rsid w:val="0099744C"/>
    <w:rsid w:val="009C6198"/>
    <w:rsid w:val="00A9706D"/>
    <w:rsid w:val="00BA582F"/>
    <w:rsid w:val="00C117E5"/>
    <w:rsid w:val="00C31DA2"/>
    <w:rsid w:val="00CA4E1E"/>
    <w:rsid w:val="00CE5389"/>
    <w:rsid w:val="00DC05BF"/>
    <w:rsid w:val="00E569BC"/>
    <w:rsid w:val="00EF4090"/>
    <w:rsid w:val="00F23808"/>
    <w:rsid w:val="00F54FE8"/>
    <w:rsid w:val="00F830A1"/>
    <w:rsid w:val="00F83503"/>
    <w:rsid w:val="00F90952"/>
    <w:rsid w:val="0A346576"/>
    <w:rsid w:val="1C643FAE"/>
    <w:rsid w:val="279B16A8"/>
    <w:rsid w:val="4B6572C0"/>
    <w:rsid w:val="56550B4E"/>
    <w:rsid w:val="57C50220"/>
    <w:rsid w:val="61277D32"/>
    <w:rsid w:val="666D00B7"/>
    <w:rsid w:val="675F6258"/>
    <w:rsid w:val="7CBC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眉 字符"/>
    <w:basedOn w:val="9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9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34</Pages>
  <Words>2455</Words>
  <Characters>13996</Characters>
  <Lines>116</Lines>
  <Paragraphs>32</Paragraphs>
  <TotalTime>3</TotalTime>
  <ScaleCrop>false</ScaleCrop>
  <LinksUpToDate>false</LinksUpToDate>
  <CharactersWithSpaces>16419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2021-02-07T10:41:00Z</dcterms:created>
  <dc:creator>薛理升</dc:creator>
  <cp:lastModifiedBy>Administrator</cp:lastModifiedBy>
  <cp:lastPrinted>2021-05-18T02:27:00Z</cp:lastPrinted>
  <dcterms:modified xsi:type="dcterms:W3CDTF">2021-05-18T04:54:26Z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690DEAB6CAA64D069FB7E5BBE9959D79</vt:lpwstr>
  </property>
</Properties>
</file>