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_GoBack"/>
      <w:bookmarkEnd w:id="0"/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地震监测中心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二、关于克州地震监测中心2021年收入预算情况说明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三、关于克州地震监测中心2021年支出预算情况说明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四、关于克州地震监测中心2021年财政拨款收支预算情况的总体说明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五、关于克州地震监测中心2021年一般公共预算当年拨款情况说明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六、关于克州地震监测中心2021年一般公共预算基本支出情况说明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七、关于克州地震监测中心2021年一般公共预算项目支出情况说明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八、关于克州地震监测中心2021年一般公共预算“三公”经费预算情况说明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九、关于克州地震监测中心2021年政府性基金预算拨款情况说明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地震监测中心认真贯彻执行国家防震减灾工作的方针和法规，编制并组织实施全州防震减灾事业中长期发展规划和年度计划，承担自治州地震监测预报预警工作，承担自治州人民政府防震减灾工作联席会议制度办事机构职能，建立震灾预防工作体系，参与制定自治州破坏性地震应急预案并检查落实情况，组织开展防震减灾知识的宣传教育工作，依法管理和执行以地震动参数和地震烈度表述的抗震设防标准，推进地震科技现代化，管理和组织地震科学技术研究与攻关科技成果的推广应用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克州地震监测中心无下属预算单位，下设5个科室，分别是：办公室、震害防御科、科技监测科、应急服务科、阿图什地震台。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克州地震监测中心编制数18人，实有人数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人，其中：在职17人，增加0人； 退休9人，增加0人；离休0人，增加0人。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克州地震监测中心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Style w:val="7"/>
        <w:tblW w:w="8662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037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318.68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本  年  收  入  小  计</w:t>
            </w:r>
          </w:p>
        </w:tc>
        <w:tc>
          <w:tcPr>
            <w:tcW w:w="20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293.98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20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24.70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3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20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318.68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318.68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克州地震监测中心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331"/>
        <w:gridCol w:w="331"/>
        <w:gridCol w:w="1295"/>
        <w:gridCol w:w="992"/>
        <w:gridCol w:w="851"/>
        <w:gridCol w:w="850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318.68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224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05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地震事务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318.68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224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05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其他地震事务支出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224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05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行政运行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299.68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269.98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318.68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24.70 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编制部门（单位）：克州地震监测中心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318.68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299.68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224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地震事务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318.68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299.68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224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其他地震事务支出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224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299.68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299.68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318.68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299.68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19.00 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克州地震监测中心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276.98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克州地震监测中心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269.98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地震事务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269.98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269.98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269.98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其他地震事务支出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276.98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269.98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克州地震监测中心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90.63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17.94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17.94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23.31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23.31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16.70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16.70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17.03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17.03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12.96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12.96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269.98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258.88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11.10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克州地震监测中心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灾害防治及应急管理支出</w:t>
            </w:r>
          </w:p>
        </w:tc>
        <w:tc>
          <w:tcPr>
            <w:tcW w:w="14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224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05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地震事务</w:t>
            </w:r>
          </w:p>
        </w:tc>
        <w:tc>
          <w:tcPr>
            <w:tcW w:w="14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224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05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其他地震事务支出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群众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克州地震监测中心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克州地震监测中心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克州地震监测中心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本年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2021年度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没有使用政府性基金预算安排的支出，故此表为空。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    318.68万元。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收入预算包括：一般公共预算276.98万元、政府性基金预算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、国有资金经营预算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、上级补助收入5万元、上级专项收入12万元、单位上年结余（不包括国库集中支付额度结余）24.70万元。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支出预算包括：灾害防治及应急管理支出318.68万元。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收入预算318.68万元，其中：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一般公共预算276.98万元，占86.91%，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比上年预算增加6.89万元，主要原因是2020年人员正常调资和6人职务职级晋升调资；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上级补助收入资金5万元，占1.57%，比上年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减少5万元，主要原因是自治区地震局对运维费投入的减少；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上级专项收入12万元，占3.77 %，比上年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增加0万元，主要原因是为民办实事经费与上年相同；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单位上年结余（不包括国库集中支付额度结余）24.70万元，占7.75 %，比上年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减少17.3万元，主要原因是2020年第二轮系统对口援疆结束，援疆资金结余减少。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克州地震监测中心2021年支出预算318.68万元，其中：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基本支出299.68万元，占94.04%，比上年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减少16.41万元，主要原因是2020年第二轮系统对口援疆结束，援疆资金支出减少。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项目支出19万元，占5.96%，比上年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减少2万元，主要原因是：2021为民办实事经费中上年结余数减少。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2021年财政拨款收支总预算276.98万元。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276.98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一般公共预算支出包括：灾害防治及应急管理支出276.98万元，主要用于支付职工工资、津补贴、社会保障缴费、住房公积金及公用经费、群众工作人员补助经费、群众工作经费等。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克州地震监测中心2021年一般公共预算拨款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276.98万元，其中：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基本支出269.98万元，比上年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%。主要原因是：2020年人员正常调资和6人职务职级晋升调资。项目支出7万元，比上年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群众工作经费与上年持平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yellow"/>
        </w:rPr>
      </w:pPr>
      <w:r>
        <w:rPr>
          <w:rFonts w:hint="eastAsia" w:ascii="仿宋_GB2312" w:eastAsia="仿宋_GB2312"/>
          <w:sz w:val="32"/>
          <w:szCs w:val="32"/>
        </w:rPr>
        <w:t>1.灾害防治及应急管理支出（类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224</w:t>
      </w:r>
      <w:r>
        <w:rPr>
          <w:rFonts w:hint="eastAsia" w:ascii="仿宋_GB2312" w:eastAsia="仿宋_GB2312"/>
          <w:sz w:val="32"/>
          <w:szCs w:val="32"/>
        </w:rPr>
        <w:t>）276.98万元，占100%。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1.灾害防治及应急管理支出（类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）地震事务（款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）:2021年预算数为269.98万元，比上年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增加6.89万元，增长2.62%。主要原因是：2020年人员正常调资和6人职务职级晋升调资。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2.灾害防治及应急管理支出（类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:224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）地震事务（款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）其他地震事务支出（项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）:2021年预算数为7万元，比上年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增加0万元，增长0%。主要原因：群众工作经费与上年持平。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克州地震监测中心2021年一般公共预算基本支出269.98万元， 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258.88万元，主要包括：基本工资71.50万元、津贴补贴90.63万元、奖金17.94万元、机关事业单位基本养老保险缴费23.31万元、其他社会保障缴费16.70万元、住房公积金17.03万元、退休费8.01万元、奖励金0.80万元、其他对个人和家庭的补助12.96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11.10万元，主要包括：印刷费0.60万元、邮电费1.00万元、差旅费1.30万元、维修（护）费2.00万元、公务接待费0.20万元、工会经费1.02万元、福利费1.83万元、公务用车运行维护费2.00万元、办公设备购置1.15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项目名称：群众工作经费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设立的政策依据：党的群众路线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预算安排规模：7万元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项目承担单位：克州地震监测中心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资金分配情况：每月0.58万元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资金执行时间：资金执行时间：2021年1月至12月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情况二：（属于对个人补贴的项目支出按下列内容说明）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资金来源：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补贴人数：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补贴标准：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补贴范围：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补贴方式：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受益人群和社会效益：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克州地震监测中心2021年一般公共预算“三公”经费数为2.20万元，其中：因公出国（境）费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万元，公务用车购置0万元，公务用车运行费2万元，公务接待费0.2万元。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增加0.5万元，其中：因公出国（境）费增加0万元，主要原因是预算安排中没有因公出国（境）人员；公务用车购置费为0，未安排预算。公务用车运行费增加0.5万元，主要原因是2辆公务用车使用年限都达10年以上，维修维护费用支出增加；公务接待费增加0万元，主要原因是严格落实中央八项规定，减少公务接待开支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克州地震监测中心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2021年，克州地震监测中心本级及下属0家行政单位和  0家事业单位的机关运行经费财政拨款预算11.10万元，比上年预算增加0.10万元，增长0.91 %。主要原因是2020年正常调资和6人调资职务职级晋升调资后工会费和福利费的增加。                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2021年，克州地震监测中心政府采购预算50.95万元，其中：政府采购货物预算36.45万元，政府采购工程预算     5.00万元，政府采购服务预算9.50万元。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2021年度本部门（单位）面向中小企业预留政府采购项目预算金额0万元，其中：面向小微企业预留政府采购项目预算金额0万元。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截至2020年底，克州地震监测中心及下属各预算单位占用使用国有资产总体情况为396.11万元。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1.房屋1026平方米，价值189.74万元。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2.车辆2辆，价值63.84万元；其中：一般公务用车0辆，价值0万元；执法执勤用车0 辆，价值0 万元；其他车辆2辆，价值63.84万元。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3.办公家具价值30.62万元。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111.91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2021年部门（单位）预算未安排购置车辆经费（或安排购置车辆经费0万元），安排购置50万元以上大型设备0台（套），单位价值100万元以上大型设备0台（套）。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克州地震监测中心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群众工作经费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该项目资金用于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群众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工作经费，通过该项目实施，有效加强文化队伍建设，提升国语水平，实现现代文化引领，为脱贫户采购农资，实现增产增收。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开展文体活动次数（次）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为脱贫户采购农资（户）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脱贫户农资发放覆盖率（%）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≥85%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活动开展及时率（%）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工作成本（万元）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加强文化队伍建设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有效加强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提升国语水平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受益群众工作队队员满意率（%）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受益村两委班子成员满意率（%）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克州地震监测中心无其他需说明事项。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克孜勒苏柯尔克孜自治州地震监测中心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2021年2月5日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t>- 33 -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1"/>
                              <w:rFonts w:hint="eastAsia" w:ascii="宋体" w:hAnsi="宋体" w:eastAsia="宋体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  <w:rPr>
                        <w:rStyle w:val="11"/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t>- 33 -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11"/>
                        <w:rFonts w:hint="eastAsia" w:ascii="宋体" w:hAnsi="宋体" w:eastAsia="宋体"/>
                        <w:sz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1A57FD8"/>
    <w:rsid w:val="06710295"/>
    <w:rsid w:val="0F356E12"/>
    <w:rsid w:val="11ED1BE2"/>
    <w:rsid w:val="14604FB6"/>
    <w:rsid w:val="1BD80653"/>
    <w:rsid w:val="1C25726A"/>
    <w:rsid w:val="1CFA3343"/>
    <w:rsid w:val="21CD70E6"/>
    <w:rsid w:val="3709056B"/>
    <w:rsid w:val="37944FB7"/>
    <w:rsid w:val="451E7599"/>
    <w:rsid w:val="502062B1"/>
    <w:rsid w:val="52452F47"/>
    <w:rsid w:val="52FB60A2"/>
    <w:rsid w:val="5BB73D1A"/>
    <w:rsid w:val="5CB61A98"/>
    <w:rsid w:val="60530F45"/>
    <w:rsid w:val="649320D1"/>
    <w:rsid w:val="66D712BE"/>
    <w:rsid w:val="6986326A"/>
    <w:rsid w:val="69B2045F"/>
    <w:rsid w:val="6EE52756"/>
    <w:rsid w:val="72741DAC"/>
    <w:rsid w:val="76640F21"/>
    <w:rsid w:val="7988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0</TotalTime>
  <ScaleCrop>false</ScaleCrop>
  <LinksUpToDate>false</LinksUpToDate>
  <CharactersWithSpaces>16419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dcterms:modified xsi:type="dcterms:W3CDTF">2021-03-01T13:03:09Z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