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克孜勒苏广播电视大学</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outlineLvl w:val="1"/>
        <w:rPr>
          <w:rFonts w:ascii="黑体" w:hAnsi="黑体" w:eastAsia="黑体"/>
          <w:kern w:val="0"/>
          <w:sz w:val="36"/>
          <w:szCs w:val="32"/>
        </w:rPr>
      </w:pPr>
    </w:p>
    <w:p>
      <w:pPr>
        <w:widowControl/>
        <w:spacing w:line="460" w:lineRule="exact"/>
        <w:ind w:firstLine="3600" w:firstLineChars="1000"/>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克孜勒苏广播电视大学概况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w:t>
      </w:r>
      <w:r>
        <w:rPr>
          <w:rFonts w:hint="eastAsia" w:ascii="仿宋_GB2312" w:hAnsi="宋体" w:eastAsia="仿宋_GB2312" w:cs="宋体"/>
          <w:b/>
          <w:spacing w:val="-6"/>
          <w:kern w:val="0"/>
          <w:sz w:val="32"/>
          <w:szCs w:val="32"/>
        </w:rPr>
        <w:t>克孜勒苏广播电视大学</w:t>
      </w:r>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2021年克孜勒苏广播电视大学预算情况说明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一、关于克孜勒苏广播电视大学2021年收支预算情况的总体说明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二、关于克孜勒苏广播电视大学2021年收入预算情况说明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三、关于克孜勒苏广播电视大学2021年支出预算情况说明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四、关于克孜勒苏广播电视大学2021年财政拨款收支预算情况的总体说明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五、关于克孜勒苏广播电视大学2021年一般公共预算当年拨款情况说明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六、关于克孜勒苏广播电视大学2021年一般公共预算基本支出情况说明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七、关于克孜勒苏广播电视大学2021年项目支出情况说明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八、关于克孜勒苏广播电视大学2021年一般公共预算“三公”经费预算情况说明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九、关于克孜勒苏广播电视大学2021年政府性基金预算拨款情况说明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十、克孜勒苏广播电视大学其他重要事项的情况说明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pStyle w:val="2"/>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克孜勒苏广播电视大学概况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26"/>
        <w:spacing w:line="360" w:lineRule="auto"/>
        <w:ind w:firstLine="640"/>
        <w:jc w:val="both"/>
        <w:rPr>
          <w:rFonts w:hAnsi="仿宋_GB2312" w:cs="仿宋_GB2312"/>
          <w:sz w:val="32"/>
          <w:szCs w:val="32"/>
        </w:rPr>
      </w:pPr>
      <w:r>
        <w:rPr>
          <w:rFonts w:hint="eastAsia" w:hAnsi="仿宋_GB2312" w:cs="仿宋_GB2312"/>
          <w:sz w:val="32"/>
          <w:szCs w:val="32"/>
        </w:rPr>
        <w:t>负责国民系列开放本科、专科、成人学历教育；负责国民系列普通大专、中专学历教育；负责中学</w:t>
      </w:r>
      <w:r>
        <w:rPr>
          <w:rFonts w:hint="eastAsia" w:hAnsi="仿宋_GB2312" w:cs="仿宋_GB2312"/>
          <w:sz w:val="32"/>
          <w:szCs w:val="32"/>
          <w:lang w:eastAsia="zh-CN"/>
        </w:rPr>
        <w:t>国家通用语言文字</w:t>
      </w:r>
      <w:r>
        <w:rPr>
          <w:rFonts w:hint="eastAsia" w:hAnsi="仿宋_GB2312" w:cs="仿宋_GB2312"/>
          <w:sz w:val="32"/>
          <w:szCs w:val="32"/>
        </w:rPr>
        <w:t>教师</w:t>
      </w:r>
      <w:r>
        <w:rPr>
          <w:rFonts w:hint="eastAsia" w:hAnsi="仿宋_GB2312" w:cs="仿宋_GB2312"/>
          <w:sz w:val="32"/>
          <w:szCs w:val="32"/>
          <w:lang w:eastAsia="zh-CN"/>
        </w:rPr>
        <w:t>指导</w:t>
      </w:r>
      <w:r>
        <w:rPr>
          <w:rFonts w:hint="eastAsia" w:hAnsi="仿宋_GB2312" w:cs="仿宋_GB2312"/>
          <w:sz w:val="32"/>
          <w:szCs w:val="32"/>
        </w:rPr>
        <w:t>；负责中学校长</w:t>
      </w:r>
      <w:r>
        <w:rPr>
          <w:rFonts w:hint="eastAsia" w:hAnsi="仿宋_GB2312" w:cs="仿宋_GB2312"/>
          <w:sz w:val="32"/>
          <w:szCs w:val="32"/>
          <w:lang w:eastAsia="zh-CN"/>
        </w:rPr>
        <w:t>指导</w:t>
      </w:r>
      <w:r>
        <w:rPr>
          <w:rFonts w:hint="eastAsia" w:hAnsi="仿宋_GB2312" w:cs="仿宋_GB2312"/>
          <w:sz w:val="32"/>
          <w:szCs w:val="32"/>
        </w:rPr>
        <w:t>；负责中学教师继续</w:t>
      </w:r>
      <w:r>
        <w:rPr>
          <w:rFonts w:hint="eastAsia" w:hAnsi="仿宋_GB2312" w:cs="仿宋_GB2312"/>
          <w:sz w:val="32"/>
          <w:szCs w:val="32"/>
          <w:lang w:eastAsia="zh-CN"/>
        </w:rPr>
        <w:t>学习</w:t>
      </w:r>
      <w:r>
        <w:rPr>
          <w:rFonts w:hint="eastAsia" w:hAnsi="仿宋_GB2312" w:cs="仿宋_GB2312"/>
          <w:sz w:val="32"/>
          <w:szCs w:val="32"/>
        </w:rPr>
        <w:t>；负责义务教育的中学</w:t>
      </w:r>
      <w:r>
        <w:rPr>
          <w:rFonts w:hint="eastAsia" w:hAnsi="仿宋_GB2312" w:cs="仿宋_GB2312"/>
          <w:sz w:val="32"/>
          <w:szCs w:val="32"/>
          <w:lang w:eastAsia="zh-CN"/>
        </w:rPr>
        <w:t>教师继续教育</w:t>
      </w:r>
      <w:r>
        <w:rPr>
          <w:rFonts w:hint="eastAsia" w:hAnsi="仿宋_GB2312" w:cs="仿宋_GB2312"/>
          <w:sz w:val="32"/>
          <w:szCs w:val="32"/>
        </w:rPr>
        <w:t>；负责计算机岗位培训、</w:t>
      </w:r>
      <w:r>
        <w:rPr>
          <w:rFonts w:hint="eastAsia" w:hAnsi="仿宋_GB2312" w:cs="仿宋_GB2312"/>
          <w:sz w:val="32"/>
          <w:szCs w:val="32"/>
          <w:lang w:eastAsia="zh-CN"/>
        </w:rPr>
        <w:t>教师</w:t>
      </w:r>
      <w:r>
        <w:rPr>
          <w:rFonts w:hint="eastAsia" w:hAnsi="仿宋_GB2312" w:cs="仿宋_GB2312"/>
          <w:sz w:val="32"/>
          <w:szCs w:val="32"/>
        </w:rPr>
        <w:t xml:space="preserve">资格等社会化培训。 </w:t>
      </w:r>
    </w:p>
    <w:p>
      <w:pPr>
        <w:pStyle w:val="26"/>
        <w:spacing w:line="360" w:lineRule="auto"/>
        <w:ind w:firstLine="640"/>
        <w:jc w:val="both"/>
        <w:rPr>
          <w:rFonts w:hAnsi="仿宋_GB2312" w:cs="仿宋_GB2312"/>
          <w:sz w:val="32"/>
          <w:szCs w:val="32"/>
        </w:rPr>
      </w:pPr>
      <w:r>
        <w:rPr>
          <w:rFonts w:hint="eastAsia" w:hAnsi="仿宋_GB2312" w:cs="仿宋_GB2312"/>
          <w:sz w:val="32"/>
          <w:szCs w:val="32"/>
        </w:rPr>
        <w:t>主要职责为：全面贯彻落实习近平新时代中国特色社会主义思想</w:t>
      </w:r>
      <w:r>
        <w:rPr>
          <w:rFonts w:hint="eastAsia" w:hAnsi="仿宋_GB2312" w:cs="仿宋_GB2312"/>
          <w:sz w:val="32"/>
          <w:szCs w:val="32"/>
          <w:lang w:eastAsia="zh-CN"/>
        </w:rPr>
        <w:t>和党的十九大精神</w:t>
      </w:r>
      <w:r>
        <w:rPr>
          <w:rFonts w:hint="eastAsia" w:hAnsi="仿宋_GB2312" w:cs="仿宋_GB2312"/>
          <w:sz w:val="32"/>
          <w:szCs w:val="32"/>
        </w:rPr>
        <w:t>。积极主动地参与全民学习、终身学习的学习型社会建设，为全社会搭建前沿学习平台，构建克州终身教育体系和学习型社会的</w:t>
      </w:r>
      <w:r>
        <w:rPr>
          <w:rFonts w:hint="eastAsia" w:hAnsi="仿宋_GB2312" w:cs="仿宋_GB2312"/>
          <w:sz w:val="32"/>
          <w:szCs w:val="32"/>
          <w:lang w:eastAsia="zh-CN"/>
        </w:rPr>
        <w:t>学习</w:t>
      </w:r>
      <w:r>
        <w:rPr>
          <w:rFonts w:hint="eastAsia" w:hAnsi="仿宋_GB2312" w:cs="仿宋_GB2312"/>
          <w:sz w:val="32"/>
          <w:szCs w:val="32"/>
        </w:rPr>
        <w:t>中心。以立德树人为根本任务，以提升质量为核心。坚持“教学工作的中心地位，教学改革的核心地位，教学投入的优先地位，教学质量的首要地位”。根据社会的需要，培养基层用得上、留得住、养得起的应用性人才作为教育培养目标。</w:t>
      </w:r>
    </w:p>
    <w:p>
      <w:pPr>
        <w:widowControl/>
        <w:spacing w:line="560" w:lineRule="exact"/>
        <w:ind w:firstLine="640"/>
        <w:jc w:val="left"/>
        <w:rPr>
          <w:rFonts w:ascii="仿宋_GB2312" w:hAnsi="宋体" w:eastAsia="仿宋_GB2312"/>
          <w:kern w:val="0"/>
          <w:sz w:val="32"/>
          <w:szCs w:val="32"/>
        </w:rPr>
      </w:pPr>
      <w:r>
        <w:rPr>
          <w:rFonts w:hint="eastAsia" w:ascii="仿宋_GB2312" w:hAnsi="宋体" w:eastAsia="仿宋_GB2312"/>
          <w:kern w:val="0"/>
          <w:sz w:val="32"/>
          <w:szCs w:val="32"/>
        </w:rPr>
        <w:t>克孜勒苏广播电视大学无下属预算单位，下设5个处室，分别是：办公室、教务科、学生科，总务科、计算机网络中心。</w:t>
      </w:r>
    </w:p>
    <w:p>
      <w:pPr>
        <w:widowControl/>
        <w:numPr>
          <w:ilvl w:val="0"/>
          <w:numId w:val="1"/>
        </w:numPr>
        <w:spacing w:line="560" w:lineRule="exact"/>
        <w:jc w:val="left"/>
        <w:rPr>
          <w:rFonts w:hint="eastAsia" w:ascii="黑体" w:hAnsi="黑体" w:eastAsia="黑体" w:cs="宋体"/>
          <w:bCs/>
          <w:kern w:val="0"/>
          <w:sz w:val="32"/>
          <w:szCs w:val="32"/>
        </w:rPr>
      </w:pPr>
      <w:r>
        <w:rPr>
          <w:rFonts w:hint="eastAsia" w:ascii="黑体" w:hAnsi="黑体" w:eastAsia="黑体" w:cs="宋体"/>
          <w:bCs/>
          <w:kern w:val="0"/>
          <w:sz w:val="32"/>
          <w:szCs w:val="32"/>
        </w:rPr>
        <w:t>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kern w:val="0"/>
          <w:sz w:val="32"/>
          <w:szCs w:val="32"/>
        </w:rPr>
        <w:t>克孜勒苏广播电视大学</w:t>
      </w:r>
      <w:r>
        <w:rPr>
          <w:rFonts w:hint="eastAsia" w:ascii="仿宋_GB2312" w:hAnsi="黑体" w:eastAsia="仿宋_GB2312" w:cs="宋体"/>
          <w:bCs/>
          <w:kern w:val="0"/>
          <w:sz w:val="32"/>
          <w:szCs w:val="32"/>
        </w:rPr>
        <w:t>单位无下属预算单位，下设5个处室，分别是：办公室、教务科、学生科，总务科、计算机网络中心</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克孜勒苏广播电视大学</w:t>
      </w:r>
      <w:r>
        <w:rPr>
          <w:rFonts w:hint="eastAsia" w:ascii="仿宋_GB2312" w:hAnsi="宋体" w:eastAsia="仿宋_GB2312" w:cs="宋体"/>
          <w:kern w:val="0"/>
          <w:sz w:val="32"/>
          <w:szCs w:val="32"/>
        </w:rPr>
        <w:t>单位编制数50，实有人数70人，其中：在职47人，增加3人，减少0人； 退休23人，增加0人；离休0人，增加0人。</w:t>
      </w:r>
    </w:p>
    <w:p/>
    <w:p>
      <w:pPr>
        <w:widowControl/>
        <w:spacing w:line="560" w:lineRule="exact"/>
        <w:jc w:val="left"/>
        <w:rPr>
          <w:rFonts w:ascii="仿宋_GB2312" w:hAnsi="宋体" w:eastAsia="仿宋_GB2312" w:cs="宋体"/>
          <w:color w:val="FF0000"/>
          <w:kern w:val="0"/>
          <w:sz w:val="32"/>
          <w:szCs w:val="32"/>
        </w:rPr>
      </w:pPr>
    </w:p>
    <w:p>
      <w:pPr>
        <w:rPr>
          <w:rFonts w:ascii="黑体" w:hAnsi="黑体" w:eastAsia="黑体"/>
          <w:kern w:val="0"/>
          <w:sz w:val="32"/>
          <w:szCs w:val="32"/>
        </w:rPr>
      </w:pPr>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rPr>
          <w:rFonts w:hint="eastAsia"/>
        </w:rPr>
      </w:pPr>
    </w:p>
    <w:p>
      <w:pPr>
        <w:pStyle w:val="2"/>
        <w:ind w:firstLine="640"/>
      </w:pPr>
    </w:p>
    <w:p/>
    <w:p>
      <w:pPr>
        <w:pStyle w:val="2"/>
        <w:ind w:firstLine="640"/>
      </w:pPr>
    </w:p>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center"/>
        <w:outlineLvl w:val="1"/>
        <w:rPr>
          <w:rFonts w:hint="eastAsia" w:ascii="仿宋_GB2312" w:hAnsi="宋体" w:eastAsia="仿宋_GB2312"/>
          <w:kern w:val="0"/>
          <w:sz w:val="24"/>
        </w:rPr>
      </w:pPr>
      <w:r>
        <w:rPr>
          <w:rFonts w:hint="eastAsia" w:ascii="仿宋_GB2312" w:hAnsi="宋体" w:eastAsia="仿宋_GB2312"/>
          <w:kern w:val="0"/>
          <w:sz w:val="24"/>
        </w:rPr>
        <w:t>编制部门：克孜勒苏广播电视大学                        单位：万元</w:t>
      </w:r>
    </w:p>
    <w:tbl>
      <w:tblPr>
        <w:tblStyle w:val="8"/>
        <w:tblW w:w="8284" w:type="dxa"/>
        <w:jc w:val="center"/>
        <w:shd w:val="clear" w:color="auto" w:fill="auto"/>
        <w:tblLayout w:type="fixed"/>
        <w:tblCellMar>
          <w:top w:w="0" w:type="dxa"/>
          <w:left w:w="0" w:type="dxa"/>
          <w:bottom w:w="0" w:type="dxa"/>
          <w:right w:w="0" w:type="dxa"/>
        </w:tblCellMar>
      </w:tblPr>
      <w:tblGrid>
        <w:gridCol w:w="3838"/>
        <w:gridCol w:w="996"/>
        <w:gridCol w:w="2409"/>
        <w:gridCol w:w="1041"/>
      </w:tblGrid>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收入</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一、财政拨款（补助）</w:t>
            </w: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988.96</w:t>
            </w: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 一般公共服务支出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988.96</w:t>
            </w: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 外交支出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w:t>
            </w:r>
          </w:p>
        </w:tc>
        <w:tc>
          <w:tcPr>
            <w:tcW w:w="9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 国防支出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国有资本经营预算</w:t>
            </w:r>
          </w:p>
        </w:tc>
        <w:tc>
          <w:tcPr>
            <w:tcW w:w="9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 公共安全支出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教育收费（财政专户）</w:t>
            </w:r>
          </w:p>
        </w:tc>
        <w:tc>
          <w:tcPr>
            <w:tcW w:w="9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 教育支出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1,055.96</w:t>
            </w: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9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 科学技术支出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上级补助收入</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 文化体育与传媒支出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事业单位经营收入</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 社会保障和就业支出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单位其他资金收入</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 社会保险基金支出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上级专项收入</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 卫生健康支出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用事业基金弥补收支差额</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 节能环保支出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 城乡社区支出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 农林水支出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 交通运输支出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215 资源勘探工业信息等支出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 商业服务业等支出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 金融支出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 援助其他地区支出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 自然资源海洋气象等支出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 住房保障支出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 粮油物资管理支出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 国有资本经营预算支出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 灾害防治及应急管理支出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 预备费</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 其他支出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230 转移性支出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231 债务还本支出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232 债务付息支出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233 债务发行费支出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234 抗疫特别国债安排的支出</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单位上年结余（不包含国库集中支付额度结余）</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w:t>
            </w: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3" w:hRule="exact"/>
          <w:jc w:val="center"/>
        </w:trPr>
        <w:tc>
          <w:tcPr>
            <w:tcW w:w="38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      入      总      计</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1,055.96</w:t>
            </w:r>
          </w:p>
        </w:tc>
        <w:tc>
          <w:tcPr>
            <w:tcW w:w="2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   出  总   计</w:t>
            </w: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1,055.96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center"/>
        <w:outlineLvl w:val="1"/>
        <w:rPr>
          <w:rFonts w:ascii="仿宋_GB2312" w:hAnsi="宋体" w:eastAsia="仿宋_GB2312"/>
          <w:kern w:val="0"/>
          <w:sz w:val="24"/>
        </w:rPr>
      </w:pPr>
      <w:r>
        <w:rPr>
          <w:rFonts w:hint="eastAsia" w:ascii="仿宋_GB2312" w:hAnsi="宋体" w:eastAsia="仿宋_GB2312"/>
          <w:kern w:val="0"/>
          <w:sz w:val="24"/>
        </w:rPr>
        <w:t>编制部门：克孜勒苏广播电视大学                        单位：万元</w:t>
      </w:r>
    </w:p>
    <w:tbl>
      <w:tblPr>
        <w:tblStyle w:val="8"/>
        <w:tblpPr w:leftFromText="180" w:rightFromText="180" w:vertAnchor="text" w:horzAnchor="page" w:tblpXSpec="center" w:tblpY="304"/>
        <w:tblOverlap w:val="never"/>
        <w:tblW w:w="9072" w:type="dxa"/>
        <w:jc w:val="center"/>
        <w:tblLayout w:type="fixed"/>
        <w:tblCellMar>
          <w:top w:w="0" w:type="dxa"/>
          <w:left w:w="0" w:type="dxa"/>
          <w:bottom w:w="0" w:type="dxa"/>
          <w:right w:w="0" w:type="dxa"/>
        </w:tblCellMar>
      </w:tblPr>
      <w:tblGrid>
        <w:gridCol w:w="567"/>
        <w:gridCol w:w="567"/>
        <w:gridCol w:w="567"/>
        <w:gridCol w:w="567"/>
        <w:gridCol w:w="956"/>
        <w:gridCol w:w="765"/>
        <w:gridCol w:w="270"/>
        <w:gridCol w:w="277"/>
        <w:gridCol w:w="567"/>
        <w:gridCol w:w="567"/>
        <w:gridCol w:w="567"/>
        <w:gridCol w:w="567"/>
        <w:gridCol w:w="567"/>
        <w:gridCol w:w="567"/>
        <w:gridCol w:w="567"/>
        <w:gridCol w:w="567"/>
      </w:tblGrid>
      <w:tr>
        <w:tblPrEx>
          <w:tblCellMar>
            <w:top w:w="0" w:type="dxa"/>
            <w:left w:w="0" w:type="dxa"/>
            <w:bottom w:w="0" w:type="dxa"/>
            <w:right w:w="0" w:type="dxa"/>
          </w:tblCellMar>
        </w:tblPrEx>
        <w:trPr>
          <w:trHeight w:val="750" w:hRule="atLeast"/>
          <w:jc w:val="center"/>
        </w:trPr>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功能分类科目编码</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功能分类科目名称</w:t>
            </w:r>
          </w:p>
        </w:tc>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总计</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一般公共预算拨款</w:t>
            </w:r>
          </w:p>
        </w:tc>
        <w:tc>
          <w:tcPr>
            <w:tcW w:w="2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政府性基金预算拨款</w:t>
            </w:r>
          </w:p>
        </w:tc>
        <w:tc>
          <w:tcPr>
            <w:tcW w:w="2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国有资本经营预算</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教育收费（财政专户）</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事业收入</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上级补助收入</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事业单位经营收入</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单位其他资金收入</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上级专项收入</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用事业基金弥补收支差额</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单位上年结余（不包含国库集中支付额度结余）</w:t>
            </w:r>
          </w:p>
        </w:tc>
      </w:tr>
      <w:tr>
        <w:tblPrEx>
          <w:tblCellMar>
            <w:top w:w="0" w:type="dxa"/>
            <w:left w:w="0" w:type="dxa"/>
            <w:bottom w:w="0" w:type="dxa"/>
            <w:right w:w="0" w:type="dxa"/>
          </w:tblCellMar>
        </w:tblPrEx>
        <w:trPr>
          <w:trHeight w:val="75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73"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205</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教育支出</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1,055.96</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988.96</w:t>
            </w:r>
          </w:p>
        </w:tc>
        <w:tc>
          <w:tcPr>
            <w:tcW w:w="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12.00</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55.00</w:t>
            </w:r>
          </w:p>
        </w:tc>
      </w:tr>
      <w:tr>
        <w:tblPrEx>
          <w:tblCellMar>
            <w:top w:w="0" w:type="dxa"/>
            <w:left w:w="0" w:type="dxa"/>
            <w:bottom w:w="0" w:type="dxa"/>
            <w:right w:w="0" w:type="dxa"/>
          </w:tblCellMar>
        </w:tblPrEx>
        <w:trPr>
          <w:trHeight w:val="24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205</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05</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广播电视教育</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1,055.96</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988.96</w:t>
            </w:r>
          </w:p>
        </w:tc>
        <w:tc>
          <w:tcPr>
            <w:tcW w:w="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12.00</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55.00</w:t>
            </w:r>
          </w:p>
        </w:tc>
      </w:tr>
      <w:tr>
        <w:tblPrEx>
          <w:tblCellMar>
            <w:top w:w="0" w:type="dxa"/>
            <w:left w:w="0" w:type="dxa"/>
            <w:bottom w:w="0" w:type="dxa"/>
            <w:right w:w="0" w:type="dxa"/>
          </w:tblCellMar>
        </w:tblPrEx>
        <w:trPr>
          <w:trHeight w:val="24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205</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05</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01</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广播电视学校</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1,055.96</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988.96</w:t>
            </w:r>
          </w:p>
        </w:tc>
        <w:tc>
          <w:tcPr>
            <w:tcW w:w="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12.00</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55.00</w:t>
            </w:r>
          </w:p>
        </w:tc>
      </w:tr>
      <w:tr>
        <w:tblPrEx>
          <w:tblCellMar>
            <w:top w:w="0" w:type="dxa"/>
            <w:left w:w="0" w:type="dxa"/>
            <w:bottom w:w="0" w:type="dxa"/>
            <w:right w:w="0" w:type="dxa"/>
          </w:tblCellMar>
        </w:tblPrEx>
        <w:trPr>
          <w:trHeight w:val="709"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0"/>
                <w:szCs w:val="20"/>
                <w:lang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0"/>
                <w:szCs w:val="20"/>
                <w:lang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0"/>
                <w:szCs w:val="20"/>
                <w:lang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合计</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1,055.96</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988.96</w:t>
            </w:r>
          </w:p>
        </w:tc>
        <w:tc>
          <w:tcPr>
            <w:tcW w:w="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2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12.00</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55.00</w:t>
            </w:r>
          </w:p>
        </w:tc>
      </w:tr>
    </w:tbl>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   </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pStyle w:val="2"/>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编制部门：克孜勒苏广播电视大学                         单位：万元</w:t>
      </w:r>
    </w:p>
    <w:tbl>
      <w:tblPr>
        <w:tblStyle w:val="8"/>
        <w:tblW w:w="7647" w:type="dxa"/>
        <w:jc w:val="center"/>
        <w:tblLayout w:type="fixed"/>
        <w:tblCellMar>
          <w:top w:w="0" w:type="dxa"/>
          <w:left w:w="0" w:type="dxa"/>
          <w:bottom w:w="0" w:type="dxa"/>
          <w:right w:w="0" w:type="dxa"/>
        </w:tblCellMar>
      </w:tblPr>
      <w:tblGrid>
        <w:gridCol w:w="1347"/>
        <w:gridCol w:w="1020"/>
        <w:gridCol w:w="1065"/>
        <w:gridCol w:w="1290"/>
        <w:gridCol w:w="1095"/>
        <w:gridCol w:w="900"/>
        <w:gridCol w:w="930"/>
      </w:tblGrid>
      <w:tr>
        <w:tblPrEx>
          <w:tblCellMar>
            <w:top w:w="0" w:type="dxa"/>
            <w:left w:w="0" w:type="dxa"/>
            <w:bottom w:w="0" w:type="dxa"/>
            <w:right w:w="0" w:type="dxa"/>
          </w:tblCellMar>
        </w:tblPrEx>
        <w:trPr>
          <w:trHeight w:val="360" w:hRule="atLeast"/>
          <w:jc w:val="center"/>
        </w:trPr>
        <w:tc>
          <w:tcPr>
            <w:tcW w:w="47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18"/>
                <w:szCs w:val="18"/>
                <w:lang w:bidi="ar"/>
              </w:rPr>
              <w:t>项目</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支出预算</w:t>
            </w:r>
          </w:p>
        </w:tc>
      </w:tr>
      <w:tr>
        <w:tblPrEx>
          <w:tblCellMar>
            <w:top w:w="0" w:type="dxa"/>
            <w:left w:w="0" w:type="dxa"/>
            <w:bottom w:w="0" w:type="dxa"/>
            <w:right w:w="0" w:type="dxa"/>
          </w:tblCellMar>
        </w:tblPrEx>
        <w:trPr>
          <w:trHeight w:val="360" w:hRule="atLeast"/>
          <w:jc w:val="center"/>
        </w:trPr>
        <w:tc>
          <w:tcPr>
            <w:tcW w:w="34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功能分类科目编码</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功能分类科目名称</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      计</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基本支出</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项目支出</w:t>
            </w:r>
          </w:p>
        </w:tc>
      </w:tr>
      <w:tr>
        <w:tblPrEx>
          <w:tblCellMar>
            <w:top w:w="0" w:type="dxa"/>
            <w:left w:w="0" w:type="dxa"/>
            <w:bottom w:w="0" w:type="dxa"/>
            <w:right w:w="0" w:type="dxa"/>
          </w:tblCellMar>
        </w:tblPrEx>
        <w:trPr>
          <w:trHeight w:val="360" w:hRule="atLeast"/>
          <w:jc w:val="center"/>
        </w:trPr>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285" w:hRule="atLeast"/>
          <w:jc w:val="center"/>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67" w:hRule="exact"/>
          <w:jc w:val="center"/>
        </w:trPr>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205</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教育支出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1,055.96</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726.96</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329.00</w:t>
            </w:r>
          </w:p>
        </w:tc>
      </w:tr>
      <w:tr>
        <w:tblPrEx>
          <w:tblCellMar>
            <w:top w:w="0" w:type="dxa"/>
            <w:left w:w="0" w:type="dxa"/>
            <w:bottom w:w="0" w:type="dxa"/>
            <w:right w:w="0" w:type="dxa"/>
          </w:tblCellMar>
        </w:tblPrEx>
        <w:trPr>
          <w:trHeight w:val="567" w:hRule="exact"/>
          <w:jc w:val="center"/>
        </w:trPr>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205</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广播电视教育</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1,055.96</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726.96</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329.00</w:t>
            </w:r>
          </w:p>
        </w:tc>
      </w:tr>
      <w:tr>
        <w:tblPrEx>
          <w:tblCellMar>
            <w:top w:w="0" w:type="dxa"/>
            <w:left w:w="0" w:type="dxa"/>
            <w:bottom w:w="0" w:type="dxa"/>
            <w:right w:w="0" w:type="dxa"/>
          </w:tblCellMar>
        </w:tblPrEx>
        <w:trPr>
          <w:trHeight w:val="567" w:hRule="exact"/>
          <w:jc w:val="center"/>
        </w:trPr>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205</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01</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广播电视学校</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1,055.96</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726.96</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329.00</w:t>
            </w:r>
          </w:p>
        </w:tc>
      </w:tr>
      <w:tr>
        <w:tblPrEx>
          <w:tblCellMar>
            <w:top w:w="0" w:type="dxa"/>
            <w:left w:w="0" w:type="dxa"/>
            <w:bottom w:w="0" w:type="dxa"/>
            <w:right w:w="0" w:type="dxa"/>
          </w:tblCellMar>
        </w:tblPrEx>
        <w:trPr>
          <w:trHeight w:val="567" w:hRule="exact"/>
          <w:jc w:val="center"/>
        </w:trPr>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18"/>
                <w:szCs w:val="18"/>
                <w:lang w:bidi="ar"/>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18"/>
                <w:szCs w:val="18"/>
                <w:lang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18"/>
                <w:szCs w:val="18"/>
                <w:lang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合计</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1,055.96</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726.96</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329.00</w:t>
            </w:r>
          </w:p>
        </w:tc>
      </w:tr>
    </w:tbl>
    <w:p>
      <w:pPr>
        <w:pStyle w:val="2"/>
        <w:ind w:firstLine="640"/>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pStyle w:val="2"/>
        <w:rPr>
          <w:rFonts w:ascii="仿宋_GB2312" w:hAnsi="宋体" w:eastAsia="仿宋_GB2312"/>
          <w:b/>
          <w:kern w:val="0"/>
          <w:sz w:val="32"/>
          <w:szCs w:val="32"/>
        </w:rPr>
      </w:pPr>
    </w:p>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hint="eastAsia"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8"/>
          <w:szCs w:val="28"/>
        </w:rPr>
        <w:t xml:space="preserve"> </w:t>
      </w:r>
      <w:r>
        <w:rPr>
          <w:rFonts w:hint="eastAsia" w:ascii="仿宋_GB2312" w:hAnsi="宋体" w:eastAsia="仿宋_GB2312"/>
          <w:kern w:val="0"/>
          <w:sz w:val="24"/>
        </w:rPr>
        <w:t>克孜勒苏广播电视大学</w:t>
      </w:r>
      <w:r>
        <w:rPr>
          <w:rFonts w:hint="eastAsia" w:ascii="仿宋_GB2312" w:hAnsi="宋体" w:eastAsia="仿宋_GB2312"/>
          <w:kern w:val="0"/>
          <w:sz w:val="28"/>
          <w:szCs w:val="28"/>
        </w:rPr>
        <w:t xml:space="preserve">                          </w:t>
      </w:r>
      <w:r>
        <w:rPr>
          <w:rFonts w:hint="eastAsia" w:ascii="仿宋_GB2312" w:hAnsi="宋体" w:eastAsia="仿宋_GB2312"/>
          <w:kern w:val="0"/>
          <w:sz w:val="24"/>
        </w:rPr>
        <w:t>单位：万元</w:t>
      </w:r>
    </w:p>
    <w:tbl>
      <w:tblPr>
        <w:tblStyle w:val="8"/>
        <w:tblW w:w="9305" w:type="dxa"/>
        <w:jc w:val="center"/>
        <w:shd w:val="clear" w:color="auto" w:fill="auto"/>
        <w:tblLayout w:type="fixed"/>
        <w:tblCellMar>
          <w:top w:w="0" w:type="dxa"/>
          <w:left w:w="0" w:type="dxa"/>
          <w:bottom w:w="0" w:type="dxa"/>
          <w:right w:w="0" w:type="dxa"/>
        </w:tblCellMar>
      </w:tblPr>
      <w:tblGrid>
        <w:gridCol w:w="2743"/>
        <w:gridCol w:w="768"/>
        <w:gridCol w:w="2772"/>
        <w:gridCol w:w="765"/>
        <w:gridCol w:w="690"/>
        <w:gridCol w:w="720"/>
        <w:gridCol w:w="847"/>
      </w:tblGrid>
      <w:tr>
        <w:tblPrEx>
          <w:shd w:val="clear" w:color="auto" w:fill="auto"/>
          <w:tblCellMar>
            <w:top w:w="0" w:type="dxa"/>
            <w:left w:w="0" w:type="dxa"/>
            <w:bottom w:w="0" w:type="dxa"/>
            <w:right w:w="0" w:type="dxa"/>
          </w:tblCellMar>
        </w:tblPrEx>
        <w:trPr>
          <w:trHeight w:val="283" w:hRule="atLeast"/>
          <w:jc w:val="center"/>
        </w:trPr>
        <w:tc>
          <w:tcPr>
            <w:tcW w:w="3511" w:type="dxa"/>
            <w:gridSpan w:val="2"/>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财政拨款收入</w:t>
            </w:r>
          </w:p>
        </w:tc>
        <w:tc>
          <w:tcPr>
            <w:tcW w:w="5794"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财政拨款支出</w:t>
            </w:r>
          </w:p>
        </w:tc>
      </w:tr>
      <w:tr>
        <w:tblPrEx>
          <w:shd w:val="clear" w:color="auto" w:fill="auto"/>
          <w:tblCellMar>
            <w:top w:w="0" w:type="dxa"/>
            <w:left w:w="0" w:type="dxa"/>
            <w:bottom w:w="0" w:type="dxa"/>
            <w:right w:w="0" w:type="dxa"/>
          </w:tblCellMar>
        </w:tblPrEx>
        <w:trPr>
          <w:trHeight w:val="360" w:hRule="atLeast"/>
          <w:jc w:val="center"/>
        </w:trPr>
        <w:tc>
          <w:tcPr>
            <w:tcW w:w="27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277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w:t>
            </w:r>
          </w:p>
        </w:tc>
        <w:tc>
          <w:tcPr>
            <w:tcW w:w="76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69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w:t>
            </w:r>
          </w:p>
        </w:tc>
        <w:tc>
          <w:tcPr>
            <w:tcW w:w="72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w:t>
            </w:r>
          </w:p>
        </w:tc>
        <w:tc>
          <w:tcPr>
            <w:tcW w:w="847"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国有资本经营预算</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一、财政拨款（补助）</w:t>
            </w: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988.96</w:t>
            </w: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 一般公共服务支出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988.96</w:t>
            </w: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 外交支出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w:t>
            </w:r>
          </w:p>
        </w:tc>
        <w:tc>
          <w:tcPr>
            <w:tcW w:w="768"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 国防支出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 公共安全支出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 教育支出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988.96</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988.96</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 科学技术支出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 文化旅游体育与传媒支出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 社会保障和就业支出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 社会保险基金支出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 卫生健康支出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 节能环保支出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 城乡社区支出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 农林水支出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 交通运输支出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215 资源勘探工业信息等支出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 商业服务业等支出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 金融支出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 援助其他地区支出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 自然资源海洋气象等支出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 住房保障支出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 粮油物资管理支出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 国有资本经营预算支出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 灾害防治及应急管理支出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 预备费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 其他支出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230 转移性支出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shd w:val="clear" w:color="auto" w:fill="auto"/>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231 债务还本支出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232 债务付息支出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233 债务发行费支出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tblCellMar>
            <w:top w:w="0" w:type="dxa"/>
            <w:left w:w="0" w:type="dxa"/>
            <w:bottom w:w="0" w:type="dxa"/>
            <w:right w:w="0" w:type="dxa"/>
          </w:tblCellMar>
        </w:tblPrEx>
        <w:trPr>
          <w:trHeight w:val="289"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234 抗疫特别国债安排的支出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jc w:val="center"/>
        </w:trPr>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单位上年结余（不包含国库集中支付额度结余）</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w:t>
            </w: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r>
        <w:tblPrEx>
          <w:tblCellMar>
            <w:top w:w="0" w:type="dxa"/>
            <w:left w:w="0" w:type="dxa"/>
            <w:bottom w:w="0" w:type="dxa"/>
            <w:right w:w="0" w:type="dxa"/>
          </w:tblCellMar>
        </w:tblPrEx>
        <w:trPr>
          <w:trHeight w:val="283" w:hRule="atLeast"/>
          <w:jc w:val="center"/>
        </w:trPr>
        <w:tc>
          <w:tcPr>
            <w:tcW w:w="27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      入      总      计</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988.96</w:t>
            </w:r>
          </w:p>
        </w:tc>
        <w:tc>
          <w:tcPr>
            <w:tcW w:w="2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   出  总   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988.96</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988.96</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7"/>
                <w:lang w:val="en-US" w:eastAsia="zh-CN" w:bidi="ar"/>
              </w:rPr>
              <w:t>.00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p>
      <w:pPr>
        <w:pStyle w:val="2"/>
        <w:ind w:firstLine="643"/>
        <w:jc w:val="center"/>
        <w:rPr>
          <w:rFonts w:ascii="仿宋_GB2312" w:hAnsi="宋体" w:eastAsia="仿宋_GB2312" w:cs="Times New Roman"/>
          <w:b/>
          <w:color w:val="auto"/>
          <w:kern w:val="0"/>
        </w:rPr>
      </w:pPr>
      <w:r>
        <w:rPr>
          <w:rFonts w:hint="eastAsia" w:ascii="仿宋_GB2312" w:hAnsi="宋体" w:eastAsia="仿宋_GB2312" w:cs="Times New Roman"/>
          <w:b/>
          <w:color w:val="auto"/>
          <w:kern w:val="0"/>
        </w:rPr>
        <w:t>一般公共预算支出情况表</w:t>
      </w:r>
    </w:p>
    <w:p>
      <w:pPr>
        <w:widowControl/>
        <w:spacing w:before="120" w:beforeLines="50"/>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8"/>
          <w:szCs w:val="28"/>
        </w:rPr>
        <w:t xml:space="preserve"> </w:t>
      </w:r>
      <w:r>
        <w:rPr>
          <w:rFonts w:hint="eastAsia" w:ascii="仿宋_GB2312" w:hAnsi="宋体" w:eastAsia="仿宋_GB2312"/>
          <w:kern w:val="0"/>
          <w:sz w:val="24"/>
        </w:rPr>
        <w:t>克孜勒苏广播电视大学</w:t>
      </w:r>
      <w:r>
        <w:rPr>
          <w:rFonts w:hint="eastAsia" w:ascii="仿宋_GB2312" w:hAnsi="宋体" w:eastAsia="仿宋_GB2312"/>
          <w:kern w:val="0"/>
          <w:sz w:val="28"/>
          <w:szCs w:val="28"/>
        </w:rPr>
        <w:t xml:space="preserve">                       </w:t>
      </w:r>
      <w:r>
        <w:rPr>
          <w:rFonts w:hint="eastAsia" w:ascii="仿宋_GB2312" w:hAnsi="宋体" w:eastAsia="仿宋_GB2312"/>
          <w:kern w:val="0"/>
          <w:sz w:val="24"/>
        </w:rPr>
        <w:t>单位：万元</w:t>
      </w:r>
    </w:p>
    <w:tbl>
      <w:tblPr>
        <w:tblStyle w:val="8"/>
        <w:tblpPr w:leftFromText="180" w:rightFromText="180" w:vertAnchor="text" w:horzAnchor="page" w:tblpX="1797" w:tblpY="39"/>
        <w:tblOverlap w:val="never"/>
        <w:tblW w:w="8516" w:type="dxa"/>
        <w:tblInd w:w="0" w:type="dxa"/>
        <w:tblLayout w:type="fixed"/>
        <w:tblCellMar>
          <w:top w:w="0" w:type="dxa"/>
          <w:left w:w="0" w:type="dxa"/>
          <w:bottom w:w="0" w:type="dxa"/>
          <w:right w:w="0" w:type="dxa"/>
        </w:tblCellMar>
      </w:tblPr>
      <w:tblGrid>
        <w:gridCol w:w="1630"/>
        <w:gridCol w:w="540"/>
        <w:gridCol w:w="540"/>
        <w:gridCol w:w="1876"/>
        <w:gridCol w:w="1770"/>
        <w:gridCol w:w="1170"/>
        <w:gridCol w:w="990"/>
      </w:tblGrid>
      <w:tr>
        <w:tblPrEx>
          <w:tblCellMar>
            <w:top w:w="0" w:type="dxa"/>
            <w:left w:w="0" w:type="dxa"/>
            <w:bottom w:w="0" w:type="dxa"/>
            <w:right w:w="0" w:type="dxa"/>
          </w:tblCellMar>
        </w:tblPrEx>
        <w:trPr>
          <w:trHeight w:val="567" w:hRule="exact"/>
        </w:trPr>
        <w:tc>
          <w:tcPr>
            <w:tcW w:w="45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18"/>
                <w:szCs w:val="18"/>
                <w:lang w:bidi="ar"/>
              </w:rPr>
              <w:t>项目</w:t>
            </w:r>
          </w:p>
        </w:tc>
        <w:tc>
          <w:tcPr>
            <w:tcW w:w="39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一般公共预算支出</w:t>
            </w:r>
          </w:p>
        </w:tc>
      </w:tr>
      <w:tr>
        <w:tblPrEx>
          <w:tblCellMar>
            <w:top w:w="0" w:type="dxa"/>
            <w:left w:w="0" w:type="dxa"/>
            <w:bottom w:w="0" w:type="dxa"/>
            <w:right w:w="0" w:type="dxa"/>
          </w:tblCellMar>
        </w:tblPrEx>
        <w:trPr>
          <w:trHeight w:val="567" w:hRule="exact"/>
        </w:trPr>
        <w:tc>
          <w:tcPr>
            <w:tcW w:w="27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功能分类科目编码</w:t>
            </w:r>
          </w:p>
        </w:tc>
        <w:tc>
          <w:tcPr>
            <w:tcW w:w="18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功能分类科目名称</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基本支出</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项目支出</w:t>
            </w:r>
          </w:p>
        </w:tc>
      </w:tr>
      <w:tr>
        <w:tblPrEx>
          <w:tblCellMar>
            <w:top w:w="0" w:type="dxa"/>
            <w:left w:w="0" w:type="dxa"/>
            <w:bottom w:w="0" w:type="dxa"/>
            <w:right w:w="0" w:type="dxa"/>
          </w:tblCellMar>
        </w:tblPrEx>
        <w:trPr>
          <w:trHeight w:val="567" w:hRule="exact"/>
        </w:trPr>
        <w:tc>
          <w:tcPr>
            <w:tcW w:w="1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67" w:hRule="exact"/>
        </w:trPr>
        <w:tc>
          <w:tcPr>
            <w:tcW w:w="1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67" w:hRule="exac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205</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1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教育支出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988.96</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726.96</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262.00</w:t>
            </w:r>
          </w:p>
        </w:tc>
      </w:tr>
      <w:tr>
        <w:tblPrEx>
          <w:tblCellMar>
            <w:top w:w="0" w:type="dxa"/>
            <w:left w:w="0" w:type="dxa"/>
            <w:bottom w:w="0" w:type="dxa"/>
            <w:right w:w="0" w:type="dxa"/>
          </w:tblCellMar>
        </w:tblPrEx>
        <w:trPr>
          <w:trHeight w:val="567" w:hRule="exac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205</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1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广播电视教育支出</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988.96</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726.96</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262.00</w:t>
            </w:r>
          </w:p>
        </w:tc>
      </w:tr>
      <w:tr>
        <w:tblPrEx>
          <w:tblCellMar>
            <w:top w:w="0" w:type="dxa"/>
            <w:left w:w="0" w:type="dxa"/>
            <w:bottom w:w="0" w:type="dxa"/>
            <w:right w:w="0" w:type="dxa"/>
          </w:tblCellMar>
        </w:tblPrEx>
        <w:trPr>
          <w:trHeight w:val="567" w:hRule="exac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205</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01</w:t>
            </w:r>
          </w:p>
        </w:tc>
        <w:tc>
          <w:tcPr>
            <w:tcW w:w="1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广播电视学校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988.96</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726.96</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262.00</w:t>
            </w:r>
          </w:p>
        </w:tc>
      </w:tr>
      <w:tr>
        <w:tblPrEx>
          <w:tblCellMar>
            <w:top w:w="0" w:type="dxa"/>
            <w:left w:w="0" w:type="dxa"/>
            <w:bottom w:w="0" w:type="dxa"/>
            <w:right w:w="0" w:type="dxa"/>
          </w:tblCellMar>
        </w:tblPrEx>
        <w:trPr>
          <w:trHeight w:val="567" w:hRule="exac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18"/>
                <w:szCs w:val="18"/>
                <w:lang w:bidi="ar"/>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18"/>
                <w:szCs w:val="18"/>
                <w:lang w:bidi="ar"/>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18"/>
                <w:szCs w:val="18"/>
                <w:lang w:bidi="ar"/>
              </w:rPr>
            </w:pPr>
          </w:p>
        </w:tc>
        <w:tc>
          <w:tcPr>
            <w:tcW w:w="1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合</w:t>
            </w:r>
            <w:r>
              <w:rPr>
                <w:rFonts w:hint="eastAsia" w:ascii="宋体" w:hAnsi="宋体" w:cs="宋体"/>
                <w:color w:val="000000"/>
                <w:kern w:val="0"/>
                <w:sz w:val="18"/>
                <w:szCs w:val="18"/>
                <w:lang w:val="en-US" w:eastAsia="zh-CN" w:bidi="ar"/>
              </w:rPr>
              <w:t xml:space="preserve">  </w:t>
            </w:r>
            <w:r>
              <w:rPr>
                <w:rFonts w:hint="eastAsia" w:ascii="宋体" w:hAnsi="宋体" w:cs="宋体"/>
                <w:color w:val="000000"/>
                <w:kern w:val="0"/>
                <w:sz w:val="18"/>
                <w:szCs w:val="18"/>
                <w:lang w:bidi="ar"/>
              </w:rPr>
              <w:t>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988.96</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726.96</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262.00</w:t>
            </w:r>
          </w:p>
        </w:tc>
      </w:tr>
    </w:tbl>
    <w:p>
      <w:pPr>
        <w:widowControl/>
        <w:outlineLvl w:val="1"/>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pStyle w:val="2"/>
        <w:rPr>
          <w:rFonts w:ascii="仿宋_GB2312" w:hAnsi="宋体" w:eastAsia="仿宋_GB2312"/>
          <w:b/>
          <w:kern w:val="0"/>
          <w:sz w:val="32"/>
          <w:szCs w:val="32"/>
        </w:rPr>
      </w:pPr>
    </w:p>
    <w:p>
      <w:pPr>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p>
      <w:pPr>
        <w:pStyle w:val="2"/>
        <w:ind w:firstLine="643"/>
        <w:jc w:val="center"/>
        <w:rPr>
          <w:rFonts w:ascii="仿宋_GB2312" w:hAnsi="宋体" w:eastAsia="仿宋_GB2312"/>
          <w:b/>
          <w:kern w:val="0"/>
        </w:rPr>
      </w:pPr>
      <w:r>
        <w:rPr>
          <w:rFonts w:hint="eastAsia" w:ascii="仿宋_GB2312" w:hAnsi="宋体" w:eastAsia="仿宋_GB2312"/>
          <w:b/>
          <w:bCs/>
          <w:color w:val="000000"/>
          <w:kern w:val="0"/>
        </w:rPr>
        <w:t>一般公共预算基本支出情况表</w:t>
      </w:r>
    </w:p>
    <w:p>
      <w:pPr>
        <w:rPr>
          <w:rFonts w:ascii="仿宋_GB2312" w:hAnsi="宋体" w:eastAsia="仿宋_GB2312"/>
          <w:kern w:val="0"/>
          <w:sz w:val="24"/>
        </w:rPr>
      </w:pPr>
      <w:r>
        <w:rPr>
          <w:rFonts w:hint="eastAsia" w:ascii="仿宋_GB2312" w:hAnsi="宋体" w:eastAsia="仿宋_GB2312"/>
          <w:kern w:val="0"/>
          <w:sz w:val="24"/>
        </w:rPr>
        <w:t xml:space="preserve">编制部门：克孜勒苏广播电视大学                                单位：万元    </w:t>
      </w:r>
    </w:p>
    <w:tbl>
      <w:tblPr>
        <w:tblStyle w:val="8"/>
        <w:tblW w:w="9255" w:type="dxa"/>
        <w:jc w:val="center"/>
        <w:tblLayout w:type="fixed"/>
        <w:tblCellMar>
          <w:top w:w="0" w:type="dxa"/>
          <w:left w:w="0" w:type="dxa"/>
          <w:bottom w:w="0" w:type="dxa"/>
          <w:right w:w="0" w:type="dxa"/>
        </w:tblCellMar>
      </w:tblPr>
      <w:tblGrid>
        <w:gridCol w:w="900"/>
        <w:gridCol w:w="900"/>
        <w:gridCol w:w="2355"/>
        <w:gridCol w:w="1800"/>
        <w:gridCol w:w="1650"/>
        <w:gridCol w:w="1650"/>
      </w:tblGrid>
      <w:tr>
        <w:tblPrEx>
          <w:tblCellMar>
            <w:top w:w="0" w:type="dxa"/>
            <w:left w:w="0" w:type="dxa"/>
            <w:bottom w:w="0" w:type="dxa"/>
            <w:right w:w="0" w:type="dxa"/>
          </w:tblCellMar>
        </w:tblPrEx>
        <w:trPr>
          <w:trHeight w:val="360" w:hRule="atLeast"/>
          <w:jc w:val="center"/>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经济分类科目编码</w:t>
            </w:r>
          </w:p>
        </w:tc>
        <w:tc>
          <w:tcPr>
            <w:tcW w:w="23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经济分类科目名称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一般公共预算支出</w:t>
            </w:r>
          </w:p>
        </w:tc>
      </w:tr>
      <w:tr>
        <w:tblPrEx>
          <w:tblCellMar>
            <w:top w:w="0" w:type="dxa"/>
            <w:left w:w="0" w:type="dxa"/>
            <w:bottom w:w="0" w:type="dxa"/>
            <w:right w:w="0" w:type="dxa"/>
          </w:tblCellMar>
        </w:tblPrEx>
        <w:trPr>
          <w:trHeight w:val="360" w:hRule="atLeast"/>
          <w:jc w:val="center"/>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人员经费</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公用经费</w:t>
            </w:r>
          </w:p>
        </w:tc>
      </w:tr>
      <w:tr>
        <w:tblPrEx>
          <w:tblCellMar>
            <w:top w:w="0" w:type="dxa"/>
            <w:left w:w="0" w:type="dxa"/>
            <w:bottom w:w="0" w:type="dxa"/>
            <w:right w:w="0" w:type="dxa"/>
          </w:tblCellMar>
        </w:tblPrEx>
        <w:trPr>
          <w:trHeight w:val="285"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基本工资</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242.11</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242.11</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津贴补贴</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245.29</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245.29</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03</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奖金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20.18</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20.18</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08</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72.75</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72.75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其他社会保障缴费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40.37</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40.37</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51.98</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51.98</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办公费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印刷费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03</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咨询费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04</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手续费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水费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06</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电费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07</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邮电费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08</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取暖费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4.18</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4.18</w:t>
            </w: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差旅费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维修(护)费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16</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培训费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17</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公务接待费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18</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专用材料费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26</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劳务费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27</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委托业务费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28</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工会经费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3.26</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3.26</w:t>
            </w: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福利费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5.87</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5.87</w:t>
            </w: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公务用车运行维护费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其他交通费用</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车辆购置</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办公用品及设备采购</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其他商品和服务支出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退休费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18.18</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18.18</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生活补助</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1.06</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1.06</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09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奖励金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1.87</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1.87</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其他对个人和家庭的补助</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19.88</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19.88</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18"/>
                <w:szCs w:val="18"/>
                <w:lang w:bidi="ar"/>
              </w:rPr>
            </w:pP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18"/>
                <w:szCs w:val="18"/>
                <w:lang w:bidi="ar"/>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合计</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726.96</w:t>
            </w:r>
          </w:p>
        </w:tc>
        <w:tc>
          <w:tcPr>
            <w:tcW w:w="16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713.65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13.31</w:t>
            </w:r>
          </w:p>
        </w:tc>
      </w:tr>
    </w:tbl>
    <w:p>
      <w:pPr>
        <w:rPr>
          <w:rFonts w:ascii="仿宋_GB2312" w:hAnsi="宋体" w:eastAsia="仿宋_GB2312"/>
          <w:b/>
          <w:kern w:val="0"/>
          <w:sz w:val="32"/>
          <w:szCs w:val="32"/>
        </w:rPr>
      </w:pPr>
      <w:r>
        <w:rPr>
          <w:rFonts w:hint="eastAsia" w:ascii="仿宋_GB2312" w:hAnsi="宋体" w:eastAsia="仿宋_GB2312"/>
          <w:b/>
          <w:kern w:val="0"/>
          <w:sz w:val="32"/>
          <w:szCs w:val="32"/>
        </w:rPr>
        <w:t>表七：</w:t>
      </w:r>
    </w:p>
    <w:p>
      <w:pPr>
        <w:pStyle w:val="2"/>
        <w:ind w:firstLine="643"/>
        <w:rPr>
          <w:rFonts w:ascii="仿宋_GB2312" w:hAnsi="宋体" w:eastAsia="仿宋_GB2312"/>
          <w:b/>
          <w:kern w:val="0"/>
        </w:rPr>
      </w:pPr>
    </w:p>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pStyle w:val="2"/>
        <w:ind w:firstLine="480"/>
        <w:rPr>
          <w:rFonts w:ascii="仿宋_GB2312" w:hAnsi="宋体" w:eastAsia="仿宋_GB2312" w:cs="Times New Roman"/>
          <w:color w:val="auto"/>
          <w:kern w:val="0"/>
          <w:sz w:val="24"/>
          <w:szCs w:val="24"/>
        </w:rPr>
      </w:pPr>
    </w:p>
    <w:p>
      <w:pPr>
        <w:pStyle w:val="2"/>
        <w:ind w:firstLine="480"/>
        <w:rPr>
          <w:rFonts w:ascii="仿宋_GB2312" w:hAnsi="宋体" w:eastAsia="仿宋_GB2312" w:cs="Times New Roman"/>
          <w:color w:val="auto"/>
          <w:kern w:val="0"/>
          <w:sz w:val="24"/>
          <w:szCs w:val="24"/>
        </w:rPr>
      </w:pPr>
      <w:r>
        <w:rPr>
          <w:rFonts w:hint="eastAsia" w:ascii="仿宋_GB2312" w:hAnsi="宋体" w:eastAsia="仿宋_GB2312" w:cs="Times New Roman"/>
          <w:color w:val="auto"/>
          <w:kern w:val="0"/>
          <w:sz w:val="24"/>
          <w:szCs w:val="24"/>
        </w:rPr>
        <w:t>编制部门：克孜勒苏广播电视大学                               单位：万元</w:t>
      </w:r>
    </w:p>
    <w:tbl>
      <w:tblPr>
        <w:tblStyle w:val="8"/>
        <w:tblW w:w="8928" w:type="dxa"/>
        <w:jc w:val="center"/>
        <w:tblLayout w:type="fixed"/>
        <w:tblCellMar>
          <w:top w:w="0" w:type="dxa"/>
          <w:left w:w="0" w:type="dxa"/>
          <w:bottom w:w="0" w:type="dxa"/>
          <w:right w:w="0" w:type="dxa"/>
        </w:tblCellMar>
      </w:tblPr>
      <w:tblGrid>
        <w:gridCol w:w="347"/>
        <w:gridCol w:w="242"/>
        <w:gridCol w:w="241"/>
        <w:gridCol w:w="767"/>
        <w:gridCol w:w="810"/>
        <w:gridCol w:w="975"/>
        <w:gridCol w:w="748"/>
        <w:gridCol w:w="782"/>
        <w:gridCol w:w="534"/>
        <w:gridCol w:w="534"/>
        <w:gridCol w:w="653"/>
        <w:gridCol w:w="382"/>
        <w:gridCol w:w="653"/>
        <w:gridCol w:w="382"/>
        <w:gridCol w:w="534"/>
        <w:gridCol w:w="344"/>
      </w:tblGrid>
      <w:tr>
        <w:tblPrEx>
          <w:tblCellMar>
            <w:top w:w="0" w:type="dxa"/>
            <w:left w:w="0" w:type="dxa"/>
            <w:bottom w:w="0" w:type="dxa"/>
            <w:right w:w="0" w:type="dxa"/>
          </w:tblCellMar>
        </w:tblPrEx>
        <w:trPr>
          <w:trHeight w:val="360" w:hRule="atLeast"/>
          <w:jc w:val="center"/>
        </w:trPr>
        <w:tc>
          <w:tcPr>
            <w:tcW w:w="8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7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项目支出合计</w:t>
            </w:r>
          </w:p>
        </w:tc>
        <w:tc>
          <w:tcPr>
            <w:tcW w:w="7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工资福利支出</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商品和服务支出</w:t>
            </w:r>
          </w:p>
        </w:tc>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对个人和家庭的补助</w:t>
            </w:r>
          </w:p>
        </w:tc>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债务利息及费用支出</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资本性支出(基本建设)</w:t>
            </w:r>
          </w:p>
        </w:tc>
        <w:tc>
          <w:tcPr>
            <w:tcW w:w="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资本性支出</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对企业补助(基本建设)</w:t>
            </w:r>
          </w:p>
        </w:tc>
        <w:tc>
          <w:tcPr>
            <w:tcW w:w="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对企业补助</w:t>
            </w:r>
          </w:p>
        </w:tc>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对社会保障基金补助</w:t>
            </w:r>
          </w:p>
        </w:tc>
        <w:tc>
          <w:tcPr>
            <w:tcW w:w="3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其他支出</w:t>
            </w:r>
          </w:p>
        </w:tc>
      </w:tr>
      <w:tr>
        <w:tblPrEx>
          <w:tblCellMar>
            <w:top w:w="0" w:type="dxa"/>
            <w:left w:w="0" w:type="dxa"/>
            <w:bottom w:w="0" w:type="dxa"/>
            <w:right w:w="0" w:type="dxa"/>
          </w:tblCellMar>
        </w:tblPrEx>
        <w:trPr>
          <w:trHeight w:val="360" w:hRule="atLeast"/>
          <w:jc w:val="center"/>
        </w:trPr>
        <w:tc>
          <w:tcPr>
            <w:tcW w:w="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2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2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360" w:hRule="atLeast"/>
          <w:jc w:val="center"/>
        </w:trPr>
        <w:tc>
          <w:tcPr>
            <w:tcW w:w="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24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205</w:t>
            </w: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教育支出</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262.00</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262.00</w:t>
            </w: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8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205</w:t>
            </w: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05</w:t>
            </w: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广播电视教育</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262.00</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262.00</w:t>
            </w: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8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205</w:t>
            </w: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05</w:t>
            </w: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01</w:t>
            </w:r>
          </w:p>
        </w:tc>
        <w:tc>
          <w:tcPr>
            <w:tcW w:w="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广播电视学校</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学费</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255.00</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255.00</w:t>
            </w: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8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205</w:t>
            </w: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05</w:t>
            </w: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01</w:t>
            </w:r>
          </w:p>
        </w:tc>
        <w:tc>
          <w:tcPr>
            <w:tcW w:w="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广播电视学校</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联建工作经费</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7.00</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7.00</w:t>
            </w: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8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0"/>
                <w:szCs w:val="20"/>
                <w:lang w:bidi="ar"/>
              </w:rPr>
            </w:pP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0"/>
                <w:szCs w:val="20"/>
                <w:lang w:bidi="ar"/>
              </w:rPr>
            </w:pP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0"/>
                <w:szCs w:val="20"/>
                <w:lang w:bidi="ar"/>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0"/>
                <w:szCs w:val="20"/>
                <w:lang w:bidi="ar"/>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262.00</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2"/>
                <w:sz w:val="20"/>
                <w:szCs w:val="20"/>
                <w:lang w:val="en-US" w:eastAsia="zh-CN" w:bidi="ar-SA"/>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bidi="ar"/>
              </w:rPr>
              <w:t>262.00</w:t>
            </w: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bl>
    <w:p>
      <w:pPr>
        <w:pStyle w:val="2"/>
        <w:ind w:firstLine="640"/>
      </w:pPr>
    </w:p>
    <w:p>
      <w:pPr>
        <w:widowControl/>
        <w:jc w:val="left"/>
        <w:outlineLvl w:val="1"/>
        <w:rPr>
          <w:rFonts w:ascii="仿宋_GB2312" w:hAnsi="宋体" w:eastAsia="仿宋_GB2312"/>
          <w:b/>
          <w:kern w:val="0"/>
          <w:sz w:val="32"/>
          <w:szCs w:val="32"/>
        </w:rPr>
      </w:pPr>
    </w:p>
    <w:p>
      <w:pPr>
        <w:pStyle w:val="2"/>
        <w:ind w:firstLine="640"/>
      </w:pPr>
    </w:p>
    <w:p>
      <w:pPr>
        <w:widowControl/>
        <w:jc w:val="left"/>
        <w:outlineLvl w:val="1"/>
        <w:rPr>
          <w:rFonts w:ascii="仿宋_GB2312" w:hAnsi="宋体" w:eastAsia="仿宋_GB2312"/>
          <w:b/>
          <w:kern w:val="0"/>
          <w:sz w:val="32"/>
          <w:szCs w:val="32"/>
        </w:rPr>
      </w:pPr>
    </w:p>
    <w:p>
      <w:pPr>
        <w:pStyle w:val="2"/>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pStyle w:val="2"/>
        <w:ind w:firstLine="643"/>
        <w:rPr>
          <w:rFonts w:ascii="仿宋_GB2312" w:hAnsi="宋体" w:eastAsia="仿宋_GB2312"/>
          <w:b/>
          <w:kern w:val="0"/>
        </w:rPr>
      </w:pPr>
    </w:p>
    <w:p>
      <w:pPr>
        <w:rPr>
          <w:rFonts w:ascii="仿宋_GB2312" w:hAnsi="宋体" w:eastAsia="仿宋_GB2312"/>
          <w:b/>
          <w:kern w:val="0"/>
          <w:sz w:val="32"/>
          <w:szCs w:val="32"/>
        </w:rPr>
      </w:pPr>
    </w:p>
    <w:p>
      <w:pPr>
        <w:pStyle w:val="2"/>
        <w:ind w:firstLine="640"/>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编制单位：克孜勒苏广播电视大学                        单位：万元</w:t>
      </w:r>
    </w:p>
    <w:tbl>
      <w:tblPr>
        <w:tblStyle w:val="8"/>
        <w:tblW w:w="8218" w:type="dxa"/>
        <w:jc w:val="center"/>
        <w:shd w:val="clear" w:color="auto" w:fill="auto"/>
        <w:tblLayout w:type="fixed"/>
        <w:tblCellMar>
          <w:top w:w="0" w:type="dxa"/>
          <w:left w:w="0" w:type="dxa"/>
          <w:bottom w:w="0" w:type="dxa"/>
          <w:right w:w="0" w:type="dxa"/>
        </w:tblCellMar>
      </w:tblPr>
      <w:tblGrid>
        <w:gridCol w:w="1414"/>
        <w:gridCol w:w="1656"/>
        <w:gridCol w:w="1287"/>
        <w:gridCol w:w="1287"/>
        <w:gridCol w:w="1287"/>
        <w:gridCol w:w="1287"/>
      </w:tblGrid>
      <w:tr>
        <w:tblPrEx>
          <w:shd w:val="clear" w:color="auto" w:fill="auto"/>
          <w:tblCellMar>
            <w:top w:w="0" w:type="dxa"/>
            <w:left w:w="0" w:type="dxa"/>
            <w:bottom w:w="0" w:type="dxa"/>
            <w:right w:w="0" w:type="dxa"/>
          </w:tblCellMar>
        </w:tblPrEx>
        <w:trPr>
          <w:trHeight w:val="312" w:hRule="atLeast"/>
          <w:jc w:val="center"/>
        </w:trPr>
        <w:tc>
          <w:tcPr>
            <w:tcW w:w="141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65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因公出国(境)费用</w:t>
            </w:r>
          </w:p>
        </w:tc>
        <w:tc>
          <w:tcPr>
            <w:tcW w:w="386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公务用车购置及运行费</w:t>
            </w:r>
          </w:p>
        </w:tc>
        <w:tc>
          <w:tcPr>
            <w:tcW w:w="128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公务接待费</w:t>
            </w:r>
          </w:p>
        </w:tc>
      </w:tr>
      <w:tr>
        <w:tblPrEx>
          <w:tblCellMar>
            <w:top w:w="0" w:type="dxa"/>
            <w:left w:w="0" w:type="dxa"/>
            <w:bottom w:w="0" w:type="dxa"/>
            <w:right w:w="0" w:type="dxa"/>
          </w:tblCellMar>
        </w:tblPrEx>
        <w:trPr>
          <w:trHeight w:val="312" w:hRule="atLeast"/>
          <w:jc w:val="center"/>
        </w:trPr>
        <w:tc>
          <w:tcPr>
            <w:tcW w:w="141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5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128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公务用车购置费</w:t>
            </w:r>
          </w:p>
        </w:tc>
        <w:tc>
          <w:tcPr>
            <w:tcW w:w="128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公务用车运行费</w:t>
            </w:r>
          </w:p>
        </w:tc>
        <w:tc>
          <w:tcPr>
            <w:tcW w:w="128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30" w:hRule="atLeast"/>
          <w:jc w:val="center"/>
        </w:trPr>
        <w:tc>
          <w:tcPr>
            <w:tcW w:w="141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5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67" w:hRule="exact"/>
          <w:jc w:val="center"/>
        </w:trPr>
        <w:tc>
          <w:tcPr>
            <w:tcW w:w="14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6.00</w:t>
            </w:r>
          </w:p>
        </w:tc>
        <w:tc>
          <w:tcPr>
            <w:tcW w:w="165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3.00</w:t>
            </w: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13.00</w:t>
            </w: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r>
      <w:tr>
        <w:tblPrEx>
          <w:tblCellMar>
            <w:top w:w="0" w:type="dxa"/>
            <w:left w:w="0" w:type="dxa"/>
            <w:bottom w:w="0" w:type="dxa"/>
            <w:right w:w="0" w:type="dxa"/>
          </w:tblCellMar>
        </w:tblPrEx>
        <w:trPr>
          <w:trHeight w:val="567" w:hRule="exact"/>
          <w:jc w:val="center"/>
        </w:trPr>
        <w:tc>
          <w:tcPr>
            <w:tcW w:w="14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6.00</w:t>
            </w:r>
          </w:p>
        </w:tc>
        <w:tc>
          <w:tcPr>
            <w:tcW w:w="165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3.00</w:t>
            </w: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13.00</w:t>
            </w: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r>
    </w:tbl>
    <w:p>
      <w:pPr>
        <w:pStyle w:val="2"/>
      </w:pPr>
    </w:p>
    <w:p>
      <w:pPr>
        <w:pStyle w:val="2"/>
        <w:ind w:firstLine="480"/>
        <w:rPr>
          <w:rFonts w:ascii="仿宋_GB2312" w:hAnsi="宋体" w:eastAsia="仿宋_GB2312"/>
          <w:kern w:val="0"/>
          <w:sz w:val="24"/>
        </w:rPr>
      </w:pPr>
    </w:p>
    <w:p/>
    <w:p>
      <w:pPr>
        <w:widowControl/>
        <w:outlineLvl w:val="1"/>
        <w:rPr>
          <w:rFonts w:ascii="仿宋_GB2312" w:hAnsi="宋体" w:eastAsia="仿宋_GB2312"/>
          <w:kern w:val="0"/>
          <w:sz w:val="32"/>
          <w:szCs w:val="32"/>
        </w:rPr>
      </w:pPr>
    </w:p>
    <w:p>
      <w:pPr>
        <w:pStyle w:val="2"/>
        <w:ind w:firstLine="640"/>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pStyle w:val="2"/>
        <w:ind w:firstLine="640"/>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pStyle w:val="2"/>
        <w:ind w:firstLine="640"/>
        <w:rPr>
          <w:rFonts w:ascii="仿宋_GB2312" w:hAnsi="宋体" w:eastAsia="仿宋_GB2312"/>
          <w:kern w:val="0"/>
        </w:rPr>
      </w:pPr>
    </w:p>
    <w:p>
      <w:pPr>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编制单位： 克孜勒苏广播电视大学                                 单位：万元</w:t>
      </w:r>
    </w:p>
    <w:tbl>
      <w:tblPr>
        <w:tblStyle w:val="8"/>
        <w:tblW w:w="8670" w:type="dxa"/>
        <w:jc w:val="center"/>
        <w:shd w:val="clear" w:color="auto" w:fill="auto"/>
        <w:tblLayout w:type="fixed"/>
        <w:tblCellMar>
          <w:top w:w="0" w:type="dxa"/>
          <w:left w:w="0" w:type="dxa"/>
          <w:bottom w:w="0" w:type="dxa"/>
          <w:right w:w="0" w:type="dxa"/>
        </w:tblCellMar>
      </w:tblPr>
      <w:tblGrid>
        <w:gridCol w:w="543"/>
        <w:gridCol w:w="543"/>
        <w:gridCol w:w="544"/>
        <w:gridCol w:w="2355"/>
        <w:gridCol w:w="1800"/>
        <w:gridCol w:w="1442"/>
        <w:gridCol w:w="1443"/>
      </w:tblGrid>
      <w:tr>
        <w:tblPrEx>
          <w:shd w:val="clear" w:color="auto" w:fill="auto"/>
          <w:tblCellMar>
            <w:top w:w="0" w:type="dxa"/>
            <w:left w:w="0" w:type="dxa"/>
            <w:bottom w:w="0" w:type="dxa"/>
            <w:right w:w="0" w:type="dxa"/>
          </w:tblCellMar>
        </w:tblPrEx>
        <w:trPr>
          <w:trHeight w:val="360" w:hRule="atLeast"/>
          <w:jc w:val="center"/>
        </w:trPr>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w:t>
            </w: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政府性基金预算支出</w:t>
            </w:r>
          </w:p>
        </w:tc>
        <w:tc>
          <w:tcPr>
            <w:tcW w:w="14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60" w:hRule="atLeast"/>
          <w:jc w:val="center"/>
        </w:trPr>
        <w:tc>
          <w:tcPr>
            <w:tcW w:w="16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23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4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4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CellMar>
            <w:top w:w="0" w:type="dxa"/>
            <w:left w:w="0" w:type="dxa"/>
            <w:bottom w:w="0" w:type="dxa"/>
            <w:right w:w="0" w:type="dxa"/>
          </w:tblCellMar>
        </w:tblPrEx>
        <w:trPr>
          <w:trHeight w:val="285" w:hRule="atLeast"/>
          <w:jc w:val="center"/>
        </w:trPr>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jc w:val="center"/>
        </w:trPr>
        <w:tc>
          <w:tcPr>
            <w:tcW w:w="543" w:type="dxa"/>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544"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355"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8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jc w:val="center"/>
        </w:trPr>
        <w:tc>
          <w:tcPr>
            <w:tcW w:w="5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pStyle w:val="2"/>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克孜勒苏广播电视大学</w:t>
      </w:r>
      <w:r>
        <w:rPr>
          <w:rFonts w:hint="eastAsia" w:ascii="仿宋_GB2312" w:hAnsi="宋体" w:eastAsia="仿宋_GB2312"/>
          <w:b/>
          <w:kern w:val="0"/>
          <w:sz w:val="28"/>
          <w:szCs w:val="32"/>
          <w:lang w:val="en-US" w:eastAsia="zh-CN"/>
        </w:rPr>
        <w:t>2021年</w:t>
      </w:r>
      <w:r>
        <w:rPr>
          <w:rFonts w:hint="eastAsia" w:ascii="仿宋_GB2312" w:hAnsi="宋体" w:eastAsia="仿宋_GB2312"/>
          <w:b/>
          <w:kern w:val="0"/>
          <w:sz w:val="28"/>
          <w:szCs w:val="32"/>
        </w:rPr>
        <w:t>没有使用政府性基金预算拨款安排的支出，故此表为空表。</w:t>
      </w:r>
    </w:p>
    <w:p>
      <w:pPr>
        <w:widowControl/>
        <w:jc w:val="left"/>
        <w:outlineLvl w:val="1"/>
        <w:rPr>
          <w:rFonts w:ascii="仿宋_GB2312" w:hAnsi="宋体" w:eastAsia="仿宋_GB2312"/>
          <w:kern w:val="0"/>
          <w:sz w:val="32"/>
          <w:szCs w:val="32"/>
        </w:rPr>
        <w:sectPr>
          <w:footerReference r:id="rId5" w:type="first"/>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2021年克孜勒苏广播电视大学预算情况说明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关于克孜勒苏广播电视大学2021年收支预算情况的总体说明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按照全口径预算的原则，克孜勒苏广播电视大学2021年所有收入和支出均纳入部门预算管理。收支总预算1055.96万元。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收入预算包括：一般公共预算988.96万元、政府性基金预算0万元、国有资金经营预算0万元、上级专项收入12.00万元等。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支出预算包括：教育支出1055.96万元。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二、关于克孜勒苏广播电视大学2021年收入预算情况说明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克孜勒苏广播电视大学</w:t>
      </w:r>
      <w:r>
        <w:rPr>
          <w:rFonts w:hint="eastAsia" w:ascii="仿宋_GB2312" w:hAnsi="宋体" w:eastAsia="仿宋_GB2312" w:cs="宋体"/>
          <w:kern w:val="0"/>
          <w:sz w:val="32"/>
          <w:szCs w:val="32"/>
        </w:rPr>
        <w:t>部门收入预算1055.96万元，其中：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一般公共预算988.96万元，占93.66%，比上年预算增加44万元，主要原因是，增加人员调资、返还学费；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上级专项收入12万元，占1.14%，比上年预算增加0万元；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单位上年结余（不包括国库集中支付额度结余）55万元，占5.20 %，比上年预算增加23万元，主要原因是：本年增加学历提升学费结转和群众工作经费结转。</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三、关于克孜勒苏广播电视大学2021年支出预算情况说明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克孜勒苏广播电视大学2021年支出预算1055.96万元，其中：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基本支出726.96万元，占68.85%，比上年预算增加44万元，主要原因是，增加人员调资、部分群众工作支出从项目支出调到基本支出。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项目支出329万元，占31.15%，比上年预算减少234万元，主要原因是：群众工作支出从项目支出调到基本支出，导致减少项目经费。</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仿宋_GB2312" w:hAnsi="宋体" w:eastAsia="仿宋_GB2312" w:cs="宋体"/>
          <w:b/>
          <w:spacing w:val="-6"/>
          <w:kern w:val="0"/>
          <w:sz w:val="32"/>
          <w:szCs w:val="32"/>
        </w:rPr>
        <w:t>克孜勒苏广播电视大学</w:t>
      </w:r>
      <w:r>
        <w:rPr>
          <w:rFonts w:hint="eastAsia" w:ascii="黑体" w:hAnsi="黑体" w:eastAsia="黑体" w:cs="宋体"/>
          <w:bCs/>
          <w:kern w:val="0"/>
          <w:sz w:val="32"/>
          <w:szCs w:val="32"/>
        </w:rPr>
        <w:t>2021年财政拨款收支预算情况的总体说明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收入全部为一般公共预算拨款，无政府性基金预算拨款和国有资本经营预算。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收入预算包括：一般公共预算拨款988.96万元。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一般公共预算支出包括：一般公共服务支出988.96万元，主要用于支付职工工资福利、</w:t>
      </w:r>
      <w:r>
        <w:rPr>
          <w:rFonts w:hint="eastAsia" w:ascii="仿宋_GB2312" w:hAnsi="宋体" w:eastAsia="仿宋_GB2312" w:cs="宋体"/>
          <w:kern w:val="0"/>
          <w:sz w:val="32"/>
          <w:szCs w:val="32"/>
          <w:lang w:eastAsia="zh-CN"/>
        </w:rPr>
        <w:t>群众工作</w:t>
      </w:r>
      <w:r>
        <w:rPr>
          <w:rFonts w:hint="eastAsia" w:ascii="仿宋_GB2312" w:hAnsi="宋体" w:eastAsia="仿宋_GB2312" w:cs="宋体"/>
          <w:kern w:val="0"/>
          <w:sz w:val="32"/>
          <w:szCs w:val="32"/>
        </w:rPr>
        <w:t>人员补助经费、</w:t>
      </w:r>
      <w:r>
        <w:rPr>
          <w:rFonts w:hint="eastAsia" w:ascii="仿宋_GB2312" w:hAnsi="宋体" w:eastAsia="仿宋_GB2312" w:cs="宋体"/>
          <w:kern w:val="0"/>
          <w:sz w:val="32"/>
          <w:szCs w:val="32"/>
          <w:lang w:eastAsia="zh-CN"/>
        </w:rPr>
        <w:t>群众</w:t>
      </w:r>
      <w:r>
        <w:rPr>
          <w:rFonts w:hint="eastAsia" w:ascii="仿宋_GB2312" w:hAnsi="宋体" w:eastAsia="仿宋_GB2312" w:cs="宋体"/>
          <w:kern w:val="0"/>
          <w:sz w:val="32"/>
          <w:szCs w:val="32"/>
        </w:rPr>
        <w:t>工作经费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保安人员补助经费、学历提升学费经费等。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克孜勒苏广播电视大学2021年一般公共预算拨款合计    988.96万元，其中：基本支出726.96万元，比上年预算增加44万元，增长6.45%。主要原因是：人员工资调整，人员晋级工资调整，调来1人，新招4人。项目支出262万元，比上年预算减少301万元，下降53.46%。主要原因是：上级补助收入和其他收入安排的项目资金未到位，导致项目支出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1.教育（类205）988.96</w:t>
      </w:r>
      <w:r>
        <w:rPr>
          <w:rFonts w:hint="eastAsia" w:ascii="仿宋_GB2312" w:hAnsi="宋体" w:eastAsia="仿宋_GB2312" w:cs="宋体"/>
          <w:kern w:val="0"/>
          <w:sz w:val="32"/>
          <w:szCs w:val="32"/>
        </w:rPr>
        <w:t>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1.教育</w:t>
      </w:r>
      <w:r>
        <w:rPr>
          <w:rFonts w:ascii="仿宋_GB2312" w:hAnsi="宋体" w:eastAsia="仿宋_GB2312" w:cs="宋体"/>
          <w:kern w:val="0"/>
          <w:sz w:val="32"/>
          <w:szCs w:val="32"/>
        </w:rPr>
        <w:t>（</w:t>
      </w:r>
      <w:r>
        <w:rPr>
          <w:rFonts w:hint="eastAsia" w:ascii="仿宋_GB2312" w:hAnsi="宋体" w:eastAsia="仿宋_GB2312" w:cs="宋体"/>
          <w:kern w:val="0"/>
          <w:sz w:val="32"/>
          <w:szCs w:val="32"/>
        </w:rPr>
        <w:t>类：205</w:t>
      </w:r>
      <w:r>
        <w:rPr>
          <w:rFonts w:ascii="仿宋_GB2312" w:hAnsi="宋体" w:eastAsia="仿宋_GB2312" w:cs="宋体"/>
          <w:kern w:val="0"/>
          <w:sz w:val="32"/>
          <w:szCs w:val="32"/>
        </w:rPr>
        <w:t>）</w:t>
      </w:r>
      <w:r>
        <w:rPr>
          <w:rFonts w:hint="eastAsia" w:ascii="仿宋_GB2312" w:hAnsi="宋体" w:eastAsia="仿宋_GB2312" w:cs="宋体"/>
          <w:kern w:val="0"/>
          <w:sz w:val="32"/>
          <w:szCs w:val="32"/>
        </w:rPr>
        <w:t>广播电视教育</w:t>
      </w:r>
      <w:r>
        <w:rPr>
          <w:rFonts w:ascii="仿宋_GB2312" w:hAnsi="宋体" w:eastAsia="仿宋_GB2312" w:cs="宋体"/>
          <w:kern w:val="0"/>
          <w:sz w:val="32"/>
          <w:szCs w:val="32"/>
        </w:rPr>
        <w:t>（</w:t>
      </w:r>
      <w:r>
        <w:rPr>
          <w:rFonts w:hint="eastAsia" w:ascii="仿宋_GB2312" w:hAnsi="宋体" w:eastAsia="仿宋_GB2312" w:cs="宋体"/>
          <w:kern w:val="0"/>
          <w:sz w:val="32"/>
          <w:szCs w:val="32"/>
        </w:rPr>
        <w:t>款：05</w:t>
      </w:r>
      <w:r>
        <w:rPr>
          <w:rFonts w:ascii="仿宋_GB2312" w:hAnsi="宋体" w:eastAsia="仿宋_GB2312" w:cs="宋体"/>
          <w:kern w:val="0"/>
          <w:sz w:val="32"/>
          <w:szCs w:val="32"/>
        </w:rPr>
        <w:t>）</w:t>
      </w:r>
      <w:r>
        <w:rPr>
          <w:rFonts w:hint="eastAsia" w:ascii="仿宋_GB2312" w:hAnsi="宋体" w:eastAsia="仿宋_GB2312" w:cs="宋体"/>
          <w:kern w:val="0"/>
          <w:sz w:val="32"/>
          <w:szCs w:val="32"/>
        </w:rPr>
        <w:t>广播电视学校</w:t>
      </w:r>
      <w:r>
        <w:rPr>
          <w:rFonts w:ascii="仿宋_GB2312" w:hAnsi="宋体" w:eastAsia="仿宋_GB2312" w:cs="宋体"/>
          <w:kern w:val="0"/>
          <w:sz w:val="32"/>
          <w:szCs w:val="32"/>
        </w:rPr>
        <w:t>（</w:t>
      </w:r>
      <w:r>
        <w:rPr>
          <w:rFonts w:hint="eastAsia" w:ascii="仿宋_GB2312" w:hAnsi="宋体" w:eastAsia="仿宋_GB2312" w:cs="宋体"/>
          <w:kern w:val="0"/>
          <w:sz w:val="32"/>
          <w:szCs w:val="32"/>
        </w:rPr>
        <w:t>项：01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988.96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比上年预算增加44万元，增长4.66%，主要原因是：人员工资调整，人员晋级工资调整，调来1人，新招4人。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克孜勒苏广播电视大学2021年一般公共预算基本支出726.96万元，其中：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713.65万元，主要包括：生活补助1.06万元、奖金20.18万元，其他社会保障缴费40.37万元、退休费18.18万元、机关事业单位基本养老保险缴费72.75万元、其他对个人和家庭的补助19.88万元、津贴补贴245.29万元、住房公积金51.98万元、基本工资242.11万元、奖励金1.87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公用经费13.31万元，主要包括：取暖费4.18万元、福利费5.87万元、工会经费3.26万元。</w:t>
      </w:r>
    </w:p>
    <w:p>
      <w:pPr>
        <w:numPr>
          <w:ilvl w:val="0"/>
          <w:numId w:val="2"/>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2021年一般公共预算项目支出情况说明</w:t>
      </w:r>
    </w:p>
    <w:p>
      <w:pPr>
        <w:spacing w:line="560" w:lineRule="exact"/>
        <w:ind w:firstLine="643" w:firstLineChars="200"/>
        <w:rPr>
          <w:rFonts w:ascii="仿宋_GB2312" w:hAnsi="宋体" w:eastAsia="仿宋_GB2312" w:cs="宋体"/>
          <w:kern w:val="0"/>
          <w:sz w:val="32"/>
          <w:szCs w:val="32"/>
        </w:rPr>
      </w:pPr>
      <w:r>
        <w:rPr>
          <w:rFonts w:hint="eastAsia" w:ascii="仿宋_GB2312" w:hAnsi="黑体" w:eastAsia="仿宋_GB2312"/>
          <w:b/>
          <w:sz w:val="32"/>
          <w:szCs w:val="32"/>
        </w:rPr>
        <w:t>情况一：（项目支出、专项业务费按下列内容说明）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(一)项目支出、专项业务费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学费项目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我校没有安排公用经费，就用安排的学费项目资金开展日常教育教学及其他业务活动。</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本级</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克孜勒苏广播电视大学</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255万元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全年</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pStyle w:val="2"/>
        <w:ind w:firstLine="640"/>
      </w:pPr>
      <w:r>
        <w:rPr>
          <w:rFonts w:hint="eastAsia" w:ascii="仿宋_GB2312" w:hAnsi="黑体" w:eastAsia="仿宋_GB2312" w:cs="Times New Roman"/>
          <w:color w:val="auto"/>
        </w:rPr>
        <w:t>社会效益：积极主动地参与全民学习、终身学习的学习型社会建设，为全社会搭建前沿学习平台，构建克州终身</w:t>
      </w:r>
      <w:r>
        <w:rPr>
          <w:rFonts w:hint="eastAsia" w:ascii="仿宋_GB2312" w:hAnsi="黑体" w:eastAsia="仿宋_GB2312" w:cs="Times New Roman"/>
          <w:color w:val="auto"/>
          <w:lang w:eastAsia="zh-CN"/>
        </w:rPr>
        <w:t>学习</w:t>
      </w:r>
      <w:r>
        <w:rPr>
          <w:rFonts w:hint="eastAsia" w:ascii="仿宋_GB2312" w:hAnsi="黑体" w:eastAsia="仿宋_GB2312" w:cs="Times New Roman"/>
          <w:color w:val="auto"/>
        </w:rPr>
        <w:t>体系和学习型社会中心。</w:t>
      </w:r>
    </w:p>
    <w:p>
      <w:pPr>
        <w:numPr>
          <w:ilvl w:val="0"/>
          <w:numId w:val="3"/>
        </w:numPr>
        <w:spacing w:line="560" w:lineRule="exact"/>
        <w:ind w:firstLine="640" w:firstLineChars="200"/>
        <w:rPr>
          <w:rFonts w:hint="eastAsia"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群众</w:t>
      </w:r>
      <w:r>
        <w:rPr>
          <w:rFonts w:hint="eastAsia" w:ascii="仿宋_GB2312" w:hAnsi="宋体" w:eastAsia="仿宋_GB2312" w:cs="宋体"/>
          <w:kern w:val="0"/>
          <w:sz w:val="32"/>
          <w:szCs w:val="32"/>
        </w:rPr>
        <w:t>工作经费</w:t>
      </w:r>
    </w:p>
    <w:p>
      <w:pPr>
        <w:numPr>
          <w:ilvl w:val="0"/>
          <w:numId w:val="0"/>
        </w:num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自治区统一安排项目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全区</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克孜勒苏广播电视大学</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7万元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全年</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bookmarkStart w:id="0" w:name="_GoBack"/>
      <w:bookmarkEnd w:id="0"/>
      <w:r>
        <w:rPr>
          <w:rFonts w:hint="eastAsia" w:ascii="仿宋_GB2312" w:hAnsi="宋体" w:eastAsia="仿宋_GB2312" w:cs="宋体"/>
          <w:kern w:val="0"/>
          <w:sz w:val="32"/>
          <w:szCs w:val="32"/>
        </w:rPr>
        <w:t>更好</w:t>
      </w:r>
      <w:r>
        <w:rPr>
          <w:rFonts w:hint="eastAsia" w:ascii="仿宋_GB2312" w:hAnsi="宋体" w:eastAsia="仿宋_GB2312" w:cs="宋体"/>
          <w:kern w:val="0"/>
          <w:sz w:val="32"/>
          <w:szCs w:val="32"/>
          <w:lang w:eastAsia="zh-CN"/>
        </w:rPr>
        <w:t>地</w:t>
      </w:r>
      <w:r>
        <w:rPr>
          <w:rFonts w:hint="eastAsia" w:ascii="仿宋_GB2312" w:hAnsi="宋体" w:eastAsia="仿宋_GB2312" w:cs="宋体"/>
          <w:kern w:val="0"/>
          <w:sz w:val="32"/>
          <w:szCs w:val="32"/>
        </w:rPr>
        <w:t>为当地和人民优质服务，提高生活水平，实现早日致富。</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克孜勒苏广播电视大学2021年“三公”经费财政拨款预算数为</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6.00万元，其中：因公出国（境）费0万元，公务用车购置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万元，公务用车运行费13.00万元，公务接待费3.00万元。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2021年“三公”经费财政拨款预算比上年增加2.5万元，其中：因公出国（境）费增加0万元，主要原因是无；公务</w:t>
      </w:r>
      <w:r>
        <w:rPr>
          <w:rFonts w:hint="eastAsia" w:ascii="仿宋_GB2312" w:hAnsi="宋体" w:eastAsia="仿宋_GB2312" w:cs="宋体"/>
          <w:kern w:val="0"/>
          <w:sz w:val="32"/>
          <w:szCs w:val="32"/>
          <w:highlight w:val="none"/>
        </w:rPr>
        <w:t>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主要原因是：今年准备采购</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rPr>
        <w:t>辆车，就多做了1辆车的费用；公务用车运行费增加6万元，主要原因是：</w:t>
      </w:r>
      <w:r>
        <w:rPr>
          <w:rFonts w:hint="eastAsia" w:ascii="仿宋_GB2312" w:hAnsi="宋体" w:eastAsia="仿宋_GB2312" w:cs="宋体"/>
          <w:kern w:val="0"/>
          <w:sz w:val="32"/>
          <w:szCs w:val="32"/>
          <w:lang w:eastAsia="zh-CN"/>
        </w:rPr>
        <w:t>加油及维修次数增加</w:t>
      </w:r>
      <w:r>
        <w:rPr>
          <w:rFonts w:hint="eastAsia" w:ascii="仿宋_GB2312" w:hAnsi="宋体" w:eastAsia="仿宋_GB2312" w:cs="宋体"/>
          <w:kern w:val="0"/>
          <w:sz w:val="32"/>
          <w:szCs w:val="32"/>
        </w:rPr>
        <w:t>；公务接待费减少0.50万元，主要原因是：</w:t>
      </w:r>
      <w:r>
        <w:rPr>
          <w:rFonts w:hint="eastAsia" w:ascii="仿宋_GB2312" w:hAnsi="宋体" w:eastAsia="仿宋_GB2312" w:cs="宋体"/>
          <w:kern w:val="0"/>
          <w:sz w:val="32"/>
          <w:szCs w:val="32"/>
          <w:lang w:eastAsia="zh-CN"/>
        </w:rPr>
        <w:t>接待次数及人数减少</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2021年，克孜勒苏广播电视大学本级及下属0家行政单位和1家事业单位的机关运行经费财政拨款预算13.31万元，比上年预算增加0.58万元，增长4.56%。主要原因是：人员工资调整，人员晋级工资调整，调来1人，新招4人，相应增加人员福利费和工会费。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2021年，克孜勒苏广播电视大学及下属单位政府采购预算183.6万元，其中：政府采购货物预算115.10万元，政府采购工程预算0万元，政府采购服务预算68.50万元。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2021年度本部门面向中小企业预留政府采购项目预算金额183.60万元，其中：面向小微企业预留政府采购项目预算金额183.60万元。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截至2020年底，克孜勒苏广播电视大学及下属各预算单位占用使用国有资产总体情况为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1.房屋40平方米，价值6.99万元。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2.车辆1辆，价值11.67万元；其中：一般公务用车1辆，价值11.67万元；执法执勤用车0辆，价值0万元；其他车辆0辆，价值0万元。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3.办公家具价值353.12万元。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4.其他资产价值461.20万元。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单位价值50万元以上大型设备0台（套），单位价值100万元以上大型设备1台（套）。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年克孜勒苏广播电视大学预算未安排购置车辆经费（或安排购置车辆经费0万元），安排购置50万元以上大型设备0台（套），单位价值100万元以上大型设备0台（套）。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个，涉及预算金额2</w:t>
      </w:r>
      <w:r>
        <w:rPr>
          <w:rFonts w:hint="eastAsia" w:ascii="仿宋_GB2312" w:hAnsi="宋体" w:eastAsia="仿宋_GB2312" w:cs="宋体"/>
          <w:kern w:val="0"/>
          <w:sz w:val="32"/>
          <w:szCs w:val="32"/>
          <w:lang w:val="en-US" w:eastAsia="zh-CN"/>
        </w:rPr>
        <w:t>62</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footerReference r:id="rId6" w:type="default"/>
          <w:pgSz w:w="11906" w:h="16838"/>
          <w:pgMar w:top="1440" w:right="1800" w:bottom="1440" w:left="1800" w:header="851" w:footer="992" w:gutter="0"/>
          <w:pgNumType w:fmt="numberInDash" w:start="13"/>
          <w:cols w:space="425" w:num="1"/>
          <w:docGrid w:type="lines" w:linePitch="312" w:charSpace="0"/>
        </w:sectPr>
      </w:pPr>
    </w:p>
    <w:tbl>
      <w:tblPr>
        <w:tblStyle w:val="8"/>
        <w:tblW w:w="13973" w:type="dxa"/>
        <w:jc w:val="center"/>
        <w:tblLayout w:type="fixed"/>
        <w:tblCellMar>
          <w:top w:w="0" w:type="dxa"/>
          <w:left w:w="108" w:type="dxa"/>
          <w:bottom w:w="0" w:type="dxa"/>
          <w:right w:w="108" w:type="dxa"/>
        </w:tblCellMar>
      </w:tblPr>
      <w:tblGrid>
        <w:gridCol w:w="2004"/>
        <w:gridCol w:w="191"/>
        <w:gridCol w:w="1504"/>
        <w:gridCol w:w="353"/>
        <w:gridCol w:w="1622"/>
        <w:gridCol w:w="542"/>
        <w:gridCol w:w="1113"/>
        <w:gridCol w:w="697"/>
        <w:gridCol w:w="1060"/>
        <w:gridCol w:w="236"/>
        <w:gridCol w:w="629"/>
        <w:gridCol w:w="249"/>
        <w:gridCol w:w="155"/>
        <w:gridCol w:w="977"/>
        <w:gridCol w:w="2595"/>
        <w:gridCol w:w="46"/>
      </w:tblGrid>
      <w:tr>
        <w:tblPrEx>
          <w:tblCellMar>
            <w:top w:w="0" w:type="dxa"/>
            <w:left w:w="108" w:type="dxa"/>
            <w:bottom w:w="0" w:type="dxa"/>
            <w:right w:w="108" w:type="dxa"/>
          </w:tblCellMar>
        </w:tblPrEx>
        <w:trPr>
          <w:trHeight w:val="354" w:hRule="atLeast"/>
          <w:jc w:val="center"/>
        </w:trPr>
        <w:tc>
          <w:tcPr>
            <w:tcW w:w="13973" w:type="dxa"/>
            <w:gridSpan w:val="16"/>
            <w:tcBorders>
              <w:top w:val="nil"/>
              <w:left w:val="nil"/>
              <w:bottom w:val="nil"/>
              <w:right w:val="nil"/>
            </w:tcBorders>
            <w:shd w:val="clear" w:color="auto" w:fill="auto"/>
            <w:vAlign w:val="center"/>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jc w:val="center"/>
        </w:trPr>
        <w:tc>
          <w:tcPr>
            <w:tcW w:w="21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b/>
                <w:bCs/>
                <w:kern w:val="0"/>
                <w:sz w:val="18"/>
                <w:szCs w:val="18"/>
              </w:rPr>
              <w:t>克孜勒苏广播电视大学</w:t>
            </w:r>
          </w:p>
        </w:tc>
        <w:tc>
          <w:tcPr>
            <w:tcW w:w="192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学费</w:t>
            </w:r>
          </w:p>
        </w:tc>
      </w:tr>
      <w:tr>
        <w:tblPrEx>
          <w:tblCellMar>
            <w:top w:w="0" w:type="dxa"/>
            <w:left w:w="108" w:type="dxa"/>
            <w:bottom w:w="0" w:type="dxa"/>
            <w:right w:w="108" w:type="dxa"/>
          </w:tblCellMar>
        </w:tblPrEx>
        <w:trPr>
          <w:trHeight w:val="90" w:hRule="atLeast"/>
          <w:jc w:val="center"/>
        </w:trPr>
        <w:tc>
          <w:tcPr>
            <w:tcW w:w="2195"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255</w:t>
            </w:r>
          </w:p>
        </w:tc>
        <w:tc>
          <w:tcPr>
            <w:tcW w:w="181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255</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CellMar>
            <w:top w:w="0" w:type="dxa"/>
            <w:left w:w="108" w:type="dxa"/>
            <w:bottom w:w="0" w:type="dxa"/>
            <w:right w:w="108" w:type="dxa"/>
          </w:tblCellMar>
        </w:tblPrEx>
        <w:trPr>
          <w:trHeight w:val="579" w:hRule="atLeast"/>
          <w:jc w:val="center"/>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放教育学历提升学费主要用于全校招生宣传、学籍管理、教务教学管理及考务管理等日常工作，改善办学设施、更新设备等固定资产投入，对三县教学点招生、教务、考务支持服务,圆满完成州委、人民政府交办各项工作任务及学历提升工程顺利开展.资金使用落实相关协调、推进、落实和服务工作.</w:t>
            </w:r>
          </w:p>
        </w:tc>
      </w:tr>
      <w:tr>
        <w:tblPrEx>
          <w:tblCellMar>
            <w:top w:w="0" w:type="dxa"/>
            <w:left w:w="108" w:type="dxa"/>
            <w:bottom w:w="0" w:type="dxa"/>
            <w:right w:w="108" w:type="dxa"/>
          </w:tblCellMar>
        </w:tblPrEx>
        <w:trPr>
          <w:trHeight w:val="271" w:hRule="atLeast"/>
          <w:jc w:val="center"/>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jc w:val="center"/>
        </w:trPr>
        <w:tc>
          <w:tcPr>
            <w:tcW w:w="21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学费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255万元</w:t>
            </w:r>
          </w:p>
        </w:tc>
      </w:tr>
      <w:tr>
        <w:tblPrEx>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2021年1月</w:t>
            </w:r>
          </w:p>
        </w:tc>
      </w:tr>
      <w:tr>
        <w:tblPrEx>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2021年12月</w:t>
            </w:r>
          </w:p>
        </w:tc>
      </w:tr>
      <w:tr>
        <w:tblPrEx>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学历提升人数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200人/学期</w:t>
            </w:r>
          </w:p>
        </w:tc>
      </w:tr>
      <w:tr>
        <w:tblPrEx>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提升学员学历</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jc w:val="center"/>
        </w:trPr>
        <w:tc>
          <w:tcPr>
            <w:tcW w:w="21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提高学员经济收入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提升学员服务意识</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w:t>
            </w:r>
          </w:p>
        </w:tc>
      </w:tr>
      <w:tr>
        <w:tblPrEx>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提升学历学员毕人数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100人/学期</w:t>
            </w:r>
          </w:p>
        </w:tc>
      </w:tr>
      <w:tr>
        <w:tblPrEx>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完善学校教学环境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jc w:val="center"/>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8"/>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职工、学员满意度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gridAfter w:val="1"/>
          <w:wAfter w:w="46" w:type="dxa"/>
          <w:trHeight w:val="327" w:hRule="atLeast"/>
          <w:jc w:val="center"/>
        </w:trPr>
        <w:tc>
          <w:tcPr>
            <w:tcW w:w="13927" w:type="dxa"/>
            <w:gridSpan w:val="15"/>
            <w:tcBorders>
              <w:top w:val="nil"/>
              <w:left w:val="nil"/>
              <w:bottom w:val="nil"/>
              <w:right w:val="nil"/>
            </w:tcBorders>
            <w:shd w:val="clear" w:color="auto" w:fill="auto"/>
            <w:vAlign w:val="center"/>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gridAfter w:val="1"/>
          <w:wAfter w:w="46" w:type="dxa"/>
          <w:trHeight w:val="240" w:hRule="atLeast"/>
          <w:jc w:val="center"/>
        </w:trPr>
        <w:tc>
          <w:tcPr>
            <w:tcW w:w="20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325"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b/>
                <w:bCs/>
                <w:kern w:val="0"/>
                <w:sz w:val="18"/>
                <w:szCs w:val="18"/>
              </w:rPr>
              <w:t>克孜勒苏广播电视大学</w:t>
            </w:r>
          </w:p>
        </w:tc>
        <w:tc>
          <w:tcPr>
            <w:tcW w:w="175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84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sz w:val="24"/>
              </w:rPr>
              <w:t>联建工作经费</w:t>
            </w:r>
          </w:p>
        </w:tc>
      </w:tr>
      <w:tr>
        <w:tblPrEx>
          <w:tblCellMar>
            <w:top w:w="0" w:type="dxa"/>
            <w:left w:w="108" w:type="dxa"/>
            <w:bottom w:w="0" w:type="dxa"/>
            <w:right w:w="108" w:type="dxa"/>
          </w:tblCellMar>
        </w:tblPrEx>
        <w:trPr>
          <w:gridAfter w:val="1"/>
          <w:wAfter w:w="46" w:type="dxa"/>
          <w:trHeight w:val="400" w:hRule="atLeast"/>
          <w:jc w:val="center"/>
        </w:trPr>
        <w:tc>
          <w:tcPr>
            <w:tcW w:w="200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6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197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65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75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269"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357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CellMar>
            <w:top w:w="0" w:type="dxa"/>
            <w:left w:w="108" w:type="dxa"/>
            <w:bottom w:w="0" w:type="dxa"/>
            <w:right w:w="108" w:type="dxa"/>
          </w:tblCellMar>
        </w:tblPrEx>
        <w:trPr>
          <w:gridAfter w:val="1"/>
          <w:wAfter w:w="46" w:type="dxa"/>
          <w:trHeight w:val="356" w:hRule="atLeast"/>
          <w:jc w:val="center"/>
        </w:trPr>
        <w:tc>
          <w:tcPr>
            <w:tcW w:w="200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23" w:type="dxa"/>
            <w:gridSpan w:val="14"/>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7万元群众工作人员经费，用于基层开展群众工作，主要用于开展各项文体活动，实现现代文化引领，逐步提高文化队伍建设。加强基层</w:t>
            </w:r>
            <w:r>
              <w:rPr>
                <w:rFonts w:hint="eastAsia" w:ascii="宋体" w:hAnsi="宋体" w:cs="宋体"/>
                <w:kern w:val="0"/>
                <w:sz w:val="18"/>
                <w:szCs w:val="18"/>
                <w:lang w:eastAsia="zh-CN"/>
              </w:rPr>
              <w:t>国家通用语言文字</w:t>
            </w:r>
            <w:r>
              <w:rPr>
                <w:rFonts w:hint="eastAsia" w:ascii="宋体" w:hAnsi="宋体" w:cs="宋体"/>
                <w:kern w:val="0"/>
                <w:sz w:val="18"/>
                <w:szCs w:val="18"/>
              </w:rPr>
              <w:t>学习教育，进一步提高语言交流能力。 资助贫困学生、党员，形成良好的社会氛围。经费按实际情况支出。</w:t>
            </w:r>
          </w:p>
        </w:tc>
      </w:tr>
      <w:tr>
        <w:tblPrEx>
          <w:tblCellMar>
            <w:top w:w="0" w:type="dxa"/>
            <w:left w:w="108" w:type="dxa"/>
            <w:bottom w:w="0" w:type="dxa"/>
            <w:right w:w="108" w:type="dxa"/>
          </w:tblCellMar>
        </w:tblPrEx>
        <w:trPr>
          <w:gridAfter w:val="1"/>
          <w:wAfter w:w="46" w:type="dxa"/>
          <w:trHeight w:val="240" w:hRule="atLeast"/>
          <w:jc w:val="center"/>
        </w:trPr>
        <w:tc>
          <w:tcPr>
            <w:tcW w:w="200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69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联建工作经费</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7万元</w:t>
            </w: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开始时间</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2021年1月</w:t>
            </w: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结束时间</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2021年12月</w:t>
            </w: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开展群众工作补助人员</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≥75人</w:t>
            </w: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提升村干部工作效率</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1"/>
          <w:wAfter w:w="46" w:type="dxa"/>
          <w:trHeight w:val="251" w:hRule="atLeast"/>
          <w:jc w:val="center"/>
        </w:trPr>
        <w:tc>
          <w:tcPr>
            <w:tcW w:w="200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带动贫困人口增收</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人均收入增收  元</w:t>
            </w:r>
          </w:p>
        </w:tc>
      </w:tr>
      <w:tr>
        <w:tblPrEx>
          <w:tblCellMar>
            <w:top w:w="0" w:type="dxa"/>
            <w:left w:w="108" w:type="dxa"/>
            <w:bottom w:w="0" w:type="dxa"/>
            <w:right w:w="108" w:type="dxa"/>
          </w:tblCellMar>
        </w:tblPrEx>
        <w:trPr>
          <w:gridAfter w:val="1"/>
          <w:wAfter w:w="46" w:type="dxa"/>
          <w:trHeight w:val="251"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1"/>
          <w:wAfter w:w="46" w:type="dxa"/>
          <w:trHeight w:val="251"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提升基层组织服务意识</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w:t>
            </w:r>
          </w:p>
        </w:tc>
      </w:tr>
      <w:tr>
        <w:tblPrEx>
          <w:tblCellMar>
            <w:top w:w="0" w:type="dxa"/>
            <w:left w:w="108" w:type="dxa"/>
            <w:bottom w:w="0" w:type="dxa"/>
            <w:right w:w="108" w:type="dxa"/>
          </w:tblCellMar>
        </w:tblPrEx>
        <w:trPr>
          <w:gridAfter w:val="1"/>
          <w:wAfter w:w="46" w:type="dxa"/>
          <w:trHeight w:val="251"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1"/>
          <w:wAfter w:w="46" w:type="dxa"/>
          <w:trHeight w:val="291"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受益村民人口数量</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1500余人</w:t>
            </w:r>
          </w:p>
        </w:tc>
      </w:tr>
      <w:tr>
        <w:tblPrEx>
          <w:tblCellMar>
            <w:top w:w="0" w:type="dxa"/>
            <w:left w:w="108" w:type="dxa"/>
            <w:bottom w:w="0" w:type="dxa"/>
            <w:right w:w="108" w:type="dxa"/>
          </w:tblCellMar>
        </w:tblPrEx>
        <w:trPr>
          <w:gridAfter w:val="1"/>
          <w:wAfter w:w="46" w:type="dxa"/>
          <w:trHeight w:val="251"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1"/>
          <w:wAfter w:w="46" w:type="dxa"/>
          <w:trHeight w:val="251"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村委会环境改善程度</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w:t>
            </w:r>
          </w:p>
        </w:tc>
      </w:tr>
      <w:tr>
        <w:tblPrEx>
          <w:tblCellMar>
            <w:top w:w="0" w:type="dxa"/>
            <w:left w:w="108" w:type="dxa"/>
            <w:bottom w:w="0" w:type="dxa"/>
            <w:right w:w="108" w:type="dxa"/>
          </w:tblCellMar>
        </w:tblPrEx>
        <w:trPr>
          <w:gridAfter w:val="1"/>
          <w:wAfter w:w="46" w:type="dxa"/>
          <w:trHeight w:val="251"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群众满意度</w:t>
            </w: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gridAfter w:val="1"/>
          <w:wAfter w:w="46" w:type="dxa"/>
          <w:trHeight w:val="240" w:hRule="atLeast"/>
          <w:jc w:val="center"/>
        </w:trPr>
        <w:tc>
          <w:tcPr>
            <w:tcW w:w="200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5623"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4605"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jc w:val="left"/>
        <w:rPr>
          <w:rFonts w:ascii="仿宋_GB2312" w:hAnsi="宋体" w:eastAsia="仿宋_GB2312" w:cs="宋体"/>
          <w:bCs/>
          <w:spacing w:val="-6"/>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Cs/>
          <w:spacing w:val="-6"/>
          <w:kern w:val="0"/>
          <w:sz w:val="32"/>
          <w:szCs w:val="32"/>
        </w:rPr>
        <w:t>克孜勒苏广播电视大学无其他需说明的事项。</w:t>
      </w:r>
    </w:p>
    <w:p>
      <w:pPr>
        <w:pStyle w:val="2"/>
        <w:ind w:firstLine="640"/>
        <w:rPr>
          <w:rFonts w:hint="eastAsia"/>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highlight w:val="yellow"/>
        </w:rPr>
      </w:pPr>
      <w:r>
        <w:rPr>
          <w:rFonts w:hint="eastAsia" w:ascii="黑体" w:hAnsi="黑体" w:eastAsia="黑体"/>
          <w:sz w:val="32"/>
          <w:szCs w:val="32"/>
        </w:rPr>
        <w:t>一、财政拨款：</w:t>
      </w:r>
      <w:r>
        <w:rPr>
          <w:rFonts w:hint="eastAsia" w:ascii="仿宋_GB2312" w:eastAsia="仿宋_GB2312"/>
          <w:spacing w:val="-6"/>
          <w:sz w:val="32"/>
          <w:szCs w:val="32"/>
        </w:rPr>
        <w:t>指由一般公共预算、政府性基金预算、国有资本经营预算安排的财政拨款数。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480" w:hanging="4480" w:hangingChars="1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bCs/>
          <w:spacing w:val="-6"/>
          <w:kern w:val="0"/>
          <w:sz w:val="32"/>
          <w:szCs w:val="32"/>
        </w:rPr>
        <w:t>克孜勒苏广播电视大学</w:t>
      </w: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202</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440" w:right="1803" w:bottom="1440" w:left="1803" w:header="851" w:footer="992" w:gutter="0"/>
      <w:pgNumType w:fmt="numberInDash" w:start="22"/>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mtqc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05ranLAQAAnAMAAA4AAAAAAAAAAQAgAAAAHgEAAGRycy9lMm9E&#10;b2MueG1sUEsFBgAAAAAGAAYAWQEAAFsFAAAAAA==&#10;">
              <v:fill on="f" focussize="0,0"/>
              <v:stroke on="f"/>
              <v:imagedata o:title=""/>
              <o:lock v:ext="edit" aspectratio="f"/>
              <v:textbox inset="0mm,0mm,0mm,0mm" style="mso-fit-shape-to-text:t;">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JUR0j8QBAACQAwAADgAAAAAAAAABACAAAAAeAQAAZHJzL2Uyb0RvYy54bWxQ&#10;SwUGAAAAAAYABgBZAQAAVAUAAAAA&#10;">
              <v:fill on="f" focussize="0,0"/>
              <v:stroke on="f"/>
              <v:imagedata o:title=""/>
              <o:lock v:ext="edit" aspectratio="f"/>
              <v:textbox inset="0mm,0mm,0mm,0mm" style="mso-fit-shape-to-text:t;">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75E5"/>
    <w:multiLevelType w:val="singleLevel"/>
    <w:tmpl w:val="A1CD75E5"/>
    <w:lvl w:ilvl="0" w:tentative="0">
      <w:start w:val="7"/>
      <w:numFmt w:val="chineseCounting"/>
      <w:suff w:val="nothing"/>
      <w:lvlText w:val="%1、"/>
      <w:lvlJc w:val="left"/>
      <w:rPr>
        <w:rFonts w:hint="eastAsia"/>
      </w:rPr>
    </w:lvl>
  </w:abstractNum>
  <w:abstractNum w:abstractNumId="1">
    <w:nsid w:val="A4D21C59"/>
    <w:multiLevelType w:val="singleLevel"/>
    <w:tmpl w:val="A4D21C59"/>
    <w:lvl w:ilvl="0" w:tentative="0">
      <w:start w:val="2"/>
      <w:numFmt w:val="decimal"/>
      <w:suff w:val="nothing"/>
      <w:lvlText w:val="%1、"/>
      <w:lvlJc w:val="left"/>
    </w:lvl>
  </w:abstractNum>
  <w:abstractNum w:abstractNumId="2">
    <w:nsid w:val="173054A1"/>
    <w:multiLevelType w:val="singleLevel"/>
    <w:tmpl w:val="173054A1"/>
    <w:lvl w:ilvl="0" w:tentative="0">
      <w:start w:val="2"/>
      <w:numFmt w:val="chineseCounting"/>
      <w:suff w:val="nothing"/>
      <w:lvlText w:val="%1、"/>
      <w:lvlJc w:val="left"/>
      <w:pPr>
        <w:ind w:left="64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213"/>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2D28"/>
    <w:rsid w:val="00032AE8"/>
    <w:rsid w:val="000343F0"/>
    <w:rsid w:val="00072F0D"/>
    <w:rsid w:val="00094931"/>
    <w:rsid w:val="000B2F23"/>
    <w:rsid w:val="000D56B0"/>
    <w:rsid w:val="00106382"/>
    <w:rsid w:val="00114DEC"/>
    <w:rsid w:val="001934F0"/>
    <w:rsid w:val="00324290"/>
    <w:rsid w:val="00363635"/>
    <w:rsid w:val="0038047D"/>
    <w:rsid w:val="00387451"/>
    <w:rsid w:val="003D30A6"/>
    <w:rsid w:val="00432267"/>
    <w:rsid w:val="00481CD5"/>
    <w:rsid w:val="004E6CC7"/>
    <w:rsid w:val="005C42E0"/>
    <w:rsid w:val="00637B7A"/>
    <w:rsid w:val="008160EE"/>
    <w:rsid w:val="00830BAE"/>
    <w:rsid w:val="008576AB"/>
    <w:rsid w:val="00894575"/>
    <w:rsid w:val="00935580"/>
    <w:rsid w:val="009D0AA2"/>
    <w:rsid w:val="00B22D8A"/>
    <w:rsid w:val="00D06D6F"/>
    <w:rsid w:val="00D41E29"/>
    <w:rsid w:val="00D54C0A"/>
    <w:rsid w:val="00DA3F16"/>
    <w:rsid w:val="00E469CA"/>
    <w:rsid w:val="00E7167C"/>
    <w:rsid w:val="00F80984"/>
    <w:rsid w:val="00FA6FA9"/>
    <w:rsid w:val="032E37CB"/>
    <w:rsid w:val="04D263B4"/>
    <w:rsid w:val="06420A1B"/>
    <w:rsid w:val="08333FE8"/>
    <w:rsid w:val="08370451"/>
    <w:rsid w:val="085B0156"/>
    <w:rsid w:val="0A1C6FE9"/>
    <w:rsid w:val="0A944102"/>
    <w:rsid w:val="0ABB1666"/>
    <w:rsid w:val="0AD44294"/>
    <w:rsid w:val="0AE926B4"/>
    <w:rsid w:val="0B8F7185"/>
    <w:rsid w:val="0CFB159D"/>
    <w:rsid w:val="0DFC396A"/>
    <w:rsid w:val="0E0F571B"/>
    <w:rsid w:val="0F9F1E78"/>
    <w:rsid w:val="10096DA4"/>
    <w:rsid w:val="10215CB4"/>
    <w:rsid w:val="10585F80"/>
    <w:rsid w:val="11271B64"/>
    <w:rsid w:val="1133621B"/>
    <w:rsid w:val="11BB18E4"/>
    <w:rsid w:val="12AF25C1"/>
    <w:rsid w:val="13852C34"/>
    <w:rsid w:val="13FF00A5"/>
    <w:rsid w:val="14BF7DE7"/>
    <w:rsid w:val="16C900D5"/>
    <w:rsid w:val="172E4BD9"/>
    <w:rsid w:val="184B2A22"/>
    <w:rsid w:val="1A6521E6"/>
    <w:rsid w:val="1ACA4663"/>
    <w:rsid w:val="1BCE151A"/>
    <w:rsid w:val="1DF523A5"/>
    <w:rsid w:val="209F6909"/>
    <w:rsid w:val="20C448E9"/>
    <w:rsid w:val="21812DC5"/>
    <w:rsid w:val="21C15912"/>
    <w:rsid w:val="2371717C"/>
    <w:rsid w:val="23C807DE"/>
    <w:rsid w:val="25863550"/>
    <w:rsid w:val="283F6B11"/>
    <w:rsid w:val="28932427"/>
    <w:rsid w:val="28EC3353"/>
    <w:rsid w:val="2BFE07D6"/>
    <w:rsid w:val="2C3C1A41"/>
    <w:rsid w:val="2C507443"/>
    <w:rsid w:val="2CEF49F6"/>
    <w:rsid w:val="2E63537E"/>
    <w:rsid w:val="2EEF5FD9"/>
    <w:rsid w:val="2FB35037"/>
    <w:rsid w:val="2FC93FF4"/>
    <w:rsid w:val="30132306"/>
    <w:rsid w:val="30381324"/>
    <w:rsid w:val="317E6411"/>
    <w:rsid w:val="329A42F6"/>
    <w:rsid w:val="3513102E"/>
    <w:rsid w:val="35397693"/>
    <w:rsid w:val="366B473C"/>
    <w:rsid w:val="376969C4"/>
    <w:rsid w:val="37762081"/>
    <w:rsid w:val="37D956D5"/>
    <w:rsid w:val="392E39AE"/>
    <w:rsid w:val="39384D36"/>
    <w:rsid w:val="3A8A06E7"/>
    <w:rsid w:val="3B82124B"/>
    <w:rsid w:val="3BA12AA1"/>
    <w:rsid w:val="3C3E0B59"/>
    <w:rsid w:val="3C4210B5"/>
    <w:rsid w:val="3EAB2FEA"/>
    <w:rsid w:val="3F1C5E3D"/>
    <w:rsid w:val="3F830088"/>
    <w:rsid w:val="3FA632F2"/>
    <w:rsid w:val="407E3A67"/>
    <w:rsid w:val="40F022BA"/>
    <w:rsid w:val="4239789C"/>
    <w:rsid w:val="433902ED"/>
    <w:rsid w:val="43F271AB"/>
    <w:rsid w:val="44590959"/>
    <w:rsid w:val="44F37166"/>
    <w:rsid w:val="45346639"/>
    <w:rsid w:val="455516E4"/>
    <w:rsid w:val="46B07483"/>
    <w:rsid w:val="47DF1028"/>
    <w:rsid w:val="48B35666"/>
    <w:rsid w:val="49BB1B04"/>
    <w:rsid w:val="49E22967"/>
    <w:rsid w:val="4D5823CD"/>
    <w:rsid w:val="4DAB6904"/>
    <w:rsid w:val="4DB169DD"/>
    <w:rsid w:val="4FA943A2"/>
    <w:rsid w:val="4FB01B02"/>
    <w:rsid w:val="502D7A79"/>
    <w:rsid w:val="52464F22"/>
    <w:rsid w:val="535B5DBA"/>
    <w:rsid w:val="59B061B7"/>
    <w:rsid w:val="59B93169"/>
    <w:rsid w:val="5BD13EB6"/>
    <w:rsid w:val="5C4A7E24"/>
    <w:rsid w:val="5D685C29"/>
    <w:rsid w:val="5DA95823"/>
    <w:rsid w:val="5EB47358"/>
    <w:rsid w:val="5F9C0DF3"/>
    <w:rsid w:val="60BD4F96"/>
    <w:rsid w:val="60E52D6F"/>
    <w:rsid w:val="61D55C89"/>
    <w:rsid w:val="62191BE3"/>
    <w:rsid w:val="671C4719"/>
    <w:rsid w:val="671E637F"/>
    <w:rsid w:val="68110A46"/>
    <w:rsid w:val="68793817"/>
    <w:rsid w:val="6A43549D"/>
    <w:rsid w:val="6B6B536F"/>
    <w:rsid w:val="6D3E7B19"/>
    <w:rsid w:val="6D9D601E"/>
    <w:rsid w:val="6DC42D27"/>
    <w:rsid w:val="6EBE4790"/>
    <w:rsid w:val="6F566609"/>
    <w:rsid w:val="72B57CB3"/>
    <w:rsid w:val="74501F57"/>
    <w:rsid w:val="76562501"/>
    <w:rsid w:val="765E2CF8"/>
    <w:rsid w:val="767E6408"/>
    <w:rsid w:val="76F7145B"/>
    <w:rsid w:val="77594621"/>
    <w:rsid w:val="77CB1957"/>
    <w:rsid w:val="78C71E86"/>
    <w:rsid w:val="7C71713C"/>
    <w:rsid w:val="7CF234F1"/>
    <w:rsid w:val="7D1644DC"/>
    <w:rsid w:val="7DC0003D"/>
    <w:rsid w:val="7E4D4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ind w:firstLine="200" w:firstLineChars="200"/>
      <w:outlineLvl w:val="2"/>
    </w:pPr>
    <w:rPr>
      <w:rFonts w:ascii="仿宋" w:hAnsi="仿宋" w:cs="宋体"/>
      <w:color w:val="FF000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9"/>
    <w:semiHidden/>
    <w:qFormat/>
    <w:uiPriority w:val="0"/>
    <w:rPr>
      <w:sz w:val="18"/>
      <w:szCs w:val="18"/>
      <w:lang w:val="zh-CN"/>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1"/>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字符"/>
    <w:basedOn w:val="10"/>
    <w:semiHidden/>
    <w:qFormat/>
    <w:uiPriority w:val="99"/>
    <w:rPr>
      <w:rFonts w:ascii="Times New Roman" w:hAnsi="Times New Roman" w:eastAsia="宋体" w:cs="Times New Roman"/>
      <w:sz w:val="18"/>
      <w:szCs w:val="18"/>
    </w:rPr>
  </w:style>
  <w:style w:type="character" w:customStyle="1" w:styleId="17">
    <w:name w:val="正文文本缩进 3 字符"/>
    <w:basedOn w:val="10"/>
    <w:semiHidden/>
    <w:qFormat/>
    <w:uiPriority w:val="99"/>
    <w:rPr>
      <w:rFonts w:ascii="Times New Roman" w:hAnsi="Times New Roman" w:eastAsia="宋体" w:cs="Times New Roman"/>
      <w:sz w:val="16"/>
      <w:szCs w:val="16"/>
    </w:rPr>
  </w:style>
  <w:style w:type="character" w:customStyle="1" w:styleId="18">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9">
    <w:name w:val="批注框文本 字符1"/>
    <w:link w:val="3"/>
    <w:semiHidden/>
    <w:qFormat/>
    <w:uiPriority w:val="0"/>
    <w:rPr>
      <w:rFonts w:ascii="Times New Roman" w:hAnsi="Times New Roman" w:eastAsia="宋体" w:cs="Times New Roman"/>
      <w:sz w:val="18"/>
      <w:szCs w:val="18"/>
      <w:lang w:val="zh-CN" w:eastAsia="zh-CN"/>
    </w:rPr>
  </w:style>
  <w:style w:type="character" w:customStyle="1" w:styleId="20">
    <w:name w:val="页眉 字符1"/>
    <w:qFormat/>
    <w:uiPriority w:val="0"/>
    <w:rPr>
      <w:rFonts w:ascii="Times New Roman" w:hAnsi="Times New Roman" w:eastAsia="宋体" w:cs="Times New Roman"/>
      <w:sz w:val="18"/>
      <w:szCs w:val="18"/>
      <w:lang w:val="zh-CN" w:eastAsia="zh-CN"/>
    </w:rPr>
  </w:style>
  <w:style w:type="character" w:customStyle="1" w:styleId="21">
    <w:name w:val="正文文本缩进 3 字符1"/>
    <w:link w:val="6"/>
    <w:qFormat/>
    <w:uiPriority w:val="0"/>
    <w:rPr>
      <w:rFonts w:ascii="Times New Roman" w:hAnsi="Times New Roman" w:eastAsia="仿宋_GB2312" w:cs="Times New Roman"/>
      <w:sz w:val="32"/>
      <w:szCs w:val="24"/>
      <w:lang w:val="zh-CN" w:eastAsia="zh-CN"/>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普通(网站)1"/>
    <w:basedOn w:val="1"/>
    <w:qFormat/>
    <w:uiPriority w:val="0"/>
    <w:rPr>
      <w:rFonts w:ascii="Calibri" w:hAnsi="Calibri" w:cs="黑体"/>
      <w:sz w:val="24"/>
    </w:rPr>
  </w:style>
  <w:style w:type="paragraph" w:customStyle="1" w:styleId="24">
    <w:name w:val="普通(网站)2"/>
    <w:basedOn w:val="1"/>
    <w:qFormat/>
    <w:uiPriority w:val="0"/>
    <w:rPr>
      <w:rFonts w:ascii="Calibri" w:hAnsi="Calibri" w:cs="黑体"/>
      <w:sz w:val="24"/>
    </w:rPr>
  </w:style>
  <w:style w:type="paragraph" w:customStyle="1" w:styleId="25">
    <w:name w:val="普通(网站)3"/>
    <w:basedOn w:val="1"/>
    <w:qFormat/>
    <w:uiPriority w:val="0"/>
    <w:rPr>
      <w:rFonts w:ascii="Calibri" w:hAnsi="Calibri" w:cs="黑体"/>
      <w:sz w:val="24"/>
    </w:rPr>
  </w:style>
  <w:style w:type="paragraph" w:customStyle="1" w:styleId="26">
    <w:name w:val="无间隔1"/>
    <w:qFormat/>
    <w:uiPriority w:val="1"/>
    <w:pPr>
      <w:widowControl w:val="0"/>
      <w:spacing w:line="660" w:lineRule="exact"/>
      <w:ind w:firstLine="560" w:firstLineChars="200"/>
    </w:pPr>
    <w:rPr>
      <w:rFonts w:ascii="仿宋_GB2312" w:hAnsi="Calibri" w:eastAsia="仿宋_GB2312" w:cs="Times New Roman"/>
      <w:kern w:val="10"/>
      <w:sz w:val="28"/>
      <w:szCs w:val="28"/>
      <w:lang w:val="en-US" w:eastAsia="zh-CN" w:bidi="en-US"/>
    </w:rPr>
  </w:style>
  <w:style w:type="character" w:customStyle="1" w:styleId="27">
    <w:name w:val="font0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1731</Words>
  <Characters>9873</Characters>
  <Lines>82</Lines>
  <Paragraphs>23</Paragraphs>
  <TotalTime>27</TotalTime>
  <ScaleCrop>false</ScaleCrop>
  <LinksUpToDate>false</LinksUpToDate>
  <CharactersWithSpaces>11581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2021-03-22T03:21:00Z</cp:lastPrinted>
  <dcterms:modified xsi:type="dcterms:W3CDTF">2024-03-15T16:25:06Z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7D3785D3AB4B46CBB8D8E3A578E2CB19</vt:lpwstr>
  </property>
</Properties>
</file>