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克孜勒苏柯尔克孜自治州动物疾控中心2021年预算公开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bookmarkStart w:id="0" w:name="_GoBack"/>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克孜勒苏柯尔克孜自治州动物疾控中心部门（单位）概况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2021年克孜勒苏柯尔克孜自治州动物疾控中心部门（单位）预算情况说明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一、关于克孜勒苏柯尔克孜自治州动物疾控中心部门（单位）2021年收支预算情况的总体说明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二、关于克孜勒苏柯尔克孜自治州动物疾控中心部门（单位）2021年收入预算情况说明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三、关于克孜勒苏柯尔克孜自治州动物疾控中心部门（单位）2021年支出预算情况说明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四、关于克孜勒苏柯尔克孜自治州动物疾控中心</w:t>
      </w:r>
      <w:r>
        <w:rPr>
          <w:rFonts w:hint="eastAsia" w:ascii="仿宋_GB2312" w:hAnsi="宋体" w:eastAsia="仿宋_GB2312"/>
          <w:kern w:val="0"/>
          <w:sz w:val="32"/>
          <w:szCs w:val="32"/>
        </w:rPr>
        <w:t>部门（单位）</w:t>
      </w:r>
      <w:r>
        <w:rPr>
          <w:rFonts w:hint="eastAsia" w:ascii="仿宋_GB2312" w:hAnsi="宋体" w:eastAsia="仿宋_GB2312"/>
          <w:bCs/>
          <w:kern w:val="0"/>
          <w:sz w:val="32"/>
          <w:szCs w:val="32"/>
        </w:rPr>
        <w:t>2021年财政拨款收支预算情况的总体说明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五、关于克孜勒苏柯尔克孜自治州动物疾控中心部门（单位）2021年一般公共预算当年拨款情况说明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六、关于克孜勒苏柯尔克孜自治州动物疾控中心部门（单位）2021年一般公共预算基本支出情况说明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七、关于克孜勒苏柯尔克孜自治州动物疾控中心部门（单位）2021年一般公共预算项目支出情况说明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八、关于克孜勒苏柯尔克孜自治州动物疾控中心2021年一般公共预算“三公”经费预算情况说明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九、关于克孜勒苏柯尔克孜自治州动物疾控中心部门（单位）2021年政府性基金预算拨款情况说明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克孜勒苏柯尔克孜自治州动物疾控中心部门（单位）概况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hd w:val="clear" w:color="auto" w:fill="FFFFFF"/>
        <w:spacing w:before="100" w:beforeAutospacing="1" w:after="100" w:afterAutospacing="1" w:line="560" w:lineRule="exact"/>
        <w:ind w:firstLine="482"/>
        <w:jc w:val="left"/>
        <w:rPr>
          <w:rFonts w:ascii="仿宋_GB2312" w:hAnsi="宋体" w:eastAsia="仿宋_GB2312" w:cs="Segoe UI"/>
          <w:color w:val="414141"/>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cs="Segoe UI"/>
          <w:color w:val="414141"/>
          <w:kern w:val="0"/>
          <w:sz w:val="32"/>
          <w:szCs w:val="32"/>
        </w:rPr>
        <w:t>在克州范围内动物疫情的监督检测、诊断，流行病学调查；动物疫情汇总、分析、疫情报告和动物疫情预警预报工作；重大动物疫病防控所需物资的组织工作；人畜共患病及重点病的防疫工作；负责克州范围内的畜产品安全监测检验的采样工作，拟定重大动物疫病预防控制技术方案，指导重大动物疫病预防控制和疫情防治工作；负责克州范围内的动物病原微生物实验室生物安全管理和兽医实验室信息系统管理工作，畜产品安全监测检验及相关的技术交流和培训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克孜勒苏柯尔克孜自治州动物疾控中心无下属预算单位，下设 4个科室，分别是：</w:t>
      </w:r>
      <w:r>
        <w:rPr>
          <w:rFonts w:hint="eastAsia" w:ascii="仿宋_GB2312" w:hAnsi="宋体" w:eastAsia="仿宋_GB2312" w:cs="Segoe UI"/>
          <w:color w:val="414141"/>
          <w:kern w:val="0"/>
          <w:sz w:val="30"/>
          <w:szCs w:val="30"/>
        </w:rPr>
        <w:t>办公室、重大动物疾病监测科、动物食品监测科、常规动物疫情检验科</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克孜勒苏柯尔克孜自治州动物疾控中心编制数15个，实有人数28人，其中：在职15人，增加0人； 退休13人，增加1人；离休0人，增加0人。</w:t>
      </w:r>
    </w:p>
    <w:p>
      <w:pPr>
        <w:widowControl/>
        <w:spacing w:line="560" w:lineRule="exact"/>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p>
    <w:p>
      <w:pPr>
        <w:widowControl/>
        <w:spacing w:line="560" w:lineRule="exact"/>
        <w:ind w:firstLine="640"/>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 xml:space="preserve"> </w:t>
      </w:r>
    </w:p>
    <w:p>
      <w:pPr>
        <w:widowControl/>
        <w:spacing w:line="28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2021年克孜勒苏柯尔克孜自治州动物疾控中心预算公开表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编制部门：克孜勒苏柯尔克孜自治州动物疾控中心                    单位：万元</w:t>
      </w:r>
    </w:p>
    <w:tbl>
      <w:tblPr>
        <w:tblStyle w:val="7"/>
        <w:tblW w:w="0" w:type="auto"/>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223.10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223.10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ind w:firstLine="360" w:firstLineChars="200"/>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w:t>
            </w:r>
            <w:r>
              <w:rPr>
                <w:rFonts w:ascii="仿宋_GB2312" w:hAnsi="宋体" w:eastAsia="仿宋_GB2312" w:cs="宋体"/>
                <w:kern w:val="0"/>
                <w:sz w:val="18"/>
                <w:szCs w:val="18"/>
              </w:rPr>
              <w:t>经营预算</w:t>
            </w:r>
          </w:p>
        </w:tc>
        <w:tc>
          <w:tcPr>
            <w:tcW w:w="1988" w:type="dxa"/>
            <w:tcBorders>
              <w:top w:val="nil"/>
              <w:left w:val="nil"/>
              <w:bottom w:val="single" w:color="auto" w:sz="4" w:space="0"/>
              <w:right w:val="single" w:color="auto" w:sz="4" w:space="0"/>
            </w:tcBorders>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center"/>
          </w:tcPr>
          <w:p>
            <w:pPr>
              <w:widowControl/>
              <w:jc w:val="center"/>
              <w:textAlignment w:val="center"/>
              <w:rPr>
                <w:rFonts w:ascii="仿宋_GB2312" w:hAnsi="宋体" w:eastAsia="仿宋_GB2312" w:cs="宋体"/>
                <w:kern w:val="0"/>
                <w:sz w:val="18"/>
                <w:szCs w:val="18"/>
              </w:rPr>
            </w:pPr>
            <w:r>
              <w:rPr>
                <w:rFonts w:hint="eastAsia" w:ascii="宋体" w:hAnsi="宋体" w:cs="宋体"/>
                <w:color w:val="000000"/>
                <w:kern w:val="0"/>
                <w:sz w:val="18"/>
                <w:szCs w:val="18"/>
                <w:lang w:bidi="ar"/>
              </w:rPr>
              <w:t>7.00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center"/>
          </w:tcPr>
          <w:p>
            <w:pPr>
              <w:widowControl/>
              <w:jc w:val="center"/>
              <w:textAlignment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widowControl/>
              <w:jc w:val="center"/>
              <w:textAlignment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254.75</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widowControl/>
              <w:jc w:val="center"/>
              <w:textAlignment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center"/>
          </w:tcPr>
          <w:p>
            <w:pPr>
              <w:widowControl/>
              <w:jc w:val="center"/>
              <w:textAlignment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center"/>
          </w:tcPr>
          <w:p>
            <w:pPr>
              <w:widowControl/>
              <w:jc w:val="center"/>
              <w:textAlignment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jc w:val="center"/>
              <w:textAlignment w:val="center"/>
              <w:rPr>
                <w:rFonts w:ascii="仿宋_GB2312" w:hAnsi="宋体" w:eastAsia="仿宋_GB2312" w:cs="宋体"/>
                <w:kern w:val="0"/>
                <w:sz w:val="18"/>
                <w:szCs w:val="18"/>
              </w:rPr>
            </w:pPr>
            <w:r>
              <w:rPr>
                <w:rFonts w:hint="eastAsia" w:ascii="宋体" w:hAnsi="宋体" w:cs="宋体"/>
                <w:color w:val="000000"/>
                <w:kern w:val="0"/>
                <w:sz w:val="20"/>
                <w:szCs w:val="20"/>
                <w:lang w:bidi="ar"/>
              </w:rPr>
              <w:t>收      入      总      计</w:t>
            </w:r>
          </w:p>
        </w:tc>
        <w:tc>
          <w:tcPr>
            <w:tcW w:w="198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kern w:val="0"/>
                <w:sz w:val="18"/>
                <w:szCs w:val="18"/>
              </w:rPr>
            </w:pPr>
            <w:r>
              <w:rPr>
                <w:rFonts w:hint="eastAsia" w:ascii="宋体" w:hAnsi="宋体" w:cs="宋体"/>
                <w:color w:val="000000"/>
                <w:kern w:val="0"/>
                <w:sz w:val="18"/>
                <w:szCs w:val="18"/>
                <w:lang w:bidi="ar"/>
              </w:rPr>
              <w:t>254.75</w:t>
            </w:r>
          </w:p>
        </w:tc>
        <w:tc>
          <w:tcPr>
            <w:tcW w:w="2693" w:type="dxa"/>
            <w:tcBorders>
              <w:top w:val="nil"/>
              <w:left w:val="nil"/>
              <w:bottom w:val="single" w:color="auto" w:sz="4" w:space="0"/>
              <w:right w:val="nil"/>
            </w:tcBorders>
            <w:noWrap/>
            <w:vAlign w:val="center"/>
          </w:tcPr>
          <w:p>
            <w:pPr>
              <w:widowControl/>
              <w:jc w:val="center"/>
              <w:textAlignment w:val="center"/>
              <w:rPr>
                <w:rFonts w:ascii="仿宋_GB2312" w:hAnsi="宋体" w:eastAsia="仿宋_GB2312" w:cs="宋体"/>
                <w:kern w:val="0"/>
                <w:sz w:val="20"/>
                <w:szCs w:val="20"/>
              </w:rPr>
            </w:pPr>
            <w:r>
              <w:rPr>
                <w:rFonts w:hint="eastAsia" w:ascii="宋体" w:hAnsi="宋体" w:cs="宋体"/>
                <w:color w:val="000000"/>
                <w:kern w:val="0"/>
                <w:sz w:val="20"/>
                <w:szCs w:val="20"/>
                <w:lang w:bidi="ar"/>
              </w:rPr>
              <w:t>支   出  总   计</w:t>
            </w:r>
          </w:p>
        </w:tc>
        <w:tc>
          <w:tcPr>
            <w:tcW w:w="1701" w:type="dxa"/>
            <w:tcBorders>
              <w:top w:val="nil"/>
              <w:left w:val="single" w:color="auto" w:sz="4" w:space="0"/>
              <w:bottom w:val="single" w:color="auto" w:sz="4" w:space="0"/>
              <w:right w:val="single" w:color="auto" w:sz="4" w:space="0"/>
            </w:tcBorders>
            <w:noWrap/>
            <w:vAlign w:val="center"/>
          </w:tcPr>
          <w:p>
            <w:pPr>
              <w:widowControl/>
              <w:jc w:val="center"/>
              <w:textAlignment w:val="center"/>
              <w:rPr>
                <w:rFonts w:ascii="仿宋_GB2312" w:hAnsi="宋体" w:eastAsia="仿宋_GB2312" w:cs="宋体"/>
                <w:kern w:val="0"/>
                <w:sz w:val="18"/>
                <w:szCs w:val="18"/>
              </w:rPr>
            </w:pPr>
            <w:r>
              <w:rPr>
                <w:rFonts w:hint="eastAsia" w:ascii="宋体" w:hAnsi="宋体" w:cs="宋体"/>
                <w:color w:val="000000"/>
                <w:kern w:val="0"/>
                <w:sz w:val="18"/>
                <w:szCs w:val="18"/>
                <w:lang w:bidi="ar"/>
              </w:rPr>
              <w:t>254.75</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编制部门：克孜勒苏柯尔克孜自治州动物疾控中心                 单位：万元</w:t>
      </w:r>
    </w:p>
    <w:tbl>
      <w:tblPr>
        <w:tblStyle w:val="7"/>
        <w:tblW w:w="10651" w:type="dxa"/>
        <w:tblInd w:w="-450" w:type="dxa"/>
        <w:tblLayout w:type="fixed"/>
        <w:tblCellMar>
          <w:top w:w="0" w:type="dxa"/>
          <w:left w:w="108" w:type="dxa"/>
          <w:bottom w:w="0" w:type="dxa"/>
          <w:right w:w="108" w:type="dxa"/>
        </w:tblCellMar>
      </w:tblPr>
      <w:tblGrid>
        <w:gridCol w:w="488"/>
        <w:gridCol w:w="435"/>
        <w:gridCol w:w="510"/>
        <w:gridCol w:w="1380"/>
        <w:gridCol w:w="900"/>
        <w:gridCol w:w="915"/>
        <w:gridCol w:w="630"/>
        <w:gridCol w:w="645"/>
        <w:gridCol w:w="496"/>
        <w:gridCol w:w="567"/>
        <w:gridCol w:w="567"/>
        <w:gridCol w:w="567"/>
        <w:gridCol w:w="567"/>
        <w:gridCol w:w="731"/>
        <w:gridCol w:w="403"/>
        <w:gridCol w:w="850"/>
      </w:tblGrid>
      <w:tr>
        <w:tblPrEx>
          <w:tblCellMar>
            <w:top w:w="0" w:type="dxa"/>
            <w:left w:w="108" w:type="dxa"/>
            <w:bottom w:w="0" w:type="dxa"/>
            <w:right w:w="108" w:type="dxa"/>
          </w:tblCellMar>
        </w:tblPrEx>
        <w:trPr>
          <w:trHeight w:val="2671"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38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0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1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3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4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496"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国有资本</w:t>
            </w:r>
            <w:r>
              <w:rPr>
                <w:rFonts w:ascii="仿宋_GB2312" w:eastAsia="仿宋_GB2312"/>
                <w:b/>
                <w:color w:val="000000"/>
                <w:sz w:val="20"/>
                <w:szCs w:val="20"/>
              </w:rPr>
              <w:t>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731"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403"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213</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38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农林水支出</w:t>
            </w:r>
          </w:p>
        </w:tc>
        <w:tc>
          <w:tcPr>
            <w:tcW w:w="90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254.75 </w:t>
            </w:r>
          </w:p>
        </w:tc>
        <w:tc>
          <w:tcPr>
            <w:tcW w:w="91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223.10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96"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731"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lang w:bidi="ar"/>
              </w:rPr>
              <w:t xml:space="preserve">7.00 </w:t>
            </w:r>
          </w:p>
        </w:tc>
        <w:tc>
          <w:tcPr>
            <w:tcW w:w="403"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lang w:bidi="ar"/>
              </w:rPr>
              <w:t xml:space="preserve">24.65 </w:t>
            </w:r>
          </w:p>
        </w:tc>
      </w:tr>
      <w:tr>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  213</w:t>
            </w:r>
          </w:p>
        </w:tc>
        <w:tc>
          <w:tcPr>
            <w:tcW w:w="43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01</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38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  农业农村</w:t>
            </w:r>
          </w:p>
        </w:tc>
        <w:tc>
          <w:tcPr>
            <w:tcW w:w="90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254.75 </w:t>
            </w:r>
          </w:p>
        </w:tc>
        <w:tc>
          <w:tcPr>
            <w:tcW w:w="91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223.10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96"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731"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lang w:bidi="ar"/>
              </w:rPr>
              <w:t xml:space="preserve">7.00 </w:t>
            </w:r>
          </w:p>
        </w:tc>
        <w:tc>
          <w:tcPr>
            <w:tcW w:w="403"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lang w:bidi="ar"/>
              </w:rPr>
              <w:t xml:space="preserve">24.65 </w:t>
            </w:r>
          </w:p>
        </w:tc>
      </w:tr>
      <w:tr>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    213</w:t>
            </w:r>
          </w:p>
        </w:tc>
        <w:tc>
          <w:tcPr>
            <w:tcW w:w="43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  01</w:t>
            </w:r>
          </w:p>
        </w:tc>
        <w:tc>
          <w:tcPr>
            <w:tcW w:w="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08</w:t>
            </w:r>
          </w:p>
        </w:tc>
        <w:tc>
          <w:tcPr>
            <w:tcW w:w="138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    病虫害控制</w:t>
            </w:r>
          </w:p>
        </w:tc>
        <w:tc>
          <w:tcPr>
            <w:tcW w:w="90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24.65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96"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731"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403"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lang w:bidi="ar"/>
              </w:rPr>
              <w:t xml:space="preserve">24.65 </w:t>
            </w:r>
          </w:p>
        </w:tc>
      </w:tr>
      <w:tr>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    213</w:t>
            </w:r>
          </w:p>
        </w:tc>
        <w:tc>
          <w:tcPr>
            <w:tcW w:w="43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  01</w:t>
            </w:r>
          </w:p>
        </w:tc>
        <w:tc>
          <w:tcPr>
            <w:tcW w:w="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99</w:t>
            </w:r>
          </w:p>
        </w:tc>
        <w:tc>
          <w:tcPr>
            <w:tcW w:w="138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    其他农业农村支出</w:t>
            </w:r>
          </w:p>
        </w:tc>
        <w:tc>
          <w:tcPr>
            <w:tcW w:w="90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12.00 </w:t>
            </w:r>
          </w:p>
        </w:tc>
        <w:tc>
          <w:tcPr>
            <w:tcW w:w="91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5.00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96"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731"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lang w:bidi="ar"/>
              </w:rPr>
              <w:t xml:space="preserve">7.00 </w:t>
            </w:r>
          </w:p>
        </w:tc>
        <w:tc>
          <w:tcPr>
            <w:tcW w:w="403"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    213</w:t>
            </w:r>
          </w:p>
        </w:tc>
        <w:tc>
          <w:tcPr>
            <w:tcW w:w="43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  01</w:t>
            </w:r>
          </w:p>
        </w:tc>
        <w:tc>
          <w:tcPr>
            <w:tcW w:w="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04</w:t>
            </w:r>
          </w:p>
        </w:tc>
        <w:tc>
          <w:tcPr>
            <w:tcW w:w="138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    事业运行（农业）</w:t>
            </w:r>
          </w:p>
        </w:tc>
        <w:tc>
          <w:tcPr>
            <w:tcW w:w="90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218.10 </w:t>
            </w:r>
          </w:p>
        </w:tc>
        <w:tc>
          <w:tcPr>
            <w:tcW w:w="91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218.10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96"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731"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403"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03"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03"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03"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03"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03"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48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03"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811" w:hRule="atLeast"/>
        </w:trPr>
        <w:tc>
          <w:tcPr>
            <w:tcW w:w="48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03"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trPr>
        <w:tc>
          <w:tcPr>
            <w:tcW w:w="48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0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254.75 </w:t>
            </w:r>
          </w:p>
        </w:tc>
        <w:tc>
          <w:tcPr>
            <w:tcW w:w="91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lang w:bidi="ar"/>
              </w:rPr>
              <w:t xml:space="preserve">223.10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96"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67" w:type="dxa"/>
            <w:tcBorders>
              <w:top w:val="nil"/>
              <w:left w:val="nil"/>
              <w:bottom w:val="single" w:color="auto" w:sz="4" w:space="0"/>
              <w:right w:val="nil"/>
            </w:tcBorders>
            <w:vAlign w:val="center"/>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731"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lang w:bidi="ar"/>
              </w:rPr>
              <w:t xml:space="preserve">7.00 </w:t>
            </w:r>
          </w:p>
        </w:tc>
        <w:tc>
          <w:tcPr>
            <w:tcW w:w="403"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widowControl/>
              <w:jc w:val="right"/>
              <w:textAlignment w:val="center"/>
              <w:rPr>
                <w:rFonts w:ascii="仿宋_GB2312" w:eastAsia="仿宋_GB2312"/>
                <w:color w:val="000000"/>
                <w:sz w:val="20"/>
                <w:szCs w:val="20"/>
              </w:rPr>
            </w:pPr>
            <w:r>
              <w:rPr>
                <w:rFonts w:hint="eastAsia" w:ascii="宋体" w:hAnsi="宋体" w:cs="宋体"/>
                <w:color w:val="000000"/>
                <w:kern w:val="0"/>
                <w:sz w:val="20"/>
                <w:szCs w:val="20"/>
                <w:lang w:bidi="ar"/>
              </w:rPr>
              <w:t xml:space="preserve">24.65 </w:t>
            </w:r>
          </w:p>
        </w:tc>
      </w:tr>
    </w:tbl>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编制部门：克孜勒苏柯尔克孜自治州动物疾控中心                     单位：万元</w:t>
      </w:r>
    </w:p>
    <w:tbl>
      <w:tblPr>
        <w:tblStyle w:val="7"/>
        <w:tblW w:w="9420" w:type="dxa"/>
        <w:tblInd w:w="-240" w:type="dxa"/>
        <w:tblLayout w:type="fixed"/>
        <w:tblCellMar>
          <w:top w:w="0" w:type="dxa"/>
          <w:left w:w="108" w:type="dxa"/>
          <w:bottom w:w="0" w:type="dxa"/>
          <w:right w:w="108" w:type="dxa"/>
        </w:tblCellMar>
      </w:tblPr>
      <w:tblGrid>
        <w:gridCol w:w="644"/>
        <w:gridCol w:w="465"/>
        <w:gridCol w:w="735"/>
        <w:gridCol w:w="1961"/>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844"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196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196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20"/>
                <w:szCs w:val="20"/>
                <w:lang w:bidi="ar"/>
              </w:rPr>
              <w:t>213</w:t>
            </w:r>
          </w:p>
        </w:tc>
        <w:tc>
          <w:tcPr>
            <w:tcW w:w="46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73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1961"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2"/>
                <w:szCs w:val="22"/>
              </w:rPr>
            </w:pPr>
            <w:r>
              <w:rPr>
                <w:rFonts w:hint="eastAsia" w:ascii="宋体" w:hAnsi="宋体" w:cs="宋体"/>
                <w:color w:val="000000"/>
                <w:kern w:val="0"/>
                <w:sz w:val="20"/>
                <w:szCs w:val="20"/>
                <w:lang w:bidi="ar"/>
              </w:rPr>
              <w:t>农林水支出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color w:val="000000"/>
                <w:kern w:val="0"/>
                <w:sz w:val="18"/>
                <w:szCs w:val="18"/>
              </w:rPr>
              <w:t>254.75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color w:val="000000"/>
                <w:kern w:val="0"/>
                <w:sz w:val="18"/>
                <w:szCs w:val="18"/>
              </w:rPr>
              <w:t>218.1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color w:val="000000"/>
                <w:kern w:val="0"/>
                <w:sz w:val="18"/>
                <w:szCs w:val="18"/>
              </w:rPr>
              <w:t>36.65</w:t>
            </w: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20"/>
                <w:szCs w:val="20"/>
                <w:lang w:bidi="ar"/>
              </w:rPr>
              <w:t xml:space="preserve">  213</w:t>
            </w:r>
          </w:p>
        </w:tc>
        <w:tc>
          <w:tcPr>
            <w:tcW w:w="465"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16"/>
                <w:szCs w:val="16"/>
              </w:rPr>
            </w:pPr>
            <w:r>
              <w:rPr>
                <w:rFonts w:hint="eastAsia" w:ascii="宋体" w:hAnsi="宋体" w:cs="宋体"/>
                <w:color w:val="000000"/>
                <w:kern w:val="0"/>
                <w:sz w:val="20"/>
                <w:szCs w:val="20"/>
                <w:lang w:bidi="ar"/>
              </w:rPr>
              <w:t>01</w:t>
            </w:r>
          </w:p>
        </w:tc>
        <w:tc>
          <w:tcPr>
            <w:tcW w:w="73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1961"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2"/>
                <w:szCs w:val="22"/>
              </w:rPr>
            </w:pPr>
            <w:r>
              <w:rPr>
                <w:rFonts w:hint="eastAsia" w:ascii="宋体" w:hAnsi="宋体" w:cs="宋体"/>
                <w:color w:val="000000"/>
                <w:kern w:val="0"/>
                <w:sz w:val="20"/>
                <w:szCs w:val="20"/>
                <w:lang w:bidi="ar"/>
              </w:rPr>
              <w:t xml:space="preserve">  农业农村</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color w:val="000000"/>
                <w:kern w:val="0"/>
                <w:sz w:val="18"/>
                <w:szCs w:val="18"/>
              </w:rPr>
              <w:t>254.75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color w:val="000000"/>
                <w:kern w:val="0"/>
                <w:sz w:val="18"/>
                <w:szCs w:val="18"/>
              </w:rPr>
              <w:t>218.1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color w:val="000000"/>
                <w:kern w:val="0"/>
                <w:sz w:val="18"/>
                <w:szCs w:val="18"/>
              </w:rPr>
              <w:t>36.65</w:t>
            </w: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213</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01</w:t>
            </w: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99</w:t>
            </w: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其他农业农村支出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12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　12</w:t>
            </w: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213</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01</w:t>
            </w: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04</w:t>
            </w: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事业运行（农业）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　218.1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218.1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213</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01</w:t>
            </w: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08</w:t>
            </w: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病虫害控制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　24.65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24.65　</w:t>
            </w: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4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7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64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5"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73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19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254.75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218.1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color w:val="000000"/>
                <w:kern w:val="0"/>
                <w:sz w:val="18"/>
                <w:szCs w:val="18"/>
              </w:rPr>
              <w:t>36.65</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编制部门：克孜勒苏柯尔克孜自治州动物疾控中心                             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w:t>
            </w:r>
            <w:r>
              <w:rPr>
                <w:rFonts w:ascii="仿宋_GB2312" w:hAnsi="宋体" w:eastAsia="仿宋_GB2312" w:cs="宋体"/>
                <w:b/>
                <w:kern w:val="0"/>
                <w:sz w:val="20"/>
                <w:szCs w:val="20"/>
              </w:rPr>
              <w:t>资本经营预算</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一、财政拨款（补助）</w:t>
            </w:r>
          </w:p>
        </w:tc>
        <w:tc>
          <w:tcPr>
            <w:tcW w:w="105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5"/>
                <w:szCs w:val="15"/>
              </w:rPr>
            </w:pPr>
            <w:r>
              <w:rPr>
                <w:rFonts w:hint="eastAsia" w:ascii="宋体" w:hAnsi="宋体" w:cs="宋体"/>
                <w:color w:val="000000"/>
                <w:kern w:val="0"/>
                <w:sz w:val="15"/>
                <w:szCs w:val="15"/>
                <w:lang w:bidi="ar"/>
              </w:rPr>
              <w:t xml:space="preserve">223.10 </w:t>
            </w:r>
          </w:p>
        </w:tc>
        <w:tc>
          <w:tcPr>
            <w:tcW w:w="2580" w:type="dxa"/>
            <w:tcBorders>
              <w:top w:val="single" w:color="auto" w:sz="4" w:space="0"/>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201 一般公共服务支出</w:t>
            </w:r>
          </w:p>
        </w:tc>
        <w:tc>
          <w:tcPr>
            <w:tcW w:w="901" w:type="dxa"/>
            <w:tcBorders>
              <w:top w:val="single" w:color="auto" w:sz="4" w:space="0"/>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single" w:color="auto" w:sz="4" w:space="0"/>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5"/>
                <w:szCs w:val="15"/>
                <w:lang w:bidi="ar"/>
              </w:rPr>
              <w:t xml:space="preserve">       一般公共预算</w:t>
            </w:r>
          </w:p>
        </w:tc>
        <w:tc>
          <w:tcPr>
            <w:tcW w:w="105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5"/>
                <w:szCs w:val="15"/>
              </w:rPr>
            </w:pPr>
            <w:r>
              <w:rPr>
                <w:rFonts w:hint="eastAsia" w:ascii="宋体" w:hAnsi="宋体" w:cs="宋体"/>
                <w:color w:val="000000"/>
                <w:kern w:val="0"/>
                <w:sz w:val="15"/>
                <w:szCs w:val="15"/>
                <w:lang w:bidi="ar"/>
              </w:rPr>
              <w:t xml:space="preserve">223.10 </w:t>
            </w: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202 外交支出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5"/>
                <w:szCs w:val="15"/>
                <w:lang w:bidi="ar"/>
              </w:rPr>
              <w:t xml:space="preserve">        政府性基金预算</w:t>
            </w:r>
          </w:p>
        </w:tc>
        <w:tc>
          <w:tcPr>
            <w:tcW w:w="10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203 国防支出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widowControl/>
              <w:jc w:val="left"/>
              <w:textAlignment w:val="bottom"/>
              <w:rPr>
                <w:rFonts w:ascii="仿宋_GB2312" w:hAnsi="宋体" w:eastAsia="仿宋_GB2312" w:cs="宋体"/>
                <w:kern w:val="0"/>
                <w:sz w:val="15"/>
                <w:szCs w:val="15"/>
              </w:rPr>
            </w:pPr>
            <w:r>
              <w:rPr>
                <w:rFonts w:hint="eastAsia" w:ascii="宋体" w:hAnsi="宋体" w:cs="宋体"/>
                <w:color w:val="000000"/>
                <w:kern w:val="0"/>
                <w:sz w:val="15"/>
                <w:szCs w:val="15"/>
                <w:lang w:bidi="ar"/>
              </w:rPr>
              <w:t xml:space="preserve">         国有资本经营预算</w:t>
            </w: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204 公共安全支出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205 教育支出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206 科学技术支出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207 文化旅游体育与传媒支出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208 社会保障和就业支出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209 社会保险基金支出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bottom"/>
          </w:tcPr>
          <w:p>
            <w:pPr>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210 卫生健康支出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bottom"/>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211 节能环保支出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212 城乡社区支出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213 农林水支出</w:t>
            </w:r>
          </w:p>
        </w:tc>
        <w:tc>
          <w:tcPr>
            <w:tcW w:w="9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5"/>
                <w:szCs w:val="15"/>
              </w:rPr>
            </w:pPr>
            <w:r>
              <w:rPr>
                <w:rFonts w:hint="eastAsia" w:ascii="宋体" w:hAnsi="宋体" w:cs="宋体"/>
                <w:color w:val="000000"/>
                <w:kern w:val="0"/>
                <w:sz w:val="15"/>
                <w:szCs w:val="15"/>
                <w:lang w:bidi="ar"/>
              </w:rPr>
              <w:t xml:space="preserve">223.10 </w:t>
            </w:r>
          </w:p>
        </w:tc>
        <w:tc>
          <w:tcPr>
            <w:tcW w:w="850"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5"/>
                <w:szCs w:val="15"/>
              </w:rPr>
            </w:pPr>
            <w:r>
              <w:rPr>
                <w:rFonts w:hint="eastAsia" w:ascii="宋体" w:hAnsi="宋体" w:cs="宋体"/>
                <w:color w:val="000000"/>
                <w:kern w:val="0"/>
                <w:sz w:val="15"/>
                <w:szCs w:val="15"/>
                <w:lang w:bidi="ar"/>
              </w:rPr>
              <w:t xml:space="preserve">223.10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214 交通运输支出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215 资源勘探工业信息等支出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216 商业服务业等支出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217 金融支出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219 援助其他地区支出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220 自然资源海洋气象等支出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221 住房保障支出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222 粮油物资管理支出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223 国有资本经营预算支出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224 灾害防治及应急管理支出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227 预备费</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229 其他支出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bottom"/>
          </w:tcPr>
          <w:p>
            <w:pPr>
              <w:widowControl/>
              <w:jc w:val="left"/>
              <w:textAlignment w:val="bottom"/>
              <w:rPr>
                <w:rFonts w:ascii="仿宋_GB2312" w:hAnsi="宋体" w:eastAsia="仿宋_GB2312" w:cs="宋体"/>
                <w:kern w:val="0"/>
                <w:sz w:val="15"/>
                <w:szCs w:val="15"/>
              </w:rPr>
            </w:pPr>
            <w:r>
              <w:rPr>
                <w:rFonts w:hint="eastAsia" w:ascii="宋体" w:hAnsi="宋体" w:cs="宋体"/>
                <w:color w:val="000000"/>
                <w:kern w:val="0"/>
                <w:sz w:val="15"/>
                <w:szCs w:val="15"/>
                <w:lang w:bidi="ar"/>
              </w:rPr>
              <w:t>231 债务还本支出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232 债务付息支出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color w:val="000000"/>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233 债务发行费支出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color w:val="000000"/>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rPr>
                <w:rFonts w:ascii="仿宋_GB2312" w:hAnsi="宋体" w:eastAsia="仿宋_GB2312" w:cs="宋体"/>
                <w:kern w:val="0"/>
                <w:sz w:val="15"/>
                <w:szCs w:val="15"/>
              </w:rPr>
            </w:pPr>
          </w:p>
        </w:tc>
        <w:tc>
          <w:tcPr>
            <w:tcW w:w="1055" w:type="dxa"/>
            <w:tcBorders>
              <w:top w:val="nil"/>
              <w:left w:val="nil"/>
              <w:bottom w:val="single" w:color="auto" w:sz="4" w:space="0"/>
              <w:right w:val="single" w:color="auto" w:sz="4" w:space="0"/>
            </w:tcBorders>
            <w:noWrap/>
            <w:vAlign w:val="center"/>
          </w:tcPr>
          <w:p>
            <w:pPr>
              <w:jc w:val="right"/>
              <w:rPr>
                <w:rFonts w:ascii="仿宋_GB2312" w:hAnsi="宋体" w:eastAsia="仿宋_GB2312" w:cs="宋体"/>
                <w:color w:val="000000"/>
                <w:kern w:val="0"/>
                <w:sz w:val="15"/>
                <w:szCs w:val="15"/>
              </w:rPr>
            </w:pPr>
          </w:p>
        </w:tc>
        <w:tc>
          <w:tcPr>
            <w:tcW w:w="2580" w:type="dxa"/>
            <w:tcBorders>
              <w:top w:val="nil"/>
              <w:left w:val="nil"/>
              <w:bottom w:val="single" w:color="auto" w:sz="4" w:space="0"/>
              <w:right w:val="single" w:color="auto" w:sz="4" w:space="0"/>
            </w:tcBorders>
            <w:noWrap/>
            <w:vAlign w:val="center"/>
          </w:tcPr>
          <w:p>
            <w:pPr>
              <w:widowControl/>
              <w:jc w:val="left"/>
              <w:textAlignment w:val="center"/>
              <w:rPr>
                <w:rFonts w:ascii="仿宋_GB2312" w:hAnsi="宋体" w:eastAsia="仿宋_GB2312" w:cs="宋体"/>
                <w:kern w:val="0"/>
                <w:sz w:val="15"/>
                <w:szCs w:val="15"/>
              </w:rPr>
            </w:pPr>
            <w:r>
              <w:rPr>
                <w:rFonts w:hint="eastAsia" w:ascii="宋体" w:hAnsi="宋体" w:cs="宋体"/>
                <w:color w:val="000000"/>
                <w:kern w:val="0"/>
                <w:sz w:val="15"/>
                <w:szCs w:val="15"/>
                <w:lang w:bidi="ar"/>
              </w:rPr>
              <w:t>234 抗疫特别国债安排的支出</w:t>
            </w:r>
          </w:p>
        </w:tc>
        <w:tc>
          <w:tcPr>
            <w:tcW w:w="901"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850" w:type="dxa"/>
            <w:tcBorders>
              <w:top w:val="nil"/>
              <w:left w:val="nil"/>
              <w:bottom w:val="single" w:color="auto" w:sz="4" w:space="0"/>
              <w:right w:val="single" w:color="auto" w:sz="4" w:space="0"/>
            </w:tcBorders>
            <w:vAlign w:val="center"/>
          </w:tcPr>
          <w:p>
            <w:pPr>
              <w:jc w:val="right"/>
              <w:rPr>
                <w:rFonts w:ascii="宋体" w:hAnsi="宋体" w:cs="宋体"/>
                <w:kern w:val="0"/>
                <w:sz w:val="15"/>
                <w:szCs w:val="15"/>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jc w:val="center"/>
              <w:textAlignment w:val="center"/>
              <w:rPr>
                <w:rFonts w:ascii="仿宋_GB2312" w:hAnsi="宋体" w:eastAsia="仿宋_GB2312" w:cs="宋体"/>
                <w:kern w:val="0"/>
                <w:sz w:val="13"/>
                <w:szCs w:val="13"/>
              </w:rPr>
            </w:pPr>
            <w:r>
              <w:rPr>
                <w:rFonts w:hint="eastAsia" w:ascii="宋体" w:hAnsi="宋体" w:cs="宋体"/>
                <w:color w:val="000000"/>
                <w:kern w:val="0"/>
                <w:sz w:val="13"/>
                <w:szCs w:val="13"/>
                <w:lang w:bidi="ar"/>
              </w:rPr>
              <w:t>收      入      总      计</w:t>
            </w:r>
          </w:p>
        </w:tc>
        <w:tc>
          <w:tcPr>
            <w:tcW w:w="1055" w:type="dxa"/>
            <w:tcBorders>
              <w:top w:val="nil"/>
              <w:left w:val="nil"/>
              <w:bottom w:val="single" w:color="auto" w:sz="4" w:space="0"/>
              <w:right w:val="single" w:color="auto" w:sz="4" w:space="0"/>
            </w:tcBorders>
            <w:noWrap/>
            <w:vAlign w:val="center"/>
          </w:tcPr>
          <w:p>
            <w:pPr>
              <w:widowControl/>
              <w:jc w:val="center"/>
              <w:textAlignment w:val="center"/>
              <w:rPr>
                <w:rFonts w:ascii="仿宋_GB2312" w:hAnsi="宋体" w:eastAsia="仿宋_GB2312" w:cs="宋体"/>
                <w:color w:val="000000"/>
                <w:kern w:val="0"/>
                <w:sz w:val="13"/>
                <w:szCs w:val="13"/>
              </w:rPr>
            </w:pPr>
            <w:r>
              <w:rPr>
                <w:rFonts w:hint="eastAsia" w:ascii="宋体" w:hAnsi="宋体" w:cs="宋体"/>
                <w:color w:val="000000"/>
                <w:kern w:val="0"/>
                <w:sz w:val="13"/>
                <w:szCs w:val="13"/>
                <w:lang w:bidi="ar"/>
              </w:rPr>
              <w:t>223.10</w:t>
            </w:r>
          </w:p>
        </w:tc>
        <w:tc>
          <w:tcPr>
            <w:tcW w:w="2580" w:type="dxa"/>
            <w:tcBorders>
              <w:top w:val="nil"/>
              <w:left w:val="nil"/>
              <w:bottom w:val="single" w:color="auto" w:sz="4" w:space="0"/>
              <w:right w:val="single" w:color="auto" w:sz="4" w:space="0"/>
            </w:tcBorders>
            <w:noWrap/>
            <w:vAlign w:val="center"/>
          </w:tcPr>
          <w:p>
            <w:pPr>
              <w:widowControl/>
              <w:jc w:val="center"/>
              <w:textAlignment w:val="center"/>
              <w:rPr>
                <w:rFonts w:ascii="仿宋_GB2312" w:hAnsi="宋体" w:eastAsia="仿宋_GB2312" w:cs="宋体"/>
                <w:kern w:val="0"/>
                <w:sz w:val="13"/>
                <w:szCs w:val="13"/>
              </w:rPr>
            </w:pPr>
            <w:r>
              <w:rPr>
                <w:rFonts w:hint="eastAsia" w:ascii="宋体" w:hAnsi="宋体" w:cs="宋体"/>
                <w:color w:val="000000"/>
                <w:kern w:val="0"/>
                <w:sz w:val="13"/>
                <w:szCs w:val="13"/>
                <w:lang w:bidi="ar"/>
              </w:rPr>
              <w:t>支   出  总   计</w:t>
            </w:r>
          </w:p>
        </w:tc>
        <w:tc>
          <w:tcPr>
            <w:tcW w:w="901"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kern w:val="0"/>
                <w:sz w:val="13"/>
                <w:szCs w:val="13"/>
              </w:rPr>
            </w:pPr>
            <w:r>
              <w:rPr>
                <w:rFonts w:hint="eastAsia" w:ascii="宋体" w:hAnsi="宋体" w:cs="宋体"/>
                <w:color w:val="000000"/>
                <w:kern w:val="0"/>
                <w:sz w:val="13"/>
                <w:szCs w:val="13"/>
                <w:lang w:bidi="ar"/>
              </w:rPr>
              <w:t>223.10</w:t>
            </w:r>
          </w:p>
        </w:tc>
        <w:tc>
          <w:tcPr>
            <w:tcW w:w="85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kern w:val="0"/>
                <w:sz w:val="13"/>
                <w:szCs w:val="13"/>
              </w:rPr>
            </w:pPr>
            <w:r>
              <w:rPr>
                <w:rFonts w:hint="eastAsia" w:ascii="宋体" w:hAnsi="宋体" w:cs="宋体"/>
                <w:color w:val="000000"/>
                <w:kern w:val="0"/>
                <w:sz w:val="13"/>
                <w:szCs w:val="13"/>
                <w:lang w:bidi="ar"/>
              </w:rPr>
              <w:t>223.10</w:t>
            </w:r>
          </w:p>
        </w:tc>
        <w:tc>
          <w:tcPr>
            <w:tcW w:w="113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3"/>
                <w:szCs w:val="13"/>
              </w:rPr>
            </w:pPr>
          </w:p>
        </w:tc>
        <w:tc>
          <w:tcPr>
            <w:tcW w:w="1134" w:type="dxa"/>
            <w:tcBorders>
              <w:top w:val="single" w:color="auto" w:sz="4" w:space="0"/>
              <w:bottom w:val="single" w:color="auto" w:sz="4" w:space="0"/>
              <w:right w:val="single" w:color="auto" w:sz="4" w:space="0"/>
            </w:tcBorders>
            <w:vAlign w:val="center"/>
          </w:tcPr>
          <w:p>
            <w:pPr>
              <w:widowControl/>
              <w:jc w:val="left"/>
              <w:textAlignment w:val="center"/>
              <w:rPr>
                <w:rFonts w:ascii="宋体" w:hAnsi="宋体" w:cs="宋体"/>
                <w:kern w:val="0"/>
                <w:sz w:val="13"/>
                <w:szCs w:val="13"/>
              </w:rPr>
            </w:pPr>
          </w:p>
        </w:tc>
      </w:tr>
    </w:tbl>
    <w:p>
      <w:pPr>
        <w:widowControl/>
        <w:outlineLvl w:val="1"/>
        <w:rPr>
          <w:rFonts w:ascii="仿宋_GB2312" w:hAnsi="宋体" w:eastAsia="仿宋_GB2312"/>
          <w:b/>
          <w:kern w:val="0"/>
          <w:sz w:val="28"/>
          <w:szCs w:val="32"/>
        </w:rPr>
      </w:pPr>
      <w:r>
        <w:rPr>
          <w:rFonts w:ascii="仿宋_GB2312" w:hAnsi="宋体" w:eastAsia="仿宋_GB2312"/>
          <w:b/>
          <w:kern w:val="0"/>
          <w:sz w:val="28"/>
          <w:szCs w:val="32"/>
        </w:rPr>
        <w:br w:type="textWrapping" w:clear="all"/>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0" w:type="auto"/>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编制部门：克孜勒苏柯尔克孜自治州动物疾控中心</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textAlignment w:val="center"/>
              <w:rPr>
                <w:rFonts w:ascii="仿宋_GB2312" w:hAnsi="宋体" w:eastAsia="仿宋_GB2312" w:cs="宋体"/>
                <w:b/>
                <w:color w:val="000000"/>
                <w:kern w:val="0"/>
                <w:sz w:val="20"/>
                <w:szCs w:val="20"/>
              </w:rPr>
            </w:pPr>
            <w:r>
              <w:rPr>
                <w:rFonts w:hint="eastAsia" w:ascii="宋体" w:hAnsi="宋体" w:cs="宋体"/>
                <w:color w:val="000000"/>
                <w:kern w:val="0"/>
                <w:sz w:val="20"/>
                <w:szCs w:val="20"/>
                <w:lang w:bidi="ar"/>
              </w:rPr>
              <w:t>213</w:t>
            </w:r>
          </w:p>
        </w:tc>
        <w:tc>
          <w:tcPr>
            <w:tcW w:w="492" w:type="dxa"/>
            <w:tcBorders>
              <w:top w:val="nil"/>
              <w:left w:val="nil"/>
              <w:bottom w:val="single" w:color="auto" w:sz="4" w:space="0"/>
              <w:right w:val="single" w:color="auto" w:sz="4" w:space="0"/>
            </w:tcBorders>
            <w:vAlign w:val="center"/>
          </w:tcPr>
          <w:p>
            <w:pP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textAlignment w:val="center"/>
              <w:rPr>
                <w:rFonts w:ascii="仿宋_GB2312" w:hAnsi="宋体" w:eastAsia="仿宋_GB2312" w:cs="宋体"/>
                <w:b/>
                <w:color w:val="000000"/>
                <w:kern w:val="0"/>
                <w:sz w:val="20"/>
                <w:szCs w:val="20"/>
              </w:rPr>
            </w:pPr>
            <w:r>
              <w:rPr>
                <w:rFonts w:hint="eastAsia" w:ascii="宋体" w:hAnsi="宋体" w:cs="宋体"/>
                <w:color w:val="000000"/>
                <w:kern w:val="0"/>
                <w:sz w:val="20"/>
                <w:szCs w:val="20"/>
                <w:lang w:bidi="ar"/>
              </w:rPr>
              <w:t>农林水支出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宋体" w:hAnsi="宋体" w:cs="宋体"/>
                <w:color w:val="000000"/>
                <w:kern w:val="0"/>
                <w:sz w:val="20"/>
                <w:szCs w:val="20"/>
              </w:rPr>
              <w:t>223.1</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宋体" w:hAnsi="宋体" w:cs="宋体"/>
                <w:color w:val="000000"/>
                <w:kern w:val="0"/>
                <w:sz w:val="20"/>
                <w:szCs w:val="20"/>
              </w:rPr>
              <w:t>218.1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cs="宋体"/>
                <w:b/>
                <w:color w:val="000000"/>
                <w:kern w:val="0"/>
                <w:sz w:val="20"/>
                <w:szCs w:val="20"/>
              </w:rPr>
            </w:pPr>
            <w:r>
              <w:rPr>
                <w:rFonts w:ascii="宋体" w:hAnsi="宋体" w:cs="宋体"/>
                <w:color w:val="000000"/>
                <w:kern w:val="0"/>
                <w:sz w:val="20"/>
                <w:szCs w:val="20"/>
              </w:rPr>
              <w:t>5</w:t>
            </w:r>
            <w:r>
              <w:rPr>
                <w:rFonts w:hint="eastAsia" w:ascii="宋体" w:hAnsi="宋体" w:cs="宋体"/>
                <w:color w:val="000000"/>
                <w:kern w:val="0"/>
                <w:sz w:val="20"/>
                <w:szCs w:val="20"/>
              </w:rPr>
              <w:t>.00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  213</w:t>
            </w:r>
          </w:p>
        </w:tc>
        <w:tc>
          <w:tcPr>
            <w:tcW w:w="492" w:type="dxa"/>
            <w:tcBorders>
              <w:top w:val="nil"/>
              <w:left w:val="nil"/>
              <w:bottom w:val="single" w:color="auto" w:sz="4" w:space="0"/>
              <w:right w:val="single" w:color="auto" w:sz="4" w:space="0"/>
            </w:tcBorders>
            <w:vAlign w:val="center"/>
          </w:tcPr>
          <w:p>
            <w:pPr>
              <w:widowControl/>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01</w:t>
            </w:r>
          </w:p>
        </w:tc>
        <w:tc>
          <w:tcPr>
            <w:tcW w:w="417" w:type="dxa"/>
            <w:tcBorders>
              <w:top w:val="nil"/>
              <w:left w:val="nil"/>
              <w:bottom w:val="single" w:color="auto" w:sz="4" w:space="0"/>
              <w:right w:val="single" w:color="auto" w:sz="4" w:space="0"/>
            </w:tcBorders>
            <w:vAlign w:val="center"/>
          </w:tcPr>
          <w:p>
            <w:pP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  农业农村</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223.1</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218.1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5</w:t>
            </w:r>
            <w:r>
              <w:rPr>
                <w:rFonts w:hint="eastAsia" w:ascii="宋体" w:hAnsi="宋体" w:cs="宋体"/>
                <w:color w:val="000000"/>
                <w:kern w:val="0"/>
                <w:sz w:val="20"/>
                <w:szCs w:val="20"/>
              </w:rPr>
              <w:t>.00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仿宋_GB2312" w:hAnsi="宋体" w:eastAsia="仿宋_GB2312" w:cs="宋体"/>
                <w:bCs/>
                <w:color w:val="000000"/>
                <w:kern w:val="0"/>
                <w:sz w:val="18"/>
                <w:szCs w:val="18"/>
              </w:rPr>
              <w:t>213</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仿宋_GB2312" w:hAnsi="宋体" w:eastAsia="仿宋_GB2312" w:cs="宋体"/>
                <w:bCs/>
                <w:color w:val="000000"/>
                <w:kern w:val="0"/>
                <w:sz w:val="18"/>
                <w:szCs w:val="18"/>
              </w:rPr>
              <w:t>01</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仿宋_GB2312" w:hAnsi="宋体" w:eastAsia="仿宋_GB2312" w:cs="宋体"/>
                <w:bCs/>
                <w:color w:val="000000"/>
                <w:kern w:val="0"/>
                <w:sz w:val="18"/>
                <w:szCs w:val="18"/>
              </w:rPr>
              <w:t>99</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r>
              <w:rPr>
                <w:rFonts w:hint="eastAsia" w:ascii="仿宋_GB2312" w:hAnsi="宋体" w:eastAsia="仿宋_GB2312" w:cs="宋体"/>
                <w:bCs/>
                <w:color w:val="000000"/>
                <w:kern w:val="0"/>
                <w:sz w:val="18"/>
                <w:szCs w:val="18"/>
              </w:rPr>
              <w:t>其他农业农村支出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bCs/>
                <w:color w:val="000000"/>
                <w:kern w:val="0"/>
                <w:sz w:val="18"/>
                <w:szCs w:val="18"/>
              </w:rPr>
              <w:t>5</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eastAsia="仿宋_GB2312" w:cs="宋体"/>
                <w:color w:val="000000"/>
                <w:kern w:val="0"/>
                <w:sz w:val="18"/>
                <w:szCs w:val="18"/>
              </w:rPr>
            </w:pPr>
            <w:r>
              <w:rPr>
                <w:rFonts w:hint="eastAsia" w:ascii="仿宋_GB2312" w:hAnsi="宋体" w:eastAsia="仿宋_GB2312" w:cs="宋体"/>
                <w:bCs/>
                <w:color w:val="000000"/>
                <w:kern w:val="0"/>
                <w:sz w:val="18"/>
                <w:szCs w:val="18"/>
              </w:rPr>
              <w:t>5.00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bCs/>
                <w:color w:val="000000"/>
                <w:kern w:val="0"/>
                <w:sz w:val="18"/>
                <w:szCs w:val="18"/>
              </w:rPr>
              <w:t>213</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bCs/>
                <w:color w:val="000000"/>
                <w:kern w:val="0"/>
                <w:sz w:val="18"/>
                <w:szCs w:val="18"/>
              </w:rPr>
              <w:t>01</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bCs/>
                <w:color w:val="000000"/>
                <w:kern w:val="0"/>
                <w:sz w:val="18"/>
                <w:szCs w:val="18"/>
              </w:rPr>
              <w:t>04</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r>
              <w:rPr>
                <w:rFonts w:hint="eastAsia" w:ascii="宋体" w:hAnsi="宋体" w:cs="宋体"/>
                <w:bCs/>
                <w:color w:val="000000"/>
                <w:kern w:val="0"/>
                <w:sz w:val="18"/>
                <w:szCs w:val="18"/>
              </w:rPr>
              <w:t>事业运行（农业）</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bCs/>
                <w:color w:val="000000"/>
                <w:kern w:val="0"/>
                <w:sz w:val="18"/>
                <w:szCs w:val="18"/>
              </w:rPr>
              <w:t>218.1</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bCs/>
                <w:color w:val="000000"/>
                <w:kern w:val="0"/>
                <w:sz w:val="18"/>
                <w:szCs w:val="18"/>
              </w:rPr>
              <w:t>218.1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223.1</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218.1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5</w:t>
            </w:r>
            <w:r>
              <w:rPr>
                <w:rFonts w:hint="eastAsia" w:ascii="宋体" w:hAnsi="宋体" w:cs="宋体"/>
                <w:color w:val="000000"/>
                <w:kern w:val="0"/>
                <w:sz w:val="20"/>
                <w:szCs w:val="20"/>
              </w:rPr>
              <w:t>.00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编制部门：克孜勒苏柯尔克孜自治州动物疾控中心</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lang w:bidi="ar"/>
              </w:rPr>
              <w:t>基本工资</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55.98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55.98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lang w:bidi="ar"/>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lang w:bidi="ar"/>
              </w:rPr>
              <w:t>津贴补贴</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75.04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75.04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奖金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9.03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9.03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19.02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19.02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12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12.94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12.94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住房公积金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13.70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13.70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办公费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办公费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电费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0.50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0.50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邮电费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0.70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0.70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17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公务接待费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0.20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0.20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18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专用材料费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26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劳务费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28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工会经费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0.81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0.81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29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福利费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1.46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1.46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公务用车运行维护费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42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办公用品及设备采购</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0.80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0.80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退休费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10.10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10.10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05</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生活补助</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1.33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1.33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奖励金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1.51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1.51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lang w:bidi="ar"/>
              </w:rPr>
              <w:t>其他对个人和家庭的补助</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12.96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12.96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218.10 </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211.62 </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6.48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516"/>
        <w:gridCol w:w="420"/>
        <w:gridCol w:w="420"/>
        <w:gridCol w:w="1245"/>
        <w:gridCol w:w="889"/>
        <w:gridCol w:w="750"/>
        <w:gridCol w:w="110"/>
        <w:gridCol w:w="459"/>
        <w:gridCol w:w="672"/>
        <w:gridCol w:w="516"/>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编制部门：克孜勒苏柯尔克孜自治州动物疾控中心</w:t>
            </w:r>
          </w:p>
        </w:tc>
        <w:tc>
          <w:tcPr>
            <w:tcW w:w="1131"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546"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64"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245"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889"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7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1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24"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0"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0"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4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88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7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1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213</w:t>
            </w:r>
          </w:p>
        </w:tc>
        <w:tc>
          <w:tcPr>
            <w:tcW w:w="420" w:type="dxa"/>
            <w:vAlign w:val="center"/>
          </w:tcPr>
          <w:p>
            <w:pPr>
              <w:jc w:val="center"/>
              <w:rPr>
                <w:rFonts w:ascii="仿宋_GB2312" w:hAnsi="宋体" w:eastAsia="仿宋_GB2312"/>
                <w:kern w:val="0"/>
                <w:sz w:val="32"/>
                <w:szCs w:val="32"/>
              </w:rPr>
            </w:pPr>
          </w:p>
        </w:tc>
        <w:tc>
          <w:tcPr>
            <w:tcW w:w="420" w:type="dxa"/>
            <w:vAlign w:val="center"/>
          </w:tcPr>
          <w:p>
            <w:pPr>
              <w:jc w:val="center"/>
              <w:rPr>
                <w:rFonts w:ascii="仿宋_GB2312" w:hAnsi="宋体" w:eastAsia="仿宋_GB2312"/>
                <w:kern w:val="0"/>
                <w:sz w:val="32"/>
                <w:szCs w:val="32"/>
              </w:rPr>
            </w:pPr>
          </w:p>
        </w:tc>
        <w:tc>
          <w:tcPr>
            <w:tcW w:w="1245" w:type="dxa"/>
            <w:vAlign w:val="center"/>
          </w:tcPr>
          <w:p>
            <w:pPr>
              <w:widowControl/>
              <w:jc w:val="lef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农林水支出</w:t>
            </w:r>
          </w:p>
        </w:tc>
        <w:tc>
          <w:tcPr>
            <w:tcW w:w="889" w:type="dxa"/>
            <w:vAlign w:val="center"/>
          </w:tcPr>
          <w:p>
            <w:pPr>
              <w:jc w:val="left"/>
              <w:rPr>
                <w:rFonts w:ascii="仿宋_GB2312" w:hAnsi="宋体" w:eastAsia="仿宋_GB2312"/>
                <w:kern w:val="0"/>
                <w:sz w:val="32"/>
                <w:szCs w:val="32"/>
              </w:rPr>
            </w:pPr>
          </w:p>
        </w:tc>
        <w:tc>
          <w:tcPr>
            <w:tcW w:w="750"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5.00 </w:t>
            </w:r>
          </w:p>
        </w:tc>
        <w:tc>
          <w:tcPr>
            <w:tcW w:w="569" w:type="dxa"/>
            <w:gridSpan w:val="2"/>
            <w:vAlign w:val="center"/>
          </w:tcPr>
          <w:p>
            <w:pPr>
              <w:jc w:val="right"/>
              <w:rPr>
                <w:rFonts w:ascii="仿宋_GB2312" w:hAnsi="宋体" w:eastAsia="仿宋_GB2312"/>
                <w:kern w:val="0"/>
                <w:sz w:val="32"/>
                <w:szCs w:val="32"/>
              </w:rPr>
            </w:pPr>
          </w:p>
        </w:tc>
        <w:tc>
          <w:tcPr>
            <w:tcW w:w="672"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5.00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  213</w:t>
            </w:r>
          </w:p>
        </w:tc>
        <w:tc>
          <w:tcPr>
            <w:tcW w:w="420"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01</w:t>
            </w:r>
          </w:p>
        </w:tc>
        <w:tc>
          <w:tcPr>
            <w:tcW w:w="420" w:type="dxa"/>
            <w:vAlign w:val="center"/>
          </w:tcPr>
          <w:p>
            <w:pPr>
              <w:jc w:val="center"/>
              <w:rPr>
                <w:rFonts w:ascii="仿宋_GB2312" w:hAnsi="宋体" w:eastAsia="仿宋_GB2312"/>
                <w:kern w:val="0"/>
                <w:sz w:val="32"/>
                <w:szCs w:val="32"/>
              </w:rPr>
            </w:pPr>
          </w:p>
        </w:tc>
        <w:tc>
          <w:tcPr>
            <w:tcW w:w="1245" w:type="dxa"/>
            <w:vAlign w:val="center"/>
          </w:tcPr>
          <w:p>
            <w:pPr>
              <w:widowControl/>
              <w:jc w:val="lef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  农业农村</w:t>
            </w:r>
          </w:p>
        </w:tc>
        <w:tc>
          <w:tcPr>
            <w:tcW w:w="889" w:type="dxa"/>
            <w:vAlign w:val="center"/>
          </w:tcPr>
          <w:p>
            <w:pPr>
              <w:jc w:val="left"/>
              <w:rPr>
                <w:rFonts w:ascii="仿宋_GB2312" w:hAnsi="宋体" w:eastAsia="仿宋_GB2312"/>
                <w:kern w:val="0"/>
                <w:sz w:val="32"/>
                <w:szCs w:val="32"/>
              </w:rPr>
            </w:pPr>
          </w:p>
        </w:tc>
        <w:tc>
          <w:tcPr>
            <w:tcW w:w="750"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5.00 </w:t>
            </w:r>
          </w:p>
        </w:tc>
        <w:tc>
          <w:tcPr>
            <w:tcW w:w="569" w:type="dxa"/>
            <w:gridSpan w:val="2"/>
            <w:vAlign w:val="center"/>
          </w:tcPr>
          <w:p>
            <w:pPr>
              <w:jc w:val="right"/>
              <w:rPr>
                <w:rFonts w:ascii="仿宋_GB2312" w:hAnsi="宋体" w:eastAsia="仿宋_GB2312"/>
                <w:kern w:val="0"/>
                <w:sz w:val="32"/>
                <w:szCs w:val="32"/>
              </w:rPr>
            </w:pPr>
          </w:p>
        </w:tc>
        <w:tc>
          <w:tcPr>
            <w:tcW w:w="672"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5.00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    213</w:t>
            </w:r>
          </w:p>
        </w:tc>
        <w:tc>
          <w:tcPr>
            <w:tcW w:w="420"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  01</w:t>
            </w:r>
          </w:p>
        </w:tc>
        <w:tc>
          <w:tcPr>
            <w:tcW w:w="420" w:type="dxa"/>
            <w:vAlign w:val="center"/>
          </w:tcPr>
          <w:p>
            <w:pPr>
              <w:widowControl/>
              <w:jc w:val="center"/>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99</w:t>
            </w:r>
          </w:p>
        </w:tc>
        <w:tc>
          <w:tcPr>
            <w:tcW w:w="1245" w:type="dxa"/>
            <w:vAlign w:val="center"/>
          </w:tcPr>
          <w:p>
            <w:pPr>
              <w:widowControl/>
              <w:jc w:val="lef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    其他农业农村支出</w:t>
            </w:r>
          </w:p>
        </w:tc>
        <w:tc>
          <w:tcPr>
            <w:tcW w:w="889" w:type="dxa"/>
            <w:vAlign w:val="center"/>
          </w:tcPr>
          <w:p>
            <w:pPr>
              <w:widowControl/>
              <w:jc w:val="lef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群众工作经费</w:t>
            </w:r>
          </w:p>
        </w:tc>
        <w:tc>
          <w:tcPr>
            <w:tcW w:w="750"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5.00 </w:t>
            </w:r>
          </w:p>
        </w:tc>
        <w:tc>
          <w:tcPr>
            <w:tcW w:w="569" w:type="dxa"/>
            <w:gridSpan w:val="2"/>
            <w:vAlign w:val="center"/>
          </w:tcPr>
          <w:p>
            <w:pPr>
              <w:jc w:val="right"/>
              <w:rPr>
                <w:rFonts w:ascii="仿宋_GB2312" w:hAnsi="宋体" w:eastAsia="仿宋_GB2312"/>
                <w:kern w:val="0"/>
                <w:sz w:val="32"/>
                <w:szCs w:val="32"/>
              </w:rPr>
            </w:pPr>
          </w:p>
        </w:tc>
        <w:tc>
          <w:tcPr>
            <w:tcW w:w="672"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5.00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1245" w:type="dxa"/>
          </w:tcPr>
          <w:p>
            <w:pPr>
              <w:widowControl/>
              <w:jc w:val="left"/>
              <w:outlineLvl w:val="1"/>
              <w:rPr>
                <w:rFonts w:ascii="仿宋_GB2312" w:hAnsi="宋体" w:eastAsia="仿宋_GB2312"/>
                <w:kern w:val="0"/>
                <w:sz w:val="32"/>
                <w:szCs w:val="32"/>
              </w:rPr>
            </w:pPr>
          </w:p>
        </w:tc>
        <w:tc>
          <w:tcPr>
            <w:tcW w:w="889"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672" w:type="dxa"/>
          </w:tcPr>
          <w:p>
            <w:pPr>
              <w:widowControl/>
              <w:jc w:val="left"/>
              <w:outlineLvl w:val="1"/>
              <w:rPr>
                <w:rFonts w:ascii="仿宋_GB2312" w:hAnsi="宋体" w:eastAsia="仿宋_GB2312"/>
                <w:kern w:val="0"/>
                <w:sz w:val="32"/>
                <w:szCs w:val="32"/>
              </w:rPr>
            </w:pPr>
          </w:p>
        </w:tc>
        <w:tc>
          <w:tcPr>
            <w:tcW w:w="51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8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7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4"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89"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textAlignment w:val="center"/>
              <w:rPr>
                <w:rFonts w:ascii="仿宋_GB2312" w:hAnsi="宋体" w:eastAsia="仿宋_GB2312"/>
                <w:kern w:val="0"/>
                <w:szCs w:val="21"/>
              </w:rPr>
            </w:pPr>
            <w:r>
              <w:rPr>
                <w:rFonts w:hint="eastAsia" w:ascii="宋体" w:hAnsi="宋体" w:cs="宋体"/>
                <w:color w:val="000000"/>
                <w:kern w:val="0"/>
                <w:sz w:val="20"/>
                <w:szCs w:val="20"/>
                <w:lang w:bidi="ar"/>
              </w:rPr>
              <w:t xml:space="preserve">5.00 </w:t>
            </w:r>
          </w:p>
        </w:tc>
        <w:tc>
          <w:tcPr>
            <w:tcW w:w="569" w:type="dxa"/>
            <w:gridSpan w:val="2"/>
            <w:vAlign w:val="center"/>
          </w:tcPr>
          <w:p>
            <w:pPr>
              <w:jc w:val="right"/>
              <w:rPr>
                <w:rFonts w:ascii="仿宋_GB2312" w:hAnsi="宋体" w:eastAsia="仿宋_GB2312"/>
                <w:kern w:val="0"/>
                <w:sz w:val="32"/>
                <w:szCs w:val="32"/>
              </w:rPr>
            </w:pPr>
          </w:p>
        </w:tc>
        <w:tc>
          <w:tcPr>
            <w:tcW w:w="672" w:type="dxa"/>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lang w:bidi="ar"/>
              </w:rPr>
              <w:t xml:space="preserve">5.00 </w:t>
            </w:r>
          </w:p>
        </w:tc>
        <w:tc>
          <w:tcPr>
            <w:tcW w:w="5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编制部门：克孜勒苏柯尔克孜自治州动物疾控中心                                               单位：万元</w:t>
      </w:r>
    </w:p>
    <w:tbl>
      <w:tblPr>
        <w:tblStyle w:val="7"/>
        <w:tblW w:w="0" w:type="auto"/>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18"/>
                <w:szCs w:val="18"/>
                <w:lang w:bidi="ar"/>
              </w:rPr>
              <w:t xml:space="preserve">3.20 </w:t>
            </w:r>
          </w:p>
        </w:tc>
        <w:tc>
          <w:tcPr>
            <w:tcW w:w="1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18"/>
                <w:szCs w:val="18"/>
                <w:lang w:bidi="ar"/>
              </w:rPr>
              <w:t xml:space="preserve">3.00 </w:t>
            </w:r>
          </w:p>
        </w:tc>
        <w:tc>
          <w:tcPr>
            <w:tcW w:w="1418"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18"/>
                <w:szCs w:val="18"/>
                <w:lang w:bidi="ar"/>
              </w:rPr>
              <w:t xml:space="preserve">3.00 </w:t>
            </w:r>
          </w:p>
        </w:tc>
        <w:tc>
          <w:tcPr>
            <w:tcW w:w="1712"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18"/>
                <w:szCs w:val="18"/>
                <w:lang w:bidi="ar"/>
              </w:rPr>
              <w:t xml:space="preserve">0.20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18"/>
                <w:szCs w:val="18"/>
                <w:lang w:bidi="ar"/>
              </w:rPr>
              <w:t xml:space="preserve">1.20 </w:t>
            </w:r>
          </w:p>
        </w:tc>
        <w:tc>
          <w:tcPr>
            <w:tcW w:w="1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18"/>
                <w:szCs w:val="18"/>
                <w:lang w:bidi="ar"/>
              </w:rPr>
              <w:t xml:space="preserve">1.00 </w:t>
            </w:r>
          </w:p>
        </w:tc>
        <w:tc>
          <w:tcPr>
            <w:tcW w:w="1418"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18"/>
                <w:szCs w:val="18"/>
                <w:lang w:bidi="ar"/>
              </w:rPr>
              <w:t xml:space="preserve">1.00 </w:t>
            </w:r>
          </w:p>
        </w:tc>
        <w:tc>
          <w:tcPr>
            <w:tcW w:w="1712"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18"/>
                <w:szCs w:val="18"/>
                <w:lang w:bidi="ar"/>
              </w:rPr>
              <w:t xml:space="preserve">0.20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18"/>
                <w:szCs w:val="18"/>
                <w:lang w:bidi="ar"/>
              </w:rPr>
              <w:t xml:space="preserve">2.00 </w:t>
            </w:r>
          </w:p>
        </w:tc>
        <w:tc>
          <w:tcPr>
            <w:tcW w:w="1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18"/>
                <w:szCs w:val="18"/>
                <w:lang w:bidi="ar"/>
              </w:rPr>
              <w:t xml:space="preserve">2.00 </w:t>
            </w:r>
          </w:p>
        </w:tc>
        <w:tc>
          <w:tcPr>
            <w:tcW w:w="1418"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18"/>
                <w:szCs w:val="18"/>
                <w:lang w:bidi="ar"/>
              </w:rPr>
              <w:t xml:space="preserve">2.00 </w:t>
            </w:r>
          </w:p>
        </w:tc>
        <w:tc>
          <w:tcPr>
            <w:tcW w:w="171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编制部门：克孜勒苏柯尔克孜自治州动物疾控中心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备注：克孜勒苏</w:t>
      </w:r>
      <w:r>
        <w:rPr>
          <w:rFonts w:hint="eastAsia" w:ascii="仿宋_GB2312" w:hAnsi="宋体" w:eastAsia="仿宋_GB2312"/>
          <w:b/>
          <w:kern w:val="0"/>
          <w:sz w:val="28"/>
          <w:szCs w:val="32"/>
          <w:lang w:val="en-US" w:eastAsia="zh-CN"/>
        </w:rPr>
        <w:t>柯</w:t>
      </w:r>
      <w:r>
        <w:rPr>
          <w:rFonts w:hint="eastAsia" w:ascii="仿宋_GB2312" w:hAnsi="宋体" w:eastAsia="仿宋_GB2312"/>
          <w:b/>
          <w:kern w:val="0"/>
          <w:sz w:val="28"/>
          <w:szCs w:val="32"/>
        </w:rPr>
        <w:t>尔克孜自治州动物疾控中心2021年未安排政府基金预算支出，此表为空</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rPr>
          <w:rFonts w:ascii="黑体" w:hAnsi="黑体" w:eastAsia="黑体"/>
          <w:kern w:val="0"/>
          <w:sz w:val="32"/>
          <w:szCs w:val="32"/>
        </w:rPr>
      </w:pPr>
      <w:r>
        <w:rPr>
          <w:rFonts w:hint="eastAsia" w:ascii="黑体" w:hAnsi="黑体" w:eastAsia="黑体"/>
          <w:kern w:val="0"/>
          <w:sz w:val="32"/>
          <w:szCs w:val="32"/>
        </w:rPr>
        <w:t>第三部分 2021年克孜勒苏柯尔克孜自治州动物疾控中心部门（单位）预算情况说明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关于克孜勒苏柯尔克孜自治州动物疾控中心部门（单位）2021年收支预算情况的总体说明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按照全口径预算的原则，克孜勒苏柯尔克孜自治州动物疾控中心部门（单位）2021年所有收入和支出均纳入部门（单位）预算管理。收支总预算 254.75万元。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收入预算包括：一般公共预算223.1万元、上级专项收入7万元、单位上年结余（不包括国库集中支付额度结余）24.65万元等。</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支出预算包括：农林水支出254.75万元。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二、关于克孜勒苏柯尔克孜自治州动物疾控中心2021年收入预算情况说明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克孜勒苏柯尔克孜自治州动物疾控中心部门（单位）收入预算254.75万元，其中：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一般公共预算223.1万元，占87.57%，比上年预算增加1.78万元，主要原因是2020年4月晋升工资原因，增加了单位人员工资，公积金，医疗等；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w:t>
      </w:r>
      <w:r>
        <w:rPr>
          <w:rFonts w:ascii="仿宋_GB2312" w:hAnsi="宋体" w:eastAsia="仿宋_GB2312" w:cs="宋体"/>
          <w:kern w:val="0"/>
          <w:sz w:val="32"/>
          <w:szCs w:val="32"/>
        </w:rPr>
        <w:t>经营预算</w:t>
      </w:r>
      <w:r>
        <w:rPr>
          <w:rFonts w:hint="eastAsia" w:ascii="仿宋_GB2312" w:hAnsi="宋体" w:eastAsia="仿宋_GB2312" w:cs="宋体"/>
          <w:kern w:val="0"/>
          <w:sz w:val="32"/>
          <w:szCs w:val="32"/>
        </w:rPr>
        <w:t>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上级专项收入7万元，占2.75</w:t>
      </w:r>
      <w:r>
        <w:rPr>
          <w:rFonts w:hint="eastAsia"/>
        </w:rPr>
        <w:t xml:space="preserve"> </w:t>
      </w:r>
      <w:r>
        <w:rPr>
          <w:rFonts w:hint="eastAsia" w:ascii="仿宋_GB2312" w:hAnsi="宋体" w:eastAsia="仿宋_GB2312" w:cs="宋体"/>
          <w:kern w:val="0"/>
          <w:sz w:val="32"/>
          <w:szCs w:val="32"/>
        </w:rPr>
        <w:t>%，比上年预算增加0万元，主要原因是2020年没有变化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单位上年结余（不包括国库集中支付额度结余）24.65万元，占9.67%，比上年预算减少30.45万元，主要原因是2020年年初有2019年的项目结余，2020年项目已实施完成；</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三、关于克孜勒苏柯尔克孜自治州动物疾控中心部门(单位）2021年支出预算情况说明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克孜勒苏柯尔克孜自治州动物疾控中心部门（单位）2021年支出预算254.75万元，其中：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基本支出218.1万元，占85.61 %，比上年预算减少19.67万元，主要原因是2020年预算包扣2019年群众工作经费的结余。</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项目支出36.65万元，占14.38%，比上年预算增加24.64万元，主要原因是2021年预算包括2020年财政拨的</w:t>
      </w:r>
      <w:r>
        <w:rPr>
          <w:rFonts w:hint="eastAsia" w:ascii="仿宋_GB2312" w:hAnsi="宋体" w:eastAsia="仿宋_GB2312"/>
          <w:kern w:val="0"/>
          <w:sz w:val="32"/>
          <w:szCs w:val="32"/>
        </w:rPr>
        <w:t>动物疫苗防控监管项目--2020中央项目20万元和动物疫苗冷链体系建设2020年6万元的结余4.65万元</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四、关于克孜勒苏柯尔克孜自治州动物疾控中心</w:t>
      </w:r>
      <w:r>
        <w:rPr>
          <w:rFonts w:hint="eastAsia" w:ascii="黑体" w:hAnsi="宋体" w:eastAsia="黑体" w:cs="宋体"/>
          <w:kern w:val="0"/>
          <w:sz w:val="32"/>
          <w:szCs w:val="32"/>
        </w:rPr>
        <w:t>部门（单位）</w:t>
      </w:r>
      <w:r>
        <w:rPr>
          <w:rFonts w:hint="eastAsia" w:ascii="黑体" w:hAnsi="黑体" w:eastAsia="黑体" w:cs="宋体"/>
          <w:bCs/>
          <w:kern w:val="0"/>
          <w:sz w:val="32"/>
          <w:szCs w:val="32"/>
        </w:rPr>
        <w:t>2021年财政拨款收支预算情况的总体说明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2021年财政拨款收支总预算223.1万元。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rPr>
        <w:t>国有资本经营预算</w:t>
      </w:r>
      <w:r>
        <w:rPr>
          <w:rFonts w:hint="eastAsia"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w:t>
      </w:r>
      <w:r>
        <w:rPr>
          <w:rFonts w:ascii="仿宋_GB2312" w:hAnsi="宋体" w:eastAsia="仿宋_GB2312" w:cs="宋体"/>
          <w:spacing w:val="-6"/>
          <w:kern w:val="0"/>
          <w:sz w:val="32"/>
          <w:szCs w:val="32"/>
        </w:rPr>
        <w:t>包括：一般公共预算拨款</w:t>
      </w:r>
      <w:r>
        <w:rPr>
          <w:rFonts w:hint="eastAsia" w:ascii="仿宋_GB2312" w:hAnsi="宋体" w:eastAsia="仿宋_GB2312" w:cs="宋体"/>
          <w:spacing w:val="-6"/>
          <w:kern w:val="0"/>
          <w:sz w:val="32"/>
          <w:szCs w:val="32"/>
        </w:rPr>
        <w:t>223.1万元</w:t>
      </w:r>
      <w:r>
        <w:rPr>
          <w:rFonts w:ascii="仿宋_GB2312" w:hAnsi="宋体" w:eastAsia="仿宋_GB2312" w:cs="宋体"/>
          <w:spacing w:val="-6"/>
          <w:kern w:val="0"/>
          <w:sz w:val="32"/>
          <w:szCs w:val="32"/>
        </w:rPr>
        <w:t>。</w:t>
      </w:r>
    </w:p>
    <w:p>
      <w:pPr>
        <w:spacing w:line="550" w:lineRule="exact"/>
        <w:ind w:firstLine="462" w:firstLineChars="150"/>
        <w:rPr>
          <w:rFonts w:ascii="仿宋_GB2312" w:hAnsi="仿宋_GB2312" w:eastAsia="仿宋_GB2312" w:cs="宋体"/>
          <w:color w:val="000000"/>
          <w:kern w:val="0"/>
          <w:sz w:val="32"/>
          <w:szCs w:val="32"/>
        </w:rPr>
      </w:pPr>
      <w:r>
        <w:rPr>
          <w:rFonts w:ascii="仿宋_GB2312" w:hAnsi="宋体" w:eastAsia="仿宋_GB2312" w:cs="宋体"/>
          <w:spacing w:val="-6"/>
          <w:kern w:val="0"/>
          <w:sz w:val="32"/>
          <w:szCs w:val="32"/>
        </w:rPr>
        <w:t>一般公共</w:t>
      </w:r>
      <w:r>
        <w:rPr>
          <w:rFonts w:hint="eastAsia" w:ascii="仿宋_GB2312" w:hAnsi="宋体" w:eastAsia="仿宋_GB2312" w:cs="宋体"/>
          <w:kern w:val="0"/>
          <w:sz w:val="32"/>
          <w:szCs w:val="32"/>
        </w:rPr>
        <w:t>服务支出包括：农林水支出223.1万元，</w:t>
      </w:r>
      <w:r>
        <w:rPr>
          <w:rFonts w:hint="eastAsia" w:ascii="仿宋_GB2312" w:hAnsi="仿宋_GB2312" w:eastAsia="仿宋_GB2312" w:cs="宋体"/>
          <w:color w:val="000000"/>
          <w:kern w:val="0"/>
          <w:sz w:val="32"/>
          <w:szCs w:val="32"/>
        </w:rPr>
        <w:t>主要用于：支付职工工资、津贴补贴、社会保障缴费和住房公积金及公用经费。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五、关于克孜勒苏柯尔克孜自治州动物疾控中心部门（单位）2021年一般公共预算当年拨款情况说明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克孜勒苏柯尔克孜自治州动物疾控中心部门（单位）2021年一般公共预算拨款合计223.1万元，其中</w:t>
      </w:r>
      <w:r>
        <w:rPr>
          <w:rFonts w:ascii="仿宋_GB2312" w:hAnsi="宋体" w:eastAsia="仿宋_GB2312" w:cs="宋体"/>
          <w:kern w:val="0"/>
          <w:sz w:val="32"/>
          <w:szCs w:val="32"/>
        </w:rPr>
        <w:t>：基本支出</w:t>
      </w:r>
      <w:r>
        <w:rPr>
          <w:rFonts w:hint="eastAsia" w:ascii="仿宋_GB2312" w:hAnsi="宋体" w:eastAsia="仿宋_GB2312" w:cs="宋体"/>
          <w:kern w:val="0"/>
          <w:sz w:val="32"/>
          <w:szCs w:val="32"/>
        </w:rPr>
        <w:t>218.1万元</w:t>
      </w:r>
      <w:r>
        <w:rPr>
          <w:rFonts w:ascii="仿宋_GB2312" w:hAnsi="宋体" w:eastAsia="仿宋_GB2312" w:cs="宋体"/>
          <w:kern w:val="0"/>
          <w:sz w:val="32"/>
          <w:szCs w:val="32"/>
        </w:rPr>
        <w:t>，</w:t>
      </w:r>
      <w:r>
        <w:rPr>
          <w:rFonts w:hint="eastAsia" w:ascii="仿宋_GB2312" w:hAnsi="宋体" w:eastAsia="仿宋_GB2312" w:cs="宋体"/>
          <w:kern w:val="0"/>
          <w:sz w:val="32"/>
          <w:szCs w:val="32"/>
        </w:rPr>
        <w:t>比上年预算增加1.78万元，增长0.82 %。主要原因是：2020年晋升工资调整了。</w:t>
      </w:r>
      <w:r>
        <w:rPr>
          <w:rFonts w:ascii="仿宋_GB2312" w:hAnsi="宋体" w:eastAsia="仿宋_GB2312" w:cs="宋体"/>
          <w:kern w:val="0"/>
          <w:sz w:val="32"/>
          <w:szCs w:val="32"/>
        </w:rPr>
        <w:t>项目</w:t>
      </w:r>
      <w:r>
        <w:rPr>
          <w:rFonts w:hint="eastAsia" w:ascii="仿宋_GB2312" w:hAnsi="宋体" w:eastAsia="仿宋_GB2312" w:cs="宋体"/>
          <w:kern w:val="0"/>
          <w:sz w:val="32"/>
          <w:szCs w:val="32"/>
        </w:rPr>
        <w:t>支出5 万元</w:t>
      </w:r>
      <w:r>
        <w:rPr>
          <w:rFonts w:ascii="仿宋_GB2312" w:hAnsi="宋体" w:eastAsia="仿宋_GB2312" w:cs="宋体"/>
          <w:kern w:val="0"/>
          <w:sz w:val="32"/>
          <w:szCs w:val="32"/>
        </w:rPr>
        <w:t>，比</w:t>
      </w:r>
      <w:r>
        <w:rPr>
          <w:rFonts w:hint="eastAsia" w:ascii="仿宋_GB2312" w:hAnsi="宋体" w:eastAsia="仿宋_GB2312" w:cs="宋体"/>
          <w:kern w:val="0"/>
          <w:sz w:val="32"/>
          <w:szCs w:val="32"/>
        </w:rPr>
        <w:t>上年</w:t>
      </w:r>
      <w:r>
        <w:rPr>
          <w:rFonts w:ascii="仿宋_GB2312" w:hAnsi="宋体" w:eastAsia="仿宋_GB2312" w:cs="宋体"/>
          <w:kern w:val="0"/>
          <w:sz w:val="32"/>
          <w:szCs w:val="32"/>
        </w:rPr>
        <w:t>预算增加</w:t>
      </w:r>
      <w:r>
        <w:rPr>
          <w:rFonts w:hint="eastAsia" w:ascii="仿宋_GB2312" w:hAnsi="宋体" w:eastAsia="仿宋_GB2312" w:cs="宋体"/>
          <w:kern w:val="0"/>
          <w:sz w:val="32"/>
          <w:szCs w:val="32"/>
        </w:rPr>
        <w:t>0万元</w:t>
      </w:r>
      <w:r>
        <w:rPr>
          <w:rFonts w:ascii="仿宋_GB2312" w:hAnsi="宋体" w:eastAsia="仿宋_GB2312" w:cs="宋体"/>
          <w:kern w:val="0"/>
          <w:sz w:val="32"/>
          <w:szCs w:val="32"/>
        </w:rPr>
        <w:t>，增长</w:t>
      </w:r>
      <w:r>
        <w:rPr>
          <w:rFonts w:hint="eastAsia" w:ascii="仿宋_GB2312" w:hAnsi="宋体" w:eastAsia="仿宋_GB2312" w:cs="宋体"/>
          <w:kern w:val="0"/>
          <w:sz w:val="32"/>
          <w:szCs w:val="32"/>
        </w:rPr>
        <w:t xml:space="preserve">0 </w:t>
      </w:r>
      <w:r>
        <w:rPr>
          <w:rFonts w:ascii="仿宋_GB2312" w:hAnsi="宋体" w:eastAsia="仿宋_GB2312" w:cs="宋体"/>
          <w:kern w:val="0"/>
          <w:sz w:val="32"/>
          <w:szCs w:val="32"/>
        </w:rPr>
        <w:t>%。主要</w:t>
      </w:r>
      <w:r>
        <w:rPr>
          <w:rFonts w:hint="eastAsia" w:ascii="仿宋_GB2312" w:hAnsi="宋体" w:eastAsia="仿宋_GB2312" w:cs="宋体"/>
          <w:kern w:val="0"/>
          <w:sz w:val="32"/>
          <w:szCs w:val="32"/>
        </w:rPr>
        <w:t>原因</w:t>
      </w:r>
      <w:r>
        <w:rPr>
          <w:rFonts w:ascii="仿宋_GB2312" w:hAnsi="宋体" w:eastAsia="仿宋_GB2312" w:cs="宋体"/>
          <w:kern w:val="0"/>
          <w:sz w:val="32"/>
          <w:szCs w:val="32"/>
        </w:rPr>
        <w:t>是：</w:t>
      </w:r>
      <w:r>
        <w:rPr>
          <w:rFonts w:hint="eastAsia" w:ascii="仿宋_GB2312" w:hAnsi="宋体" w:eastAsia="仿宋_GB2312" w:cs="宋体"/>
          <w:kern w:val="0"/>
          <w:sz w:val="32"/>
          <w:szCs w:val="32"/>
        </w:rPr>
        <w:t>2020年和2021年项目安排没有变化。</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szCs w:val="32"/>
        </w:rPr>
        <w:t>一般公共服务</w:t>
      </w:r>
      <w:r>
        <w:rPr>
          <w:rFonts w:hint="eastAsia" w:ascii="仿宋_GB2312" w:eastAsia="仿宋_GB2312"/>
          <w:sz w:val="32"/>
          <w:szCs w:val="32"/>
        </w:rPr>
        <w:t>（213）</w:t>
      </w:r>
      <w:r>
        <w:rPr>
          <w:rFonts w:hint="eastAsia" w:ascii="仿宋_GB2312" w:hAnsi="仿宋_GB2312" w:eastAsia="仿宋_GB2312" w:cs="宋体"/>
          <w:kern w:val="0"/>
          <w:sz w:val="32"/>
          <w:szCs w:val="32"/>
        </w:rPr>
        <w:t>农林水支出</w:t>
      </w:r>
      <w:r>
        <w:rPr>
          <w:rFonts w:hint="eastAsia" w:ascii="楷体_GB2312" w:eastAsia="楷体_GB2312"/>
          <w:bCs/>
          <w:sz w:val="32"/>
          <w:szCs w:val="32"/>
        </w:rPr>
        <w:t>223.1</w:t>
      </w:r>
      <w:r>
        <w:rPr>
          <w:rFonts w:hint="eastAsia" w:ascii="仿宋_GB2312" w:hAnsi="宋体" w:eastAsia="仿宋_GB2312" w:cs="宋体"/>
          <w:kern w:val="0"/>
          <w:sz w:val="32"/>
          <w:szCs w:val="32"/>
        </w:rPr>
        <w:t>万元，占100 %。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11.</w:t>
      </w:r>
      <w:r>
        <w:rPr>
          <w:rFonts w:ascii="仿宋_GB2312" w:hAnsi="宋体" w:eastAsia="仿宋_GB2312" w:cs="宋体"/>
          <w:kern w:val="0"/>
          <w:sz w:val="32"/>
          <w:szCs w:val="32"/>
        </w:rPr>
        <w:t>一般公共服务</w:t>
      </w:r>
      <w:r>
        <w:rPr>
          <w:rFonts w:hint="eastAsia" w:ascii="仿宋_GB2312" w:eastAsia="仿宋_GB2312"/>
          <w:sz w:val="32"/>
          <w:szCs w:val="32"/>
        </w:rPr>
        <w:t>（213）</w:t>
      </w:r>
      <w:r>
        <w:rPr>
          <w:rFonts w:hint="eastAsia" w:ascii="仿宋_GB2312" w:hAnsi="仿宋_GB2312" w:eastAsia="仿宋_GB2312" w:cs="宋体"/>
          <w:kern w:val="0"/>
          <w:sz w:val="32"/>
          <w:szCs w:val="32"/>
        </w:rPr>
        <w:t>农林水支出</w:t>
      </w:r>
      <w:r>
        <w:rPr>
          <w:rFonts w:hint="eastAsia" w:ascii="仿宋_GB2312" w:eastAsia="仿宋_GB2312"/>
          <w:sz w:val="32"/>
          <w:szCs w:val="32"/>
        </w:rPr>
        <w:t>（01）农业农村（04）事业运行;</w:t>
      </w:r>
      <w:r>
        <w:rPr>
          <w:rFonts w:hint="eastAsia" w:ascii="仿宋_GB2312" w:hAnsi="宋体" w:eastAsia="仿宋_GB2312" w:cs="宋体"/>
          <w:kern w:val="0"/>
          <w:sz w:val="32"/>
          <w:szCs w:val="32"/>
        </w:rPr>
        <w:t xml:space="preserve">克孜勒苏柯尔克孜自治州动物疾控中心2021一般公共预算拨款基本支出218.1万元比上年预算增加1.78万元，增长0.82 %。主要原因是：2020年晋升工资调整了。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hAnsi="仿宋_GB2312" w:eastAsia="仿宋_GB2312"/>
          <w:sz w:val="32"/>
          <w:szCs w:val="32"/>
        </w:rPr>
        <w:t xml:space="preserve"> </w:t>
      </w:r>
      <w:r>
        <w:rPr>
          <w:rFonts w:ascii="仿宋_GB2312" w:hAnsi="宋体" w:eastAsia="仿宋_GB2312" w:cs="宋体"/>
          <w:kern w:val="0"/>
          <w:sz w:val="32"/>
          <w:szCs w:val="32"/>
        </w:rPr>
        <w:t>一般公共服务</w:t>
      </w:r>
      <w:r>
        <w:rPr>
          <w:rFonts w:hint="eastAsia" w:ascii="仿宋_GB2312" w:eastAsia="仿宋_GB2312"/>
          <w:sz w:val="32"/>
          <w:szCs w:val="32"/>
        </w:rPr>
        <w:t>（213）</w:t>
      </w:r>
      <w:r>
        <w:rPr>
          <w:rFonts w:hint="eastAsia" w:ascii="仿宋_GB2312" w:hAnsi="仿宋_GB2312" w:eastAsia="仿宋_GB2312" w:cs="宋体"/>
          <w:kern w:val="0"/>
          <w:sz w:val="32"/>
          <w:szCs w:val="32"/>
        </w:rPr>
        <w:t>农林水支出</w:t>
      </w:r>
      <w:r>
        <w:rPr>
          <w:rFonts w:hint="eastAsia" w:ascii="仿宋_GB2312" w:eastAsia="仿宋_GB2312"/>
          <w:sz w:val="32"/>
          <w:szCs w:val="32"/>
        </w:rPr>
        <w:t>（01）农业农村（99）其他农业农村支出预算数</w:t>
      </w:r>
      <w:r>
        <w:rPr>
          <w:rFonts w:hint="eastAsia" w:ascii="楷体_GB2312" w:eastAsia="楷体_GB2312"/>
          <w:bCs/>
          <w:sz w:val="32"/>
          <w:szCs w:val="32"/>
        </w:rPr>
        <w:t>5</w:t>
      </w:r>
      <w:r>
        <w:rPr>
          <w:rFonts w:hint="eastAsia" w:ascii="仿宋_GB2312" w:hAnsi="宋体" w:eastAsia="仿宋_GB2312" w:cs="宋体"/>
          <w:kern w:val="0"/>
          <w:sz w:val="32"/>
          <w:szCs w:val="32"/>
        </w:rPr>
        <w:t>万元，比上年预算数增加0万元，主要原因是没有变动，所以和去年一样。</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六、关于克孜勒苏柯尔克孜自治州动物疾控中心部门（单位）2021年一般公共预算基本支出情况说明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克孜勒苏柯尔克孜自治州动物疾控中心部门（单位）2021年一般公共预算基本支出218.1万元，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211.62万元，主要包括：基本工资55.98万元、津贴补贴75.04、奖金9.03、机关事业单位基本养老保险缴费19.02万元、其他社会保障缴费12.94万元、住房公积金13.7万元、退休费10.1万元、奖励金1.51万元、其他对个人和家庭的补助等12.96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公用经费6.48万元，主要包括：办公费1万元、电费0.5万元、邮电费0.7万元、公务接待费0.2万元、工会经费0.81万元、福利费1.46万元、公务用车运行维护费1万元、办公设备购置0.8万元。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七、关于克孜勒苏柯尔克孜自治州动物疾控中心部门（单位）2021年一般公共预算项目支出情况说明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群众工作经费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：根据自治区党委、自治区人民政府相关工作要求。</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克孜勒苏柯尔克孜自治州动物疾控中心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根据州委、州人民政府的安排和有关规定，继续做好群众共，深化为民办实事好事，把资金用在最困难，最急需的家庭中，不断帮扶解困，化解矛盾纠纷，用心用情为群众办实事好事，慰问困难群众活动，文体活动帮助村委会缴纳各种费用，为了归档购买办公用品和耗材等。</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发放程序：无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八、关于克孜勒苏柯尔克孜自治州动物疾控中心部门（单位）2021年一般公共预算“三公”经费预算情况说明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克孜勒苏柯尔克孜自治州动物疾控中心部门（单位）2021年一般公共预算“三公”经费数为3.2万元，其中：因公出国（境）费0万元，公务用车购置0万元，公务用车运行费3万元，公务接待费0.2万元。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0.8万元，其中：因公出国（境）费增加0万元，主要原因是未安排预算；公务用车购置费为0，未安排预算。公务用车运行费减少1万元，主要原因是2021年压缩经费；公务接待费增加10.2万元，主要原因是2021年预算安排了公务接待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九、关于克孜勒苏柯尔克孜自治州动物疾控中心部门（单位）2021年政府性基金预算拨款情况说明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克孜勒苏柯尔克孜自治州动物疾控中心部门（单位）2021年没有使用政府性基金预算拨款安排的支出，政府性基金预算支出情况表为空表。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2021年，克孜勒苏柯尔克孜自治州动物疾控中心部门（单位）及下属 0家行政单位和0家事业单位的机关运行经费财政拨款预算6.48万元，比上年预算增加0.03万元，增长0.13%。主要原因是:基本上没有大的变化。</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2021年，克孜勒苏柯尔克孜自治州动物疾控中心政府采购预算3.08万元，其中：政府采购货物预算2.08万元，政府采购工程预算0万元，政府采购服务预算1万元。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2021年度本部门面向中小企业预留政府采购项目预算金额3.08万元，其中：面向小微企业预留政府采购项目预算金额3.08万元。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截至2020年底，克孜勒苏柯尔克孜自治州动物疾控中心及下属各预算单位占用使用国有资产总体情况为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1.房屋150平方米，价值9.4万元。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2.车辆1辆，价值21.98万元；其中：一般公务用车0辆，价值0万元；执法执勤用车0辆，价值0万元；其他车辆1辆，价值21.98万元。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3.办公家具价值13.92万元。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4.其他资产价值198.75万元。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克孜勒苏柯尔克孜自治州动物疾控中心预算未安排购置车辆经费（或安排购置车辆经费0万元），安排购置50万元以上大型设备0台（套），单位价值100万元以上大型设备0台（套）。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2021年度，本年度实行绩效管理的一般公共预算项目1个，涉及预算金额5万元。具体情况见下表：</w:t>
      </w: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Style w:val="7"/>
        <w:tblpPr w:leftFromText="180" w:rightFromText="180" w:vertAnchor="text" w:horzAnchor="page" w:tblpX="1840" w:tblpY="288"/>
        <w:tblOverlap w:val="never"/>
        <w:tblW w:w="8379" w:type="dxa"/>
        <w:tblInd w:w="0" w:type="dxa"/>
        <w:tblLayout w:type="autofit"/>
        <w:tblCellMar>
          <w:top w:w="0" w:type="dxa"/>
          <w:left w:w="108" w:type="dxa"/>
          <w:bottom w:w="0" w:type="dxa"/>
          <w:right w:w="108" w:type="dxa"/>
        </w:tblCellMar>
      </w:tblPr>
      <w:tblGrid>
        <w:gridCol w:w="1062"/>
        <w:gridCol w:w="981"/>
        <w:gridCol w:w="1230"/>
        <w:gridCol w:w="2430"/>
        <w:gridCol w:w="2676"/>
      </w:tblGrid>
      <w:tr>
        <w:tblPrEx>
          <w:tblCellMar>
            <w:top w:w="0" w:type="dxa"/>
            <w:left w:w="108" w:type="dxa"/>
            <w:bottom w:w="0" w:type="dxa"/>
            <w:right w:w="108" w:type="dxa"/>
          </w:tblCellMar>
        </w:tblPrEx>
        <w:trPr>
          <w:trHeight w:val="360" w:hRule="atLeast"/>
        </w:trPr>
        <w:tc>
          <w:tcPr>
            <w:tcW w:w="8379" w:type="dxa"/>
            <w:gridSpan w:val="5"/>
            <w:tcBorders>
              <w:top w:val="nil"/>
              <w:left w:val="nil"/>
              <w:bottom w:val="nil"/>
              <w:right w:val="nil"/>
            </w:tcBorders>
            <w:shd w:val="clear" w:color="auto" w:fill="auto"/>
            <w:vAlign w:val="center"/>
          </w:tcPr>
          <w:p>
            <w:pPr>
              <w:widowControl/>
              <w:ind w:firstLine="2570" w:firstLineChars="800"/>
              <w:rPr>
                <w:rFonts w:ascii="宋体" w:hAnsi="宋体" w:cs="宋体"/>
                <w:b/>
                <w:bCs/>
                <w:kern w:val="0"/>
                <w:sz w:val="44"/>
                <w:szCs w:val="44"/>
              </w:rPr>
            </w:pPr>
            <w:r>
              <w:rPr>
                <w:rFonts w:hint="eastAsia" w:ascii="宋体" w:hAnsi="宋体" w:cs="宋体"/>
                <w:b/>
                <w:bCs/>
                <w:kern w:val="0"/>
                <w:sz w:val="32"/>
                <w:szCs w:val="32"/>
              </w:rPr>
              <w:t>算项目支出绩效目标表</w:t>
            </w:r>
          </w:p>
        </w:tc>
      </w:tr>
      <w:tr>
        <w:tblPrEx>
          <w:tblCellMar>
            <w:top w:w="0" w:type="dxa"/>
            <w:left w:w="108" w:type="dxa"/>
            <w:bottom w:w="0" w:type="dxa"/>
            <w:right w:w="108" w:type="dxa"/>
          </w:tblCellMar>
        </w:tblPrEx>
        <w:trPr>
          <w:trHeight w:val="360" w:hRule="atLeast"/>
        </w:trPr>
        <w:tc>
          <w:tcPr>
            <w:tcW w:w="8379" w:type="dxa"/>
            <w:gridSpan w:val="5"/>
            <w:tcBorders>
              <w:top w:val="nil"/>
              <w:left w:val="nil"/>
              <w:bottom w:val="nil"/>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（2021年度）</w:t>
            </w:r>
          </w:p>
        </w:tc>
      </w:tr>
      <w:tr>
        <w:tblPrEx>
          <w:tblCellMar>
            <w:top w:w="0" w:type="dxa"/>
            <w:left w:w="108" w:type="dxa"/>
            <w:bottom w:w="0" w:type="dxa"/>
            <w:right w:w="108" w:type="dxa"/>
          </w:tblCellMar>
        </w:tblPrEx>
        <w:trPr>
          <w:trHeight w:val="360" w:hRule="atLeast"/>
        </w:trPr>
        <w:tc>
          <w:tcPr>
            <w:tcW w:w="32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项目名称</w:t>
            </w:r>
          </w:p>
        </w:tc>
        <w:tc>
          <w:tcPr>
            <w:tcW w:w="510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联建工作经费</w:t>
            </w:r>
          </w:p>
        </w:tc>
      </w:tr>
      <w:tr>
        <w:tblPrEx>
          <w:tblCellMar>
            <w:top w:w="0" w:type="dxa"/>
            <w:left w:w="108" w:type="dxa"/>
            <w:bottom w:w="0" w:type="dxa"/>
            <w:right w:w="108" w:type="dxa"/>
          </w:tblCellMar>
        </w:tblPrEx>
        <w:trPr>
          <w:trHeight w:val="360" w:hRule="atLeast"/>
        </w:trPr>
        <w:tc>
          <w:tcPr>
            <w:tcW w:w="32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预算单位</w:t>
            </w:r>
          </w:p>
        </w:tc>
        <w:tc>
          <w:tcPr>
            <w:tcW w:w="510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克孜勒苏柯尔克孜自治州动物疾控中心</w:t>
            </w:r>
          </w:p>
        </w:tc>
      </w:tr>
      <w:tr>
        <w:tblPrEx>
          <w:tblCellMar>
            <w:top w:w="0" w:type="dxa"/>
            <w:left w:w="108" w:type="dxa"/>
            <w:bottom w:w="0" w:type="dxa"/>
            <w:right w:w="108" w:type="dxa"/>
          </w:tblCellMar>
        </w:tblPrEx>
        <w:trPr>
          <w:trHeight w:val="360" w:hRule="atLeast"/>
        </w:trPr>
        <w:tc>
          <w:tcPr>
            <w:tcW w:w="327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项目资金</w:t>
            </w:r>
            <w:r>
              <w:rPr>
                <w:rFonts w:hint="eastAsia" w:ascii="宋体" w:hAnsi="宋体" w:cs="宋体"/>
                <w:kern w:val="0"/>
                <w:sz w:val="16"/>
                <w:szCs w:val="16"/>
              </w:rPr>
              <w:br w:type="textWrapping"/>
            </w:r>
            <w:r>
              <w:rPr>
                <w:rFonts w:hint="eastAsia" w:ascii="宋体" w:hAnsi="宋体" w:cs="宋体"/>
                <w:kern w:val="0"/>
                <w:sz w:val="16"/>
                <w:szCs w:val="16"/>
              </w:rPr>
              <w:t>（万元）</w:t>
            </w:r>
          </w:p>
        </w:tc>
        <w:tc>
          <w:tcPr>
            <w:tcW w:w="5106"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 xml:space="preserve"> 年度资金总额：5</w:t>
            </w:r>
          </w:p>
        </w:tc>
      </w:tr>
      <w:tr>
        <w:tblPrEx>
          <w:tblCellMar>
            <w:top w:w="0" w:type="dxa"/>
            <w:left w:w="108" w:type="dxa"/>
            <w:bottom w:w="0" w:type="dxa"/>
            <w:right w:w="108" w:type="dxa"/>
          </w:tblCellMar>
        </w:tblPrEx>
        <w:trPr>
          <w:trHeight w:val="360" w:hRule="atLeast"/>
        </w:trPr>
        <w:tc>
          <w:tcPr>
            <w:tcW w:w="3273"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5106"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 xml:space="preserve">       其中：财政拨款：5</w:t>
            </w:r>
          </w:p>
        </w:tc>
      </w:tr>
      <w:tr>
        <w:tblPrEx>
          <w:tblCellMar>
            <w:top w:w="0" w:type="dxa"/>
            <w:left w:w="108" w:type="dxa"/>
            <w:bottom w:w="0" w:type="dxa"/>
            <w:right w:w="108" w:type="dxa"/>
          </w:tblCellMar>
        </w:tblPrEx>
        <w:trPr>
          <w:trHeight w:val="360" w:hRule="atLeast"/>
        </w:trPr>
        <w:tc>
          <w:tcPr>
            <w:tcW w:w="3273"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5106"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 xml:space="preserve">             其他资金：0</w:t>
            </w:r>
          </w:p>
        </w:tc>
      </w:tr>
      <w:tr>
        <w:tblPrEx>
          <w:tblCellMar>
            <w:top w:w="0" w:type="dxa"/>
            <w:left w:w="108" w:type="dxa"/>
            <w:bottom w:w="0" w:type="dxa"/>
            <w:right w:w="108" w:type="dxa"/>
          </w:tblCellMar>
        </w:tblPrEx>
        <w:trPr>
          <w:trHeight w:val="360" w:hRule="atLeast"/>
        </w:trPr>
        <w:tc>
          <w:tcPr>
            <w:tcW w:w="106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总</w:t>
            </w:r>
            <w:r>
              <w:rPr>
                <w:rFonts w:hint="eastAsia" w:ascii="宋体" w:hAnsi="宋体" w:cs="宋体"/>
                <w:kern w:val="0"/>
                <w:sz w:val="16"/>
                <w:szCs w:val="16"/>
              </w:rPr>
              <w:br w:type="textWrapping"/>
            </w:r>
            <w:r>
              <w:rPr>
                <w:rFonts w:hint="eastAsia" w:ascii="宋体" w:hAnsi="宋体" w:cs="宋体"/>
                <w:kern w:val="0"/>
                <w:sz w:val="16"/>
                <w:szCs w:val="16"/>
              </w:rPr>
              <w:t>体</w:t>
            </w:r>
            <w:r>
              <w:rPr>
                <w:rFonts w:hint="eastAsia" w:ascii="宋体" w:hAnsi="宋体" w:cs="宋体"/>
                <w:kern w:val="0"/>
                <w:sz w:val="16"/>
                <w:szCs w:val="16"/>
              </w:rPr>
              <w:br w:type="textWrapping"/>
            </w:r>
            <w:r>
              <w:rPr>
                <w:rFonts w:hint="eastAsia" w:ascii="宋体" w:hAnsi="宋体" w:cs="宋体"/>
                <w:kern w:val="0"/>
                <w:sz w:val="16"/>
                <w:szCs w:val="16"/>
              </w:rPr>
              <w:t>目</w:t>
            </w:r>
            <w:r>
              <w:rPr>
                <w:rFonts w:hint="eastAsia" w:ascii="宋体" w:hAnsi="宋体" w:cs="宋体"/>
                <w:kern w:val="0"/>
                <w:sz w:val="16"/>
                <w:szCs w:val="16"/>
              </w:rPr>
              <w:br w:type="textWrapping"/>
            </w:r>
            <w:r>
              <w:rPr>
                <w:rFonts w:hint="eastAsia" w:ascii="宋体" w:hAnsi="宋体" w:cs="宋体"/>
                <w:kern w:val="0"/>
                <w:sz w:val="16"/>
                <w:szCs w:val="16"/>
              </w:rPr>
              <w:t>标</w:t>
            </w:r>
          </w:p>
        </w:tc>
        <w:tc>
          <w:tcPr>
            <w:tcW w:w="7317"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年度目标</w:t>
            </w:r>
          </w:p>
        </w:tc>
      </w:tr>
      <w:tr>
        <w:tblPrEx>
          <w:tblCellMar>
            <w:top w:w="0" w:type="dxa"/>
            <w:left w:w="108" w:type="dxa"/>
            <w:bottom w:w="0" w:type="dxa"/>
            <w:right w:w="108" w:type="dxa"/>
          </w:tblCellMar>
        </w:tblPrEx>
        <w:trPr>
          <w:trHeight w:val="360"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7317" w:type="dxa"/>
            <w:gridSpan w:val="4"/>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6"/>
                <w:szCs w:val="16"/>
              </w:rPr>
            </w:pPr>
            <w:r>
              <w:rPr>
                <w:rFonts w:hint="eastAsia" w:ascii="宋体" w:hAnsi="宋体" w:cs="宋体"/>
                <w:kern w:val="0"/>
                <w:sz w:val="16"/>
                <w:szCs w:val="16"/>
              </w:rPr>
              <w:t>该项目资金用于开展群众工作，加强民族团结，增进民族互信，突出现代文化引领，促进宗教和谐，落实民生建设任务，增加农牧民收入，关心关爱贫困户、低保户、残疾人等特殊家庭，通过该项目资金的实施，帮助解决生产生活中的实际困难，实现维护社会稳定和长治久安总目标，群众工作人员经费发放给工作人员.　</w:t>
            </w:r>
          </w:p>
        </w:tc>
      </w:tr>
      <w:tr>
        <w:tblPrEx>
          <w:tblCellMar>
            <w:top w:w="0" w:type="dxa"/>
            <w:left w:w="108" w:type="dxa"/>
            <w:bottom w:w="0" w:type="dxa"/>
            <w:right w:w="108" w:type="dxa"/>
          </w:tblCellMar>
        </w:tblPrEx>
        <w:trPr>
          <w:trHeight w:val="360" w:hRule="atLeast"/>
        </w:trPr>
        <w:tc>
          <w:tcPr>
            <w:tcW w:w="106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绩</w:t>
            </w:r>
            <w:r>
              <w:rPr>
                <w:rFonts w:hint="eastAsia" w:ascii="宋体" w:hAnsi="宋体" w:cs="宋体"/>
                <w:kern w:val="0"/>
                <w:sz w:val="16"/>
                <w:szCs w:val="16"/>
              </w:rPr>
              <w:br w:type="textWrapping"/>
            </w:r>
            <w:r>
              <w:rPr>
                <w:rFonts w:hint="eastAsia" w:ascii="宋体" w:hAnsi="宋体" w:cs="宋体"/>
                <w:kern w:val="0"/>
                <w:sz w:val="16"/>
                <w:szCs w:val="16"/>
              </w:rPr>
              <w:t>效</w:t>
            </w:r>
            <w:r>
              <w:rPr>
                <w:rFonts w:hint="eastAsia" w:ascii="宋体" w:hAnsi="宋体" w:cs="宋体"/>
                <w:kern w:val="0"/>
                <w:sz w:val="16"/>
                <w:szCs w:val="16"/>
              </w:rPr>
              <w:br w:type="textWrapping"/>
            </w:r>
            <w:r>
              <w:rPr>
                <w:rFonts w:hint="eastAsia" w:ascii="宋体" w:hAnsi="宋体" w:cs="宋体"/>
                <w:kern w:val="0"/>
                <w:sz w:val="16"/>
                <w:szCs w:val="16"/>
              </w:rPr>
              <w:t>指</w:t>
            </w:r>
            <w:r>
              <w:rPr>
                <w:rFonts w:hint="eastAsia" w:ascii="宋体" w:hAnsi="宋体" w:cs="宋体"/>
                <w:kern w:val="0"/>
                <w:sz w:val="16"/>
                <w:szCs w:val="16"/>
              </w:rPr>
              <w:br w:type="textWrapping"/>
            </w:r>
            <w:r>
              <w:rPr>
                <w:rFonts w:hint="eastAsia" w:ascii="宋体" w:hAnsi="宋体" w:cs="宋体"/>
                <w:kern w:val="0"/>
                <w:sz w:val="16"/>
                <w:szCs w:val="16"/>
              </w:rPr>
              <w:t>标</w:t>
            </w:r>
          </w:p>
        </w:tc>
        <w:tc>
          <w:tcPr>
            <w:tcW w:w="9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一级指标</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二级指标</w:t>
            </w:r>
          </w:p>
        </w:tc>
        <w:tc>
          <w:tcPr>
            <w:tcW w:w="24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三级指标</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指标值（包含数字及文字描述）</w:t>
            </w:r>
          </w:p>
        </w:tc>
      </w:tr>
      <w:tr>
        <w:tblPrEx>
          <w:tblCellMar>
            <w:top w:w="0" w:type="dxa"/>
            <w:left w:w="108" w:type="dxa"/>
            <w:bottom w:w="0" w:type="dxa"/>
            <w:right w:w="108" w:type="dxa"/>
          </w:tblCellMar>
        </w:tblPrEx>
        <w:trPr>
          <w:trHeight w:val="360"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98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项目完成</w:t>
            </w:r>
          </w:p>
        </w:tc>
        <w:tc>
          <w:tcPr>
            <w:tcW w:w="123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数量指标</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开展宣传教育活动次数（次）</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6</w:t>
            </w:r>
          </w:p>
        </w:tc>
      </w:tr>
      <w:tr>
        <w:tblPrEx>
          <w:tblCellMar>
            <w:top w:w="0" w:type="dxa"/>
            <w:left w:w="108" w:type="dxa"/>
            <w:bottom w:w="0" w:type="dxa"/>
            <w:right w:w="108" w:type="dxa"/>
          </w:tblCellMar>
        </w:tblPrEx>
        <w:trPr>
          <w:trHeight w:val="360"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9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16"/>
              </w:rPr>
            </w:pPr>
          </w:p>
        </w:tc>
        <w:tc>
          <w:tcPr>
            <w:tcW w:w="123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购置办公用品（次）</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12</w:t>
            </w:r>
          </w:p>
        </w:tc>
      </w:tr>
      <w:tr>
        <w:tblPrEx>
          <w:tblCellMar>
            <w:top w:w="0" w:type="dxa"/>
            <w:left w:w="108" w:type="dxa"/>
            <w:bottom w:w="0" w:type="dxa"/>
            <w:right w:w="108" w:type="dxa"/>
          </w:tblCellMar>
        </w:tblPrEx>
        <w:trPr>
          <w:trHeight w:val="360"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9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16"/>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质量指标</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资金使用合规率（%）</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100%</w:t>
            </w:r>
          </w:p>
        </w:tc>
      </w:tr>
      <w:tr>
        <w:tblPrEx>
          <w:tblCellMar>
            <w:top w:w="0" w:type="dxa"/>
            <w:left w:w="108" w:type="dxa"/>
            <w:bottom w:w="0" w:type="dxa"/>
            <w:right w:w="108" w:type="dxa"/>
          </w:tblCellMar>
        </w:tblPrEx>
        <w:trPr>
          <w:trHeight w:val="360"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9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16"/>
              </w:rPr>
            </w:pPr>
          </w:p>
        </w:tc>
        <w:tc>
          <w:tcPr>
            <w:tcW w:w="12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时效指标</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项目完成时间</w:t>
            </w:r>
          </w:p>
        </w:tc>
        <w:tc>
          <w:tcPr>
            <w:tcW w:w="2676"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2021年12月</w:t>
            </w:r>
          </w:p>
        </w:tc>
      </w:tr>
      <w:tr>
        <w:tblPrEx>
          <w:tblCellMar>
            <w:top w:w="0" w:type="dxa"/>
            <w:left w:w="108" w:type="dxa"/>
            <w:bottom w:w="0" w:type="dxa"/>
            <w:right w:w="108" w:type="dxa"/>
          </w:tblCellMar>
        </w:tblPrEx>
        <w:trPr>
          <w:trHeight w:val="360"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9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16"/>
              </w:rPr>
            </w:pPr>
          </w:p>
        </w:tc>
        <w:tc>
          <w:tcPr>
            <w:tcW w:w="12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16"/>
              </w:rPr>
            </w:pP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资金发放及时率（%）</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100%</w:t>
            </w:r>
          </w:p>
        </w:tc>
      </w:tr>
      <w:tr>
        <w:tblPrEx>
          <w:tblCellMar>
            <w:top w:w="0" w:type="dxa"/>
            <w:left w:w="108" w:type="dxa"/>
            <w:bottom w:w="0" w:type="dxa"/>
            <w:right w:w="108" w:type="dxa"/>
          </w:tblCellMar>
        </w:tblPrEx>
        <w:trPr>
          <w:trHeight w:val="360"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9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6"/>
                <w:szCs w:val="16"/>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成本指标</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工作经费（万元）</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5</w:t>
            </w:r>
          </w:p>
        </w:tc>
      </w:tr>
      <w:tr>
        <w:tblPrEx>
          <w:tblCellMar>
            <w:top w:w="0" w:type="dxa"/>
            <w:left w:w="108" w:type="dxa"/>
            <w:bottom w:w="0" w:type="dxa"/>
            <w:right w:w="108" w:type="dxa"/>
          </w:tblCellMar>
        </w:tblPrEx>
        <w:trPr>
          <w:trHeight w:val="360"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98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项目效益</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经济效益指标</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　</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　</w:t>
            </w:r>
          </w:p>
        </w:tc>
      </w:tr>
      <w:tr>
        <w:tblPrEx>
          <w:tblCellMar>
            <w:top w:w="0" w:type="dxa"/>
            <w:left w:w="108" w:type="dxa"/>
            <w:bottom w:w="0" w:type="dxa"/>
            <w:right w:w="108" w:type="dxa"/>
          </w:tblCellMar>
        </w:tblPrEx>
        <w:trPr>
          <w:trHeight w:val="360"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9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社会效益指标</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提升公共服务能力</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有效提升</w:t>
            </w:r>
          </w:p>
        </w:tc>
      </w:tr>
      <w:tr>
        <w:trPr>
          <w:trHeight w:val="495"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9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生态效益指标</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　</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　</w:t>
            </w:r>
          </w:p>
        </w:tc>
      </w:tr>
      <w:tr>
        <w:tblPrEx>
          <w:tblCellMar>
            <w:top w:w="0" w:type="dxa"/>
            <w:left w:w="108" w:type="dxa"/>
            <w:bottom w:w="0" w:type="dxa"/>
            <w:right w:w="108" w:type="dxa"/>
          </w:tblCellMar>
        </w:tblPrEx>
        <w:trPr>
          <w:trHeight w:val="360"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9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可持续影响指标</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维护社会稳定</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长期</w:t>
            </w:r>
          </w:p>
        </w:tc>
      </w:tr>
      <w:tr>
        <w:tblPrEx>
          <w:tblCellMar>
            <w:top w:w="0" w:type="dxa"/>
            <w:left w:w="108" w:type="dxa"/>
            <w:bottom w:w="0" w:type="dxa"/>
            <w:right w:w="108" w:type="dxa"/>
          </w:tblCellMar>
        </w:tblPrEx>
        <w:trPr>
          <w:trHeight w:val="360" w:hRule="atLeast"/>
        </w:trPr>
        <w:tc>
          <w:tcPr>
            <w:tcW w:w="106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6"/>
                <w:szCs w:val="16"/>
              </w:rPr>
            </w:pPr>
          </w:p>
        </w:tc>
        <w:tc>
          <w:tcPr>
            <w:tcW w:w="9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满意度指标</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满意度指标</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6"/>
                <w:szCs w:val="16"/>
              </w:rPr>
            </w:pPr>
            <w:r>
              <w:rPr>
                <w:rFonts w:hint="eastAsia" w:ascii="宋体" w:hAnsi="宋体" w:cs="宋体"/>
                <w:kern w:val="0"/>
                <w:sz w:val="16"/>
                <w:szCs w:val="16"/>
              </w:rPr>
              <w:t>受益群众满意度（%）</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6"/>
                <w:szCs w:val="16"/>
              </w:rPr>
            </w:pPr>
            <w:r>
              <w:rPr>
                <w:rFonts w:hint="eastAsia" w:ascii="宋体" w:hAnsi="宋体" w:cs="宋体"/>
                <w:kern w:val="0"/>
                <w:sz w:val="16"/>
                <w:szCs w:val="16"/>
              </w:rPr>
              <w:t>90%</w:t>
            </w:r>
          </w:p>
        </w:tc>
      </w:tr>
    </w:tbl>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480" w:lineRule="exact"/>
        <w:ind w:firstLine="627" w:firstLineChars="196"/>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克孜勒苏柯尔克孜自治州动物疾控中心无其他需说明的事项。</w:t>
      </w:r>
    </w:p>
    <w:p>
      <w:pPr>
        <w:widowControl/>
        <w:spacing w:line="520" w:lineRule="exact"/>
        <w:jc w:val="left"/>
        <w:rPr>
          <w:rFonts w:ascii="仿宋_GB2312" w:hAnsi="宋体" w:eastAsia="仿宋_GB2312" w:cs="宋体"/>
          <w:kern w:val="0"/>
          <w:sz w:val="32"/>
          <w:szCs w:val="32"/>
        </w:rPr>
      </w:pP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ascii="仿宋_GB2312" w:eastAsia="仿宋_GB2312"/>
          <w:sz w:val="32"/>
          <w:szCs w:val="32"/>
        </w:rPr>
        <w:t>国有资本经营预算</w:t>
      </w:r>
      <w:r>
        <w:rPr>
          <w:rFonts w:hint="eastAsia" w:ascii="仿宋_GB2312" w:eastAsia="仿宋_GB2312"/>
          <w:sz w:val="32"/>
          <w:szCs w:val="32"/>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单位）用一般公共预算财政拨款安排的因公务用车购置及运行费和公务接待费。其中，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克孜勒苏柯尔克孜自治州动物疾控中心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 </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bookmarkEnd w:id="0"/>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5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13 -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- 17 -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213"/>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5BF"/>
    <w:rsid w:val="00054ABF"/>
    <w:rsid w:val="0009522A"/>
    <w:rsid w:val="000C2AA9"/>
    <w:rsid w:val="00121764"/>
    <w:rsid w:val="001662FE"/>
    <w:rsid w:val="00172C01"/>
    <w:rsid w:val="00186398"/>
    <w:rsid w:val="001D3009"/>
    <w:rsid w:val="002166BA"/>
    <w:rsid w:val="00324290"/>
    <w:rsid w:val="00396814"/>
    <w:rsid w:val="003B4B5F"/>
    <w:rsid w:val="003C61E3"/>
    <w:rsid w:val="00432267"/>
    <w:rsid w:val="004422D6"/>
    <w:rsid w:val="00493EEC"/>
    <w:rsid w:val="004C06DA"/>
    <w:rsid w:val="004F62F9"/>
    <w:rsid w:val="00520D5A"/>
    <w:rsid w:val="006A3660"/>
    <w:rsid w:val="006B6A8C"/>
    <w:rsid w:val="007219F8"/>
    <w:rsid w:val="007667F4"/>
    <w:rsid w:val="007E2CEA"/>
    <w:rsid w:val="009035BA"/>
    <w:rsid w:val="00925397"/>
    <w:rsid w:val="00950B98"/>
    <w:rsid w:val="0096028F"/>
    <w:rsid w:val="0099744C"/>
    <w:rsid w:val="009C6198"/>
    <w:rsid w:val="00A9706D"/>
    <w:rsid w:val="00BA582F"/>
    <w:rsid w:val="00C117E5"/>
    <w:rsid w:val="00CA4E1E"/>
    <w:rsid w:val="00CE5389"/>
    <w:rsid w:val="00DC05BF"/>
    <w:rsid w:val="00E569BC"/>
    <w:rsid w:val="00EA427D"/>
    <w:rsid w:val="00EF4090"/>
    <w:rsid w:val="00F23808"/>
    <w:rsid w:val="00F54FE8"/>
    <w:rsid w:val="00F830A1"/>
    <w:rsid w:val="00F83503"/>
    <w:rsid w:val="00F90952"/>
    <w:rsid w:val="00F91C29"/>
    <w:rsid w:val="0B6E5DAB"/>
    <w:rsid w:val="0C5C1546"/>
    <w:rsid w:val="167E79F0"/>
    <w:rsid w:val="1C0D29E0"/>
    <w:rsid w:val="1C975F01"/>
    <w:rsid w:val="20126BD6"/>
    <w:rsid w:val="20DD087A"/>
    <w:rsid w:val="2EA6497F"/>
    <w:rsid w:val="39B13ADE"/>
    <w:rsid w:val="3B6772F4"/>
    <w:rsid w:val="3D683B96"/>
    <w:rsid w:val="46073306"/>
    <w:rsid w:val="4C354EE5"/>
    <w:rsid w:val="52E20388"/>
    <w:rsid w:val="5E1F161D"/>
    <w:rsid w:val="744F40DB"/>
    <w:rsid w:val="77403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Char"/>
    <w:basedOn w:val="9"/>
    <w:link w:val="4"/>
    <w:qFormat/>
    <w:uiPriority w:val="0"/>
    <w:rPr>
      <w:sz w:val="18"/>
      <w:szCs w:val="18"/>
    </w:rPr>
  </w:style>
  <w:style w:type="character" w:customStyle="1" w:styleId="13">
    <w:name w:val="页脚 Char"/>
    <w:basedOn w:val="9"/>
    <w:link w:val="3"/>
    <w:qFormat/>
    <w:uiPriority w:val="99"/>
    <w:rPr>
      <w:sz w:val="18"/>
      <w:szCs w:val="18"/>
    </w:rPr>
  </w:style>
  <w:style w:type="character" w:customStyle="1" w:styleId="14">
    <w:name w:val="批注框文本 Char"/>
    <w:link w:val="2"/>
    <w:semiHidden/>
    <w:qFormat/>
    <w:uiPriority w:val="0"/>
    <w:rPr>
      <w:sz w:val="18"/>
      <w:szCs w:val="18"/>
    </w:rPr>
  </w:style>
  <w:style w:type="character" w:customStyle="1" w:styleId="15">
    <w:name w:val="正文文本缩进 3 Char"/>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 w:type="character" w:customStyle="1" w:styleId="23">
    <w:name w:val="font0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6742</Words>
  <Characters>7872</Characters>
  <Lines>80</Lines>
  <Paragraphs>22</Paragraphs>
  <TotalTime>10</TotalTime>
  <ScaleCrop>false</ScaleCrop>
  <LinksUpToDate>false</LinksUpToDate>
  <CharactersWithSpaces>9145</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热依拉·阿不来提</cp:lastModifiedBy>
  <dcterms:modified xsi:type="dcterms:W3CDTF">2021-04-27T06:35:50Z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1044AD558E0047429B0554BA7533FF5A</vt:lpwstr>
  </property>
</Properties>
</file>