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bookmarkStart w:id="2" w:name="_GoBack"/>
      <w:bookmarkEnd w:id="2"/>
      <w:bookmarkStart w:id="0" w:name="csmb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厅领导，本厅有关处室</w:t>
      </w:r>
      <w:bookmarkEnd w:id="0"/>
      <w:bookmarkStart w:id="1" w:name="yinfadanwei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新疆维吾尔自治区财政厅</w:t>
      </w:r>
      <w:bookmarkEnd w:id="1"/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华文中宋" w:hAnsi="华文中宋" w:eastAsia="方正小标宋_GBK" w:cs="华文中宋"/>
          <w:kern w:val="0"/>
          <w:sz w:val="52"/>
          <w:szCs w:val="52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克孜勒苏柯尔克孜自治州驻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乌鲁木齐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第二干休所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2021年预算公开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宋体" w:hAnsi="宋体"/>
          <w:b/>
          <w:kern w:val="0"/>
          <w:sz w:val="44"/>
          <w:szCs w:val="44"/>
        </w:rPr>
        <w:t xml:space="preserve">                 </w:t>
      </w: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第一部分克孜勒苏柯尔克孜自治州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驻乌鲁木齐第二干休所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</w:t>
      </w:r>
      <w:r>
        <w:rPr>
          <w:rFonts w:hint="eastAsia" w:ascii="仿宋_GB2312" w:hAnsi="宋体" w:eastAsia="仿宋_GB2312"/>
          <w:b/>
          <w:bCs w:val="0"/>
          <w:kern w:val="0"/>
          <w:sz w:val="32"/>
          <w:szCs w:val="32"/>
        </w:rPr>
        <w:t>分  2021年部门（单位）预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部门（单位）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部门（单位）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部门（单位）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2021部门（单位）预算情况说明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一、关于克孜勒苏柯尔克孜自治州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eastAsia="zh-CN"/>
        </w:rPr>
        <w:t>驻乌鲁木齐第二干休所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二、关于克孜勒苏柯尔克孜自治州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eastAsia="zh-CN"/>
        </w:rPr>
        <w:t>驻乌鲁木齐第二干休所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2021年</w:t>
      </w:r>
      <w:r>
        <w:rPr>
          <w:rFonts w:hint="eastAsia" w:ascii="仿宋_GB2312" w:hAnsi="宋体" w:eastAsia="仿宋_GB2312"/>
          <w:kern w:val="0"/>
          <w:sz w:val="32"/>
          <w:szCs w:val="32"/>
        </w:rPr>
        <w:t>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三、关于克孜勒苏柯尔克孜自治州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eastAsia="zh-CN"/>
        </w:rPr>
        <w:t>驻乌鲁木齐第二干休所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克孜勒苏柯尔克孜自治州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eastAsia="zh-CN"/>
        </w:rPr>
        <w:t>驻乌鲁木齐第二干休所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2021年财政拨款收支预算情况的总体说明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五、关于克孜勒苏柯尔克孜自治州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eastAsia="zh-CN"/>
        </w:rPr>
        <w:t>驻乌鲁木齐第二干休所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六、关于克孜勒苏柯尔克孜自治州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eastAsia="zh-CN"/>
        </w:rPr>
        <w:t>驻乌鲁木齐第二干休所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七、关于克孜勒苏柯尔克孜自治州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eastAsia="zh-CN"/>
        </w:rPr>
        <w:t>驻乌鲁木齐第二干休所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八、关于克孜勒苏柯尔克孜自治州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eastAsia="zh-CN"/>
        </w:rPr>
        <w:t>驻乌鲁木齐第二干休所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九、关于克孜勒苏柯尔克孜自治州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eastAsia="zh-CN"/>
        </w:rPr>
        <w:t>驻乌鲁木齐第二干休所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482" w:firstLineChars="1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br w:type="textWrapping"/>
      </w: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 </w:t>
      </w:r>
    </w:p>
    <w:p>
      <w:pPr>
        <w:widowControl/>
        <w:ind w:firstLine="640" w:firstLineChars="200"/>
        <w:outlineLvl w:val="1"/>
        <w:rPr>
          <w:rFonts w:ascii="宋体" w:hAnsi="宋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</w:t>
      </w:r>
      <w:r>
        <w:rPr>
          <w:rFonts w:hint="eastAsia" w:ascii="黑体" w:hAnsi="黑体" w:eastAsia="黑体" w:cs="黑体"/>
          <w:kern w:val="0"/>
          <w:sz w:val="32"/>
          <w:szCs w:val="32"/>
        </w:rPr>
        <w:t>克孜勒苏柯尔克孜自治州驻乌鲁木齐第二干休所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pStyle w:val="18"/>
        <w:adjustRightInd w:val="0"/>
        <w:snapToGrid w:val="0"/>
        <w:spacing w:line="560" w:lineRule="exact"/>
        <w:ind w:left="64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（一）组织老干部学习贯彻、执行、落实党的</w:t>
      </w:r>
      <w:r>
        <w:rPr>
          <w:rFonts w:hint="eastAsia" w:ascii="仿宋" w:hAnsi="仿宋" w:eastAsia="仿宋"/>
          <w:sz w:val="32"/>
          <w:szCs w:val="32"/>
        </w:rPr>
        <w:t>路线、方针、政策、</w:t>
      </w:r>
      <w:r>
        <w:rPr>
          <w:rFonts w:hint="eastAsia" w:ascii="仿宋_GB2312" w:hAnsi="仿宋_GB2312" w:eastAsia="仿宋_GB2312" w:cs="仿宋_GB2312"/>
          <w:sz w:val="32"/>
          <w:szCs w:val="32"/>
        </w:rPr>
        <w:t>政策，</w:t>
      </w:r>
      <w:r>
        <w:rPr>
          <w:rFonts w:hint="eastAsia" w:ascii="仿宋" w:hAnsi="仿宋" w:eastAsia="仿宋"/>
          <w:sz w:val="32"/>
          <w:szCs w:val="32"/>
        </w:rPr>
        <w:t>重大问题的讨论决定，创造性的开展工作。</w:t>
      </w:r>
    </w:p>
    <w:p>
      <w:pPr>
        <w:pStyle w:val="18"/>
        <w:adjustRightInd w:val="0"/>
        <w:snapToGrid w:val="0"/>
        <w:spacing w:line="560" w:lineRule="exact"/>
        <w:ind w:left="64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（二）负责召开第二干休所的各类会议，传达贯彻州委和州政府的决议、决定、工作部署，以及重要文件、</w:t>
      </w:r>
      <w:r>
        <w:rPr>
          <w:rFonts w:hint="eastAsia" w:ascii="仿宋" w:hAnsi="仿宋" w:eastAsia="仿宋"/>
          <w:sz w:val="32"/>
          <w:szCs w:val="32"/>
          <w:lang w:eastAsia="zh-CN"/>
        </w:rPr>
        <w:t>工作会议精神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widowControl/>
        <w:spacing w:line="560" w:lineRule="exact"/>
        <w:ind w:firstLine="630"/>
        <w:jc w:val="left"/>
        <w:rPr>
          <w:rFonts w:ascii="微软雅黑" w:hAnsi="微软雅黑" w:eastAsia="仿宋"/>
          <w:color w:val="333333"/>
          <w:sz w:val="18"/>
          <w:szCs w:val="18"/>
          <w:shd w:val="clear" w:color="auto" w:fill="FFFFFF"/>
        </w:rPr>
      </w:pP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</w:rPr>
        <w:t>（三）及时了解掌握和报告干休所人员的思想动态等情况，做好有关人员的思想工作。</w:t>
      </w:r>
    </w:p>
    <w:p>
      <w:pPr>
        <w:widowControl/>
        <w:spacing w:line="560" w:lineRule="exact"/>
        <w:ind w:firstLine="630"/>
        <w:jc w:val="left"/>
        <w:rPr>
          <w:rFonts w:ascii="仿宋" w:hAnsi="仿宋" w:eastAsia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</w:rPr>
        <w:t>（四）走访慰问离休退休干部以及离休退休干部的探亲、旅游、疗养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  <w:lang w:eastAsia="zh-CN"/>
        </w:rPr>
        <w:t>等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</w:rPr>
        <w:t>事宜的服务保障工作。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</w:rPr>
        <w:t>（五）开展适合离休退休干部特点的文化体育活动，丰富老干部文化生活，</w:t>
      </w:r>
      <w:r>
        <w:rPr>
          <w:rFonts w:hint="eastAsia" w:ascii="仿宋" w:hAnsi="仿宋" w:eastAsia="仿宋" w:cs="仿宋"/>
          <w:bCs/>
          <w:sz w:val="32"/>
          <w:szCs w:val="32"/>
        </w:rPr>
        <w:t>使老干部退休后生活的愉快，舒心、幸福的度过晚年生活。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完成自治州党委、自治州人民政府交办的其他任务。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（六）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完成自治州党委、自治州人民政府交办的其他工作任务。</w:t>
      </w:r>
    </w:p>
    <w:p>
      <w:pPr>
        <w:widowControl/>
        <w:spacing w:line="560" w:lineRule="exact"/>
        <w:ind w:firstLine="63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黑体" w:eastAsia="仿宋" w:cs="宋体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克孜勒苏柯尔克孜自治州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驻乌鲁木齐第二干休所无下属预算单位，</w:t>
      </w:r>
      <w:r>
        <w:rPr>
          <w:rFonts w:hint="eastAsia" w:ascii="仿宋" w:hAnsi="仿宋" w:eastAsia="仿宋" w:cs="仿宋"/>
          <w:bCs/>
          <w:sz w:val="32"/>
          <w:szCs w:val="32"/>
        </w:rPr>
        <w:t>下设1个科室，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分</w:t>
      </w:r>
      <w:r>
        <w:rPr>
          <w:rFonts w:hint="eastAsia" w:ascii="仿宋" w:hAnsi="仿宋" w:eastAsia="仿宋" w:cs="仿宋"/>
          <w:bCs/>
          <w:sz w:val="32"/>
          <w:szCs w:val="32"/>
        </w:rPr>
        <w:t>财务室，负责本单位的财务工作。</w:t>
      </w:r>
    </w:p>
    <w:p>
      <w:pPr>
        <w:widowControl/>
        <w:spacing w:line="560" w:lineRule="exact"/>
        <w:ind w:firstLine="640" w:firstLineChars="200"/>
        <w:jc w:val="left"/>
        <w:rPr>
          <w:rFonts w:hint="default" w:ascii="仿宋_GB2312" w:hAnsi="宋体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克孜勒苏柯尔克孜自治州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驻乌鲁木齐第二干休所</w:t>
      </w:r>
      <w:r>
        <w:rPr>
          <w:rFonts w:hint="eastAsia" w:ascii="仿宋" w:hAnsi="仿宋" w:eastAsia="仿宋" w:cs="仿宋"/>
          <w:bCs/>
          <w:sz w:val="32"/>
          <w:szCs w:val="32"/>
        </w:rPr>
        <w:t>实有编制3，实有人数3人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，其中：在职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3人，增加0人；退休0人，增加0人；离休0人，增加0人。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 </w:t>
      </w:r>
    </w:p>
    <w:p>
      <w:pPr>
        <w:widowControl/>
        <w:spacing w:line="280" w:lineRule="exact"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 第二部分 2021年部门（单位）预算公开表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编制部门（单位）：克孜勒苏柯尔克孜自治州</w:t>
      </w:r>
      <w:r>
        <w:rPr>
          <w:rFonts w:hint="eastAsia" w:ascii="仿宋" w:hAnsi="仿宋" w:eastAsia="仿宋" w:cs="仿宋"/>
          <w:bCs/>
          <w:sz w:val="24"/>
          <w:szCs w:val="24"/>
          <w:lang w:eastAsia="zh-CN"/>
        </w:rPr>
        <w:t>驻乌鲁木齐第二干休所</w:t>
      </w:r>
      <w:r>
        <w:rPr>
          <w:rFonts w:hint="eastAsia" w:ascii="仿宋_GB2312" w:hAnsi="宋体" w:eastAsia="仿宋_GB2312"/>
          <w:kern w:val="0"/>
          <w:sz w:val="24"/>
          <w:szCs w:val="24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单位：万元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80.86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80.86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60" w:firstLineChars="20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135.86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             0 000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135.86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135.86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仿宋_GB2312" w:eastAsia="仿宋_GB2312" w:cs="仿宋_GB2312"/>
          <w:sz w:val="24"/>
        </w:rPr>
        <w:t>克孜勒苏柯尔克孜自治州</w:t>
      </w:r>
      <w:r>
        <w:rPr>
          <w:rFonts w:hint="eastAsia" w:ascii="仿宋" w:hAnsi="仿宋" w:eastAsia="仿宋" w:cs="仿宋"/>
          <w:bCs/>
          <w:sz w:val="24"/>
          <w:lang w:eastAsia="zh-CN"/>
        </w:rPr>
        <w:t>驻乌鲁木齐第二干休所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单位：万元 </w:t>
      </w:r>
    </w:p>
    <w:tbl>
      <w:tblPr>
        <w:tblStyle w:val="7"/>
        <w:tblW w:w="973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540"/>
        <w:gridCol w:w="540"/>
        <w:gridCol w:w="1905"/>
        <w:gridCol w:w="870"/>
        <w:gridCol w:w="853"/>
        <w:gridCol w:w="295"/>
        <w:gridCol w:w="295"/>
        <w:gridCol w:w="393"/>
        <w:gridCol w:w="295"/>
        <w:gridCol w:w="295"/>
        <w:gridCol w:w="295"/>
        <w:gridCol w:w="796"/>
        <w:gridCol w:w="791"/>
        <w:gridCol w:w="239"/>
        <w:gridCol w:w="79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6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19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一般公共预算拨款</w:t>
            </w:r>
          </w:p>
        </w:tc>
        <w:tc>
          <w:tcPr>
            <w:tcW w:w="2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  政府性基金预算拨款</w:t>
            </w:r>
          </w:p>
        </w:tc>
        <w:tc>
          <w:tcPr>
            <w:tcW w:w="2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3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2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2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上级补助收入</w:t>
            </w:r>
          </w:p>
        </w:tc>
        <w:tc>
          <w:tcPr>
            <w:tcW w:w="2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7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7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上级专项收入</w:t>
            </w:r>
          </w:p>
        </w:tc>
        <w:tc>
          <w:tcPr>
            <w:tcW w:w="2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7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单位上年结余（不包含国库集中支付额度结余）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1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135.86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80.86</w:t>
            </w: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135.86 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80.86 </w:t>
            </w: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208  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15"/>
                <w:szCs w:val="15"/>
              </w:rPr>
              <w:t>离退休人员管理机构　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55.34 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55.34 </w:t>
            </w: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208    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05  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</w:rPr>
              <w:t>其他行政事业单位养老支出　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77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’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68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22.68 </w:t>
            </w: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208    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05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eastAsia="仿宋_GB2312"/>
                <w:color w:val="000000"/>
                <w:sz w:val="13"/>
                <w:szCs w:val="13"/>
              </w:rPr>
              <w:t>对机关事业单位职业年金的补助　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2.84 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2.84 </w:t>
            </w: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color w:val="000000" w:themeColor="text1"/>
          <w:kern w:val="0"/>
          <w:sz w:val="24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</w:rPr>
        <w:t>编制部门（单位）：克孜勒苏柯尔克孜自治州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驻乌鲁木齐第二干休所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</w:rPr>
        <w:t xml:space="preserve"> 单位：万元   </w:t>
      </w:r>
    </w:p>
    <w:tbl>
      <w:tblPr>
        <w:tblStyle w:val="7"/>
        <w:tblW w:w="890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585"/>
        <w:gridCol w:w="585"/>
        <w:gridCol w:w="2038"/>
        <w:gridCol w:w="1559"/>
        <w:gridCol w:w="1430"/>
        <w:gridCol w:w="142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textAlignment w:val="bottom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支出预算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      计</w:t>
            </w:r>
          </w:p>
        </w:tc>
        <w:tc>
          <w:tcPr>
            <w:tcW w:w="1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0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135.86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58.18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77.68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58.18 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55.34 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77.68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离退休人员管理机构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55.34 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55.34 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</w:rPr>
              <w:t>对机关事业单位职业年金补助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 xml:space="preserve">  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2.84 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2.84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 w:val="15"/>
                <w:szCs w:val="15"/>
              </w:rPr>
              <w:t>其他行政事业单位养老支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77.68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77.68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right="90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90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</w:tbl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Lines="50"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/>
        <w:jc w:val="left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</w:rPr>
        <w:t>克孜勒苏柯尔克孜自治州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驻乌鲁木齐第二干休所</w:t>
      </w:r>
      <w:r>
        <w:rPr>
          <w:rFonts w:hint="eastAsia"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单位：万元  </w:t>
      </w:r>
    </w:p>
    <w:tbl>
      <w:tblPr>
        <w:tblStyle w:val="7"/>
        <w:tblW w:w="9327" w:type="dxa"/>
        <w:tblInd w:w="-12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"/>
        <w:gridCol w:w="441"/>
        <w:gridCol w:w="492"/>
        <w:gridCol w:w="417"/>
        <w:gridCol w:w="943"/>
        <w:gridCol w:w="805"/>
        <w:gridCol w:w="762"/>
        <w:gridCol w:w="1649"/>
        <w:gridCol w:w="35"/>
        <w:gridCol w:w="739"/>
        <w:gridCol w:w="838"/>
        <w:gridCol w:w="265"/>
        <w:gridCol w:w="707"/>
        <w:gridCol w:w="994"/>
        <w:gridCol w:w="11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278" w:hRule="atLeast"/>
        </w:trPr>
        <w:tc>
          <w:tcPr>
            <w:tcW w:w="30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财政拨款收入</w:t>
            </w:r>
          </w:p>
        </w:tc>
        <w:tc>
          <w:tcPr>
            <w:tcW w:w="610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财政拨款支出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317" w:hRule="atLeast"/>
        </w:trPr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国有资本经营预算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278" w:hRule="atLeast"/>
        </w:trPr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一、财政拨款（补助）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80.86 </w:t>
            </w: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278" w:hRule="atLeast"/>
        </w:trPr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一般公共预算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80.86 </w:t>
            </w: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278" w:hRule="atLeast"/>
        </w:trPr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政府性基金预算</w:t>
            </w:r>
          </w:p>
        </w:tc>
        <w:tc>
          <w:tcPr>
            <w:tcW w:w="8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278" w:hRule="atLeast"/>
        </w:trPr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bottom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 国有资本经营预算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278" w:hRule="atLeast"/>
        </w:trPr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278" w:hRule="atLeast"/>
        </w:trPr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317" w:hRule="atLeast"/>
        </w:trPr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278" w:hRule="atLeast"/>
        </w:trPr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80.86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80.86</w:t>
            </w: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278" w:hRule="atLeast"/>
        </w:trPr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278" w:hRule="atLeast"/>
        </w:trPr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210 卫生健康支出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278" w:hRule="atLeast"/>
        </w:trPr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278" w:hRule="atLeast"/>
        </w:trPr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278" w:hRule="atLeast"/>
        </w:trPr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278" w:hRule="atLeast"/>
        </w:trPr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317" w:hRule="atLeast"/>
        </w:trPr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278" w:hRule="atLeast"/>
        </w:trPr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299" w:hRule="atLeast"/>
        </w:trPr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278" w:hRule="atLeast"/>
        </w:trPr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317" w:hRule="atLeast"/>
        </w:trPr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278" w:hRule="atLeast"/>
        </w:trPr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278" w:hRule="atLeast"/>
        </w:trPr>
        <w:tc>
          <w:tcPr>
            <w:tcW w:w="22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317" w:hRule="atLeast"/>
        </w:trPr>
        <w:tc>
          <w:tcPr>
            <w:tcW w:w="2293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317" w:hRule="atLeast"/>
        </w:trPr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224 灾害防治及应急管理支出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278" w:hRule="atLeast"/>
        </w:trPr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278" w:hRule="atLeast"/>
        </w:trPr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278" w:hRule="atLeast"/>
        </w:trPr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bottom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278" w:hRule="atLeast"/>
        </w:trPr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278" w:hRule="atLeast"/>
        </w:trPr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317" w:hRule="atLeast"/>
        </w:trPr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234 抗疫特别国债安排的支出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278" w:hRule="atLeast"/>
        </w:trPr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  年  收  入  小  计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80.86 </w:t>
            </w: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  年  支  出  小  计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80.86 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80.86 </w:t>
            </w: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317" w:hRule="atLeast"/>
        </w:trPr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bottom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单位上年结余（不包含国库集中支付额度结余）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7" w:type="dxa"/>
          <w:trHeight w:val="285" w:hRule="atLeast"/>
        </w:trPr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收   入   总   计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80.86 </w:t>
            </w: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   出  总   计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80.86 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80.86 </w:t>
            </w: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" w:type="dxa"/>
          <w:trHeight w:val="285" w:hRule="atLeast"/>
        </w:trPr>
        <w:tc>
          <w:tcPr>
            <w:tcW w:w="921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表五：</w:t>
            </w:r>
          </w:p>
          <w:tbl>
            <w:tblPr>
              <w:tblStyle w:val="7"/>
              <w:tblW w:w="9214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214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0" w:hRule="atLeast"/>
              </w:trPr>
              <w:tc>
                <w:tcPr>
                  <w:tcW w:w="921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rPr>
                      <w:rFonts w:ascii="仿宋_GB2312" w:hAnsi="宋体" w:eastAsia="仿宋_GB2312" w:cs="宋体"/>
                      <w:b/>
                      <w:bCs/>
                      <w:color w:val="000000"/>
                      <w:kern w:val="0"/>
                      <w:sz w:val="32"/>
                      <w:szCs w:val="32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bCs/>
                      <w:color w:val="000000"/>
                      <w:kern w:val="0"/>
                      <w:sz w:val="32"/>
                      <w:szCs w:val="32"/>
                    </w:rPr>
                    <w:t>一般公共预算支出情况表</w:t>
                  </w:r>
                </w:p>
              </w:tc>
            </w:tr>
          </w:tbl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克孜勒苏柯尔克孜自治州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驻乌鲁木齐第二干休所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" w:type="dxa"/>
          <w:trHeight w:val="405" w:hRule="atLeast"/>
        </w:trPr>
        <w:tc>
          <w:tcPr>
            <w:tcW w:w="39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522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" w:type="dxa"/>
          <w:trHeight w:val="465" w:hRule="atLeast"/>
        </w:trPr>
        <w:tc>
          <w:tcPr>
            <w:tcW w:w="14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10" w:type="dxa"/>
            <w:gridSpan w:val="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1842" w:type="dxa"/>
            <w:gridSpan w:val="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" w:type="dxa"/>
          <w:trHeight w:val="300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10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" w:type="dxa"/>
          <w:trHeight w:val="450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80.86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58.18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22.68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" w:type="dxa"/>
          <w:trHeight w:val="450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55.34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55.34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" w:type="dxa"/>
          <w:trHeight w:val="450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03</w:t>
            </w: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</w:rPr>
              <w:t>离退休人员管理机构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55.34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55.34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" w:type="dxa"/>
          <w:trHeight w:val="450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08</w:t>
            </w: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对机关事业单位职业年金补助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2.84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2.84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" w:type="dxa"/>
          <w:trHeight w:val="450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99</w:t>
            </w: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</w:rPr>
              <w:t>其他行政事业单位养老支出　</w:t>
            </w: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22.68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22.68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" w:type="dxa"/>
          <w:trHeight w:val="450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" w:type="dxa"/>
          <w:trHeight w:val="450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" w:type="dxa"/>
          <w:trHeight w:val="450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" w:type="dxa"/>
          <w:trHeight w:val="450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" w:type="dxa"/>
          <w:trHeight w:val="450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" w:type="dxa"/>
          <w:trHeight w:val="450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" w:type="dxa"/>
          <w:trHeight w:val="450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" w:type="dxa"/>
          <w:trHeight w:val="450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" w:type="dxa"/>
          <w:trHeight w:val="450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" w:type="dxa"/>
          <w:trHeight w:val="450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line="400" w:lineRule="exact"/>
        <w:jc w:val="both"/>
        <w:outlineLvl w:val="1"/>
        <w:rPr>
          <w:rFonts w:ascii="仿宋_GB2312" w:hAnsi="宋体" w:eastAsia="仿宋_GB2312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32"/>
          <w:szCs w:val="32"/>
        </w:rPr>
        <w:t>一般公共预算基本支出情况表</w:t>
      </w:r>
    </w:p>
    <w:p>
      <w:pPr>
        <w:widowControl/>
        <w:spacing w:line="400" w:lineRule="exact"/>
        <w:jc w:val="left"/>
        <w:outlineLvl w:val="1"/>
        <w:rPr>
          <w:rFonts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</w:rPr>
        <w:t xml:space="preserve"> 克孜勒苏柯尔克孜自治州      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单位：万元</w:t>
      </w:r>
    </w:p>
    <w:tbl>
      <w:tblPr>
        <w:tblStyle w:val="7"/>
        <w:tblW w:w="1199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5"/>
        <w:gridCol w:w="714"/>
        <w:gridCol w:w="3051"/>
        <w:gridCol w:w="1278"/>
        <w:gridCol w:w="1576"/>
        <w:gridCol w:w="1576"/>
        <w:gridCol w:w="1576"/>
        <w:gridCol w:w="157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2" w:type="dxa"/>
          <w:trHeight w:val="129" w:hRule="atLeast"/>
        </w:trPr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经济分类科目编码</w:t>
            </w:r>
          </w:p>
        </w:tc>
        <w:tc>
          <w:tcPr>
            <w:tcW w:w="30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经济分类科目名称</w:t>
            </w:r>
          </w:p>
        </w:tc>
        <w:tc>
          <w:tcPr>
            <w:tcW w:w="12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31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一般公共预算支出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2" w:type="dxa"/>
          <w:trHeight w:val="312" w:hRule="atLeast"/>
        </w:trPr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7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人员经费</w:t>
            </w:r>
          </w:p>
        </w:tc>
        <w:tc>
          <w:tcPr>
            <w:tcW w:w="15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公用经费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2" w:type="dxa"/>
          <w:trHeight w:val="312" w:hRule="atLeast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2" w:type="dxa"/>
          <w:trHeight w:val="129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58.18</w:t>
            </w: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31.71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26.47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2" w:type="dxa"/>
          <w:trHeight w:val="129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基本工资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10.17</w:t>
            </w: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10.17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2" w:type="dxa"/>
          <w:trHeight w:val="129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13.23</w:t>
            </w: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13.23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2" w:type="dxa"/>
          <w:trHeight w:val="129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0.85</w:t>
            </w: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0.85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2" w:type="dxa"/>
          <w:trHeight w:val="129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3.46</w:t>
            </w: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3.46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2" w:type="dxa"/>
          <w:trHeight w:val="129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1.51</w:t>
            </w: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1.51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2" w:type="dxa"/>
          <w:trHeight w:val="129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2.49</w:t>
            </w: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2.49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2" w:type="dxa"/>
          <w:trHeight w:val="129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0.55</w:t>
            </w: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2" w:type="dxa"/>
          <w:trHeight w:val="129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印刷费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2" w:type="dxa"/>
          <w:trHeight w:val="129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0.95</w:t>
            </w: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2" w:type="dxa"/>
          <w:trHeight w:val="129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0.83</w:t>
            </w: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2" w:type="dxa"/>
          <w:trHeight w:val="129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取暖费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23.22</w:t>
            </w: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23.22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2" w:type="dxa"/>
          <w:trHeight w:val="129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2" w:type="dxa"/>
          <w:trHeight w:val="129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维修(护)费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2" w:type="dxa"/>
          <w:trHeight w:val="129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租赁费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2" w:type="dxa"/>
          <w:trHeight w:val="129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公务接待费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2" w:type="dxa"/>
          <w:trHeight w:val="129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劳务费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2" w:type="dxa"/>
          <w:trHeight w:val="129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2" w:type="dxa"/>
          <w:trHeight w:val="129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0.27</w:t>
            </w: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0.27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2" w:type="dxa"/>
          <w:trHeight w:val="129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2" w:type="dxa"/>
          <w:trHeight w:val="129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办公用品及设备采购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2" w:type="dxa"/>
          <w:trHeight w:val="129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其他商品和服务支出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2" w:type="dxa"/>
          <w:trHeight w:val="222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退休费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2" w:type="dxa"/>
          <w:trHeight w:val="129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生活补助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2" w:type="dxa"/>
          <w:trHeight w:val="129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2" w:type="dxa"/>
          <w:trHeight w:val="129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其他对个人和家庭的补助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2" w:type="dxa"/>
          <w:trHeight w:val="129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2" w:type="dxa"/>
          <w:trHeight w:val="129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633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479"/>
        <w:gridCol w:w="437"/>
        <w:gridCol w:w="377"/>
        <w:gridCol w:w="1337"/>
        <w:gridCol w:w="1157"/>
        <w:gridCol w:w="609"/>
        <w:gridCol w:w="377"/>
        <w:gridCol w:w="609"/>
        <w:gridCol w:w="617"/>
        <w:gridCol w:w="574"/>
        <w:gridCol w:w="652"/>
        <w:gridCol w:w="488"/>
        <w:gridCol w:w="583"/>
        <w:gridCol w:w="446"/>
        <w:gridCol w:w="557"/>
        <w:gridCol w:w="154"/>
        <w:gridCol w:w="1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172" w:type="dxa"/>
          <w:trHeight w:val="375" w:hRule="atLeast"/>
        </w:trPr>
        <w:tc>
          <w:tcPr>
            <w:tcW w:w="9453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172" w:type="dxa"/>
          <w:trHeight w:val="405" w:hRule="atLeast"/>
        </w:trPr>
        <w:tc>
          <w:tcPr>
            <w:tcW w:w="9453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克孜勒苏柯尔克孜自治州</w:t>
            </w:r>
            <w:r>
              <w:rPr>
                <w:rFonts w:hint="eastAsia" w:ascii="仿宋" w:hAnsi="仿宋" w:eastAsia="仿宋" w:cs="仿宋"/>
                <w:bCs/>
                <w:sz w:val="24"/>
                <w:lang w:eastAsia="zh-CN"/>
              </w:rPr>
              <w:t>驻乌鲁木齐第二干休所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0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33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157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60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5"/>
                <w:szCs w:val="15"/>
              </w:rPr>
              <w:t>项目支出合计</w:t>
            </w:r>
          </w:p>
        </w:tc>
        <w:tc>
          <w:tcPr>
            <w:tcW w:w="37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0"/>
                <w:szCs w:val="10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0"/>
                <w:szCs w:val="10"/>
              </w:rPr>
              <w:t>工资福利支出</w:t>
            </w:r>
          </w:p>
        </w:tc>
        <w:tc>
          <w:tcPr>
            <w:tcW w:w="60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0"/>
                <w:szCs w:val="10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0"/>
                <w:szCs w:val="10"/>
              </w:rPr>
              <w:t>商品和服务支出</w:t>
            </w:r>
          </w:p>
        </w:tc>
        <w:tc>
          <w:tcPr>
            <w:tcW w:w="61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0"/>
                <w:szCs w:val="10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0"/>
                <w:szCs w:val="10"/>
              </w:rPr>
              <w:t>对个人和家庭的补助</w:t>
            </w:r>
          </w:p>
        </w:tc>
        <w:tc>
          <w:tcPr>
            <w:tcW w:w="574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0"/>
                <w:szCs w:val="10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0"/>
                <w:szCs w:val="10"/>
              </w:rPr>
              <w:t>债务利息及费用支出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0"/>
                <w:szCs w:val="10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0"/>
                <w:szCs w:val="10"/>
              </w:rPr>
              <w:t>资本性支出（基本建设）</w:t>
            </w:r>
          </w:p>
        </w:tc>
        <w:tc>
          <w:tcPr>
            <w:tcW w:w="48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0"/>
                <w:szCs w:val="10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0"/>
                <w:szCs w:val="10"/>
              </w:rPr>
              <w:t>资本性支出</w:t>
            </w:r>
          </w:p>
        </w:tc>
        <w:tc>
          <w:tcPr>
            <w:tcW w:w="58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0"/>
                <w:szCs w:val="10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0"/>
                <w:szCs w:val="10"/>
              </w:rPr>
              <w:t>对企业补助（基本建设）</w:t>
            </w:r>
          </w:p>
        </w:tc>
        <w:tc>
          <w:tcPr>
            <w:tcW w:w="44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0"/>
                <w:szCs w:val="10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0"/>
                <w:szCs w:val="10"/>
              </w:rPr>
              <w:t>对企业补助</w:t>
            </w:r>
          </w:p>
        </w:tc>
        <w:tc>
          <w:tcPr>
            <w:tcW w:w="557" w:type="dxa"/>
            <w:vMerge w:val="restart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0"/>
                <w:szCs w:val="10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0"/>
                <w:szCs w:val="10"/>
              </w:rPr>
              <w:t>对社会保障基金补助</w:t>
            </w:r>
          </w:p>
        </w:tc>
        <w:tc>
          <w:tcPr>
            <w:tcW w:w="326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0"/>
                <w:szCs w:val="10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0"/>
                <w:szCs w:val="10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8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3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7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33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15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7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1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4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8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83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4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5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26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487" w:type="dxa"/>
            <w:gridSpan w:val="2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437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1337" w:type="dxa"/>
          </w:tcPr>
          <w:p>
            <w:pPr>
              <w:widowControl/>
              <w:jc w:val="left"/>
              <w:outlineLvl w:val="1"/>
              <w:rPr>
                <w:rFonts w:hint="eastAsia" w:ascii="仿宋_GB2312" w:eastAsia="仿宋_GB2312"/>
                <w:color w:val="000000"/>
                <w:sz w:val="15"/>
                <w:szCs w:val="15"/>
              </w:rPr>
            </w:pPr>
          </w:p>
        </w:tc>
        <w:tc>
          <w:tcPr>
            <w:tcW w:w="1157" w:type="dxa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合  计</w:t>
            </w:r>
          </w:p>
        </w:tc>
        <w:tc>
          <w:tcPr>
            <w:tcW w:w="609" w:type="dxa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22.68.</w:t>
            </w: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609" w:type="dxa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21</w:t>
            </w:r>
          </w:p>
        </w:tc>
        <w:tc>
          <w:tcPr>
            <w:tcW w:w="617" w:type="dxa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1.68</w:t>
            </w:r>
          </w:p>
        </w:tc>
        <w:tc>
          <w:tcPr>
            <w:tcW w:w="574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88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83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46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7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26" w:type="dxa"/>
            <w:gridSpan w:val="2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48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208　</w:t>
            </w:r>
          </w:p>
        </w:tc>
        <w:tc>
          <w:tcPr>
            <w:tcW w:w="43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133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1"/>
                <w:szCs w:val="11"/>
              </w:rPr>
              <w:t>社会保障和就业支</w:t>
            </w:r>
            <w:r>
              <w:rPr>
                <w:rFonts w:hint="eastAsia" w:ascii="宋体" w:hAnsi="宋体" w:cs="宋体"/>
                <w:color w:val="000000"/>
                <w:kern w:val="0"/>
                <w:sz w:val="11"/>
                <w:szCs w:val="11"/>
                <w:lang w:val="en-US" w:eastAsia="zh-CN"/>
              </w:rPr>
              <w:t>出</w:t>
            </w:r>
            <w:r>
              <w:rPr>
                <w:rFonts w:hint="eastAsia" w:ascii="仿宋_GB2312" w:hAnsi="宋体" w:eastAsia="仿宋_GB2312"/>
                <w:kern w:val="0"/>
                <w:sz w:val="11"/>
                <w:szCs w:val="11"/>
              </w:rPr>
              <w:t>　</w:t>
            </w:r>
          </w:p>
        </w:tc>
        <w:tc>
          <w:tcPr>
            <w:tcW w:w="1157" w:type="dxa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60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1.68</w:t>
            </w:r>
          </w:p>
        </w:tc>
        <w:tc>
          <w:tcPr>
            <w:tcW w:w="37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60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61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1.68</w:t>
            </w:r>
          </w:p>
        </w:tc>
        <w:tc>
          <w:tcPr>
            <w:tcW w:w="57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8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2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48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208　</w:t>
            </w:r>
          </w:p>
        </w:tc>
        <w:tc>
          <w:tcPr>
            <w:tcW w:w="43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05　</w:t>
            </w: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1337" w:type="dxa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1"/>
                <w:szCs w:val="11"/>
                <w:lang w:val="en-US" w:eastAsia="zh-CN"/>
              </w:rPr>
              <w:t>离退休人员管理机构</w:t>
            </w:r>
          </w:p>
        </w:tc>
        <w:tc>
          <w:tcPr>
            <w:tcW w:w="115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609" w:type="dxa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1.68</w:t>
            </w:r>
          </w:p>
        </w:tc>
        <w:tc>
          <w:tcPr>
            <w:tcW w:w="37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60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617" w:type="dxa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1.68</w:t>
            </w:r>
          </w:p>
        </w:tc>
        <w:tc>
          <w:tcPr>
            <w:tcW w:w="57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8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2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7" w:type="dxa"/>
            <w:gridSpan w:val="2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208</w:t>
            </w: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3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05</w:t>
            </w: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99</w:t>
            </w: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133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1"/>
                <w:szCs w:val="11"/>
              </w:rPr>
            </w:pPr>
            <w:r>
              <w:rPr>
                <w:rFonts w:hint="eastAsia" w:ascii="仿宋_GB2312" w:eastAsia="仿宋_GB2312"/>
                <w:color w:val="000000"/>
                <w:sz w:val="11"/>
                <w:szCs w:val="11"/>
              </w:rPr>
              <w:t>其他行政事业单养支出</w:t>
            </w:r>
            <w:r>
              <w:rPr>
                <w:rFonts w:hint="eastAsia" w:ascii="仿宋_GB2312" w:hAnsi="宋体" w:eastAsia="仿宋_GB2312"/>
                <w:kern w:val="0"/>
                <w:sz w:val="11"/>
                <w:szCs w:val="11"/>
              </w:rPr>
              <w:t>　</w:t>
            </w:r>
          </w:p>
        </w:tc>
        <w:tc>
          <w:tcPr>
            <w:tcW w:w="1157" w:type="dxa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1"/>
                <w:szCs w:val="11"/>
                <w:lang w:val="en-US"/>
              </w:rPr>
            </w:pPr>
            <w:r>
              <w:rPr>
                <w:rFonts w:hint="eastAsia" w:ascii="仿宋_GB2312" w:hAnsi="宋体" w:eastAsia="仿宋_GB2312"/>
                <w:kern w:val="0"/>
                <w:sz w:val="11"/>
                <w:szCs w:val="11"/>
                <w:lang w:val="en-US" w:eastAsia="zh-CN"/>
              </w:rPr>
              <w:t>离退休党组织补贴</w:t>
            </w:r>
          </w:p>
        </w:tc>
        <w:tc>
          <w:tcPr>
            <w:tcW w:w="60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1.68</w:t>
            </w:r>
          </w:p>
        </w:tc>
        <w:tc>
          <w:tcPr>
            <w:tcW w:w="37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60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617" w:type="dxa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1.68</w:t>
            </w:r>
          </w:p>
        </w:tc>
        <w:tc>
          <w:tcPr>
            <w:tcW w:w="57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8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8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5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2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208</w:t>
            </w: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3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05</w:t>
            </w: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99</w:t>
            </w: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1337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1"/>
                <w:szCs w:val="1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1"/>
                <w:szCs w:val="11"/>
              </w:rPr>
              <w:t>他行政事业单养支出</w:t>
            </w:r>
            <w:r>
              <w:rPr>
                <w:rFonts w:hint="eastAsia" w:ascii="仿宋_GB2312" w:hAnsi="宋体" w:eastAsia="仿宋_GB2312"/>
                <w:kern w:val="0"/>
                <w:sz w:val="11"/>
                <w:szCs w:val="11"/>
              </w:rPr>
              <w:t>　</w:t>
            </w:r>
          </w:p>
        </w:tc>
        <w:tc>
          <w:tcPr>
            <w:tcW w:w="115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3"/>
                <w:szCs w:val="13"/>
              </w:rPr>
            </w:pPr>
            <w:r>
              <w:rPr>
                <w:rFonts w:hint="eastAsia" w:ascii="仿宋_GB2312" w:hAnsi="宋体" w:eastAsia="仿宋_GB2312"/>
                <w:kern w:val="0"/>
                <w:sz w:val="13"/>
                <w:szCs w:val="13"/>
              </w:rPr>
              <w:t>运行及维修</w:t>
            </w:r>
          </w:p>
        </w:tc>
        <w:tc>
          <w:tcPr>
            <w:tcW w:w="609" w:type="dxa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21</w:t>
            </w: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609" w:type="dxa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21</w:t>
            </w:r>
          </w:p>
        </w:tc>
        <w:tc>
          <w:tcPr>
            <w:tcW w:w="61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7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8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8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5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2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3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133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115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　</w:t>
            </w:r>
          </w:p>
        </w:tc>
        <w:tc>
          <w:tcPr>
            <w:tcW w:w="6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6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61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7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8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8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5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2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3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133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115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　</w:t>
            </w:r>
          </w:p>
        </w:tc>
        <w:tc>
          <w:tcPr>
            <w:tcW w:w="6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6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61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7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8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8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5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2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3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133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115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　</w:t>
            </w:r>
          </w:p>
        </w:tc>
        <w:tc>
          <w:tcPr>
            <w:tcW w:w="6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6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61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7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8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8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5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2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3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133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115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　</w:t>
            </w:r>
          </w:p>
        </w:tc>
        <w:tc>
          <w:tcPr>
            <w:tcW w:w="6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6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61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7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8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8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5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2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43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133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115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6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6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61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7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48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8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4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5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32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3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133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115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　</w:t>
            </w:r>
          </w:p>
        </w:tc>
        <w:tc>
          <w:tcPr>
            <w:tcW w:w="6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6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61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7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8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8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5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2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3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133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115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　</w:t>
            </w:r>
          </w:p>
        </w:tc>
        <w:tc>
          <w:tcPr>
            <w:tcW w:w="6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6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61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7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8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8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5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2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3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133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115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60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37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60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61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7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8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8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5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2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仿宋_GB2312" w:eastAsia="仿宋_GB2312" w:cs="仿宋_GB2312"/>
          <w:sz w:val="24"/>
        </w:rPr>
        <w:t>克孜勒苏柯尔克孜自治州</w:t>
      </w:r>
      <w:r>
        <w:rPr>
          <w:rFonts w:hint="eastAsia" w:ascii="仿宋" w:hAnsi="仿宋" w:eastAsia="仿宋" w:cs="仿宋"/>
          <w:bCs/>
          <w:sz w:val="24"/>
          <w:lang w:eastAsia="zh-CN"/>
        </w:rPr>
        <w:t>驻乌鲁木齐第二干休所</w:t>
      </w:r>
      <w:r>
        <w:rPr>
          <w:rFonts w:hint="eastAsia"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bCs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 xml:space="preserve">          单位：万元               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</w:tr>
    </w:tbl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备注：无内容应公开空表并说明情况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kern w:val="0"/>
          <w:sz w:val="24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仿宋_GB2312" w:eastAsia="仿宋_GB2312" w:cs="仿宋_GB2312"/>
          <w:sz w:val="24"/>
        </w:rPr>
        <w:t>克孜勒苏柯尔克孜自治州</w:t>
      </w:r>
      <w:r>
        <w:rPr>
          <w:rFonts w:hint="eastAsia" w:ascii="仿宋" w:hAnsi="仿宋" w:eastAsia="仿宋" w:cs="仿宋"/>
          <w:bCs/>
          <w:sz w:val="24"/>
          <w:lang w:eastAsia="zh-CN"/>
        </w:rPr>
        <w:t>驻乌鲁木齐第二干休所</w:t>
      </w:r>
      <w:r>
        <w:rPr>
          <w:rFonts w:hint="eastAsia"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bCs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 xml:space="preserve">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单位：万元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0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28"/>
          <w:szCs w:val="28"/>
        </w:rPr>
      </w:pPr>
      <w:r>
        <w:rPr>
          <w:rFonts w:hint="eastAsia" w:ascii="黑体" w:hAnsi="黑体" w:eastAsia="黑体"/>
          <w:kern w:val="0"/>
          <w:sz w:val="28"/>
          <w:szCs w:val="28"/>
        </w:rPr>
        <w:t>第三部分2021年部门（单位）预算情况说明</w:t>
      </w:r>
    </w:p>
    <w:p>
      <w:pPr>
        <w:spacing w:line="560" w:lineRule="exact"/>
        <w:ind w:firstLine="560" w:firstLineChars="200"/>
        <w:rPr>
          <w:rFonts w:ascii="黑体" w:hAnsi="宋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bCs/>
          <w:kern w:val="0"/>
          <w:sz w:val="28"/>
          <w:szCs w:val="28"/>
        </w:rPr>
        <w:t>一、</w:t>
      </w:r>
      <w:r>
        <w:rPr>
          <w:rFonts w:hint="eastAsia" w:ascii="黑体" w:hAnsi="宋体" w:eastAsia="黑体" w:cs="宋体"/>
          <w:kern w:val="0"/>
          <w:sz w:val="28"/>
          <w:szCs w:val="28"/>
        </w:rPr>
        <w:t>关于克孜勒苏柯尔克孜自治州</w:t>
      </w:r>
      <w:r>
        <w:rPr>
          <w:rFonts w:hint="eastAsia" w:ascii="黑体" w:hAnsi="宋体" w:eastAsia="黑体" w:cs="宋体"/>
          <w:kern w:val="0"/>
          <w:sz w:val="28"/>
          <w:szCs w:val="28"/>
          <w:lang w:eastAsia="zh-CN"/>
        </w:rPr>
        <w:t>驻乌鲁木齐第二干休所</w:t>
      </w:r>
      <w:r>
        <w:rPr>
          <w:rFonts w:hint="eastAsia" w:ascii="黑体" w:hAnsi="宋体" w:eastAsia="黑体" w:cs="宋体"/>
          <w:kern w:val="0"/>
          <w:sz w:val="28"/>
          <w:szCs w:val="28"/>
        </w:rPr>
        <w:t>2021年收支预算情况的总体说明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按照全口径预算的原则，克孜勒苏柯尔克孜自治州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驻乌鲁木齐第二干休所</w:t>
      </w:r>
      <w:r>
        <w:rPr>
          <w:rFonts w:hint="eastAsia" w:ascii="仿宋" w:hAnsi="仿宋" w:eastAsia="仿宋" w:cs="宋体"/>
          <w:kern w:val="0"/>
          <w:sz w:val="28"/>
          <w:szCs w:val="28"/>
        </w:rPr>
        <w:t>，2021年所有收入和支出均纳入单位预算管理。收支总预算135.86万元。</w:t>
      </w:r>
    </w:p>
    <w:p>
      <w:pPr>
        <w:spacing w:line="560" w:lineRule="exact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  收入预算包括：一般公共预算80.86万元，事业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单位经营</w:t>
      </w:r>
      <w:r>
        <w:rPr>
          <w:rFonts w:hint="eastAsia" w:ascii="仿宋" w:hAnsi="仿宋" w:eastAsia="仿宋" w:cs="宋体"/>
          <w:kern w:val="0"/>
          <w:sz w:val="28"/>
          <w:szCs w:val="28"/>
        </w:rPr>
        <w:t>收入55万元。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预算支出包括：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社会保障和就业支出</w:t>
      </w:r>
      <w:r>
        <w:rPr>
          <w:rFonts w:hint="eastAsia" w:ascii="仿宋" w:hAnsi="仿宋" w:eastAsia="仿宋" w:cs="宋体"/>
          <w:kern w:val="0"/>
          <w:sz w:val="28"/>
          <w:szCs w:val="28"/>
        </w:rPr>
        <w:t>135.86万元。</w:t>
      </w:r>
    </w:p>
    <w:p>
      <w:pPr>
        <w:spacing w:line="56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黑体" w:hAnsi="宋体" w:eastAsia="黑体" w:cs="宋体"/>
          <w:kern w:val="0"/>
          <w:sz w:val="28"/>
          <w:szCs w:val="28"/>
        </w:rPr>
        <w:t>二、关于克孜勒苏柯尔克孜自治州</w:t>
      </w:r>
      <w:r>
        <w:rPr>
          <w:rFonts w:hint="eastAsia" w:ascii="黑体" w:hAnsi="宋体" w:eastAsia="黑体" w:cs="宋体"/>
          <w:kern w:val="0"/>
          <w:sz w:val="28"/>
          <w:szCs w:val="28"/>
          <w:lang w:eastAsia="zh-CN"/>
        </w:rPr>
        <w:t>驻乌鲁木齐第二干休所</w:t>
      </w:r>
      <w:r>
        <w:rPr>
          <w:rFonts w:hint="eastAsia" w:ascii="黑体" w:hAnsi="宋体" w:eastAsia="黑体" w:cs="宋体"/>
          <w:kern w:val="0"/>
          <w:sz w:val="28"/>
          <w:szCs w:val="28"/>
        </w:rPr>
        <w:t>2021年收入预算情况说明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克孜勒苏柯尔克孜自治州</w:t>
      </w:r>
      <w:r>
        <w:rPr>
          <w:rFonts w:hint="eastAsia" w:ascii="仿宋" w:hAnsi="仿宋" w:eastAsia="仿宋" w:cs="华文仿宋"/>
          <w:kern w:val="0"/>
          <w:sz w:val="28"/>
          <w:szCs w:val="28"/>
          <w:lang w:eastAsia="zh-CN"/>
        </w:rPr>
        <w:t>驻乌鲁木齐第二干休所</w:t>
      </w:r>
      <w:r>
        <w:rPr>
          <w:rFonts w:hint="eastAsia" w:ascii="仿宋" w:hAnsi="仿宋" w:eastAsia="仿宋" w:cs="宋体"/>
          <w:kern w:val="0"/>
          <w:sz w:val="28"/>
          <w:szCs w:val="28"/>
        </w:rPr>
        <w:t>收入预算135.86万元。其中：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一般公共预算80.86万元，占60%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宋体"/>
          <w:kern w:val="0"/>
          <w:sz w:val="28"/>
          <w:szCs w:val="28"/>
        </w:rPr>
        <w:t>比上年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预算</w:t>
      </w:r>
      <w:r>
        <w:rPr>
          <w:rFonts w:hint="eastAsia" w:ascii="仿宋" w:hAnsi="仿宋" w:eastAsia="仿宋" w:cs="宋体"/>
          <w:kern w:val="0"/>
          <w:sz w:val="28"/>
          <w:szCs w:val="28"/>
        </w:rPr>
        <w:t>增加4.92万元，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主要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原因是13200平米水暖管道需要维修增加4.92万元。      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政府性基金预算未安排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国有资本经营预算未安排。 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事业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单位经营</w:t>
      </w:r>
      <w:r>
        <w:rPr>
          <w:rFonts w:hint="eastAsia" w:ascii="仿宋" w:hAnsi="仿宋" w:eastAsia="仿宋" w:cs="宋体"/>
          <w:kern w:val="0"/>
          <w:sz w:val="28"/>
          <w:szCs w:val="28"/>
        </w:rPr>
        <w:t>收入55万元，占40 %，比上年预算增加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 w:cs="宋体"/>
          <w:kern w:val="0"/>
          <w:sz w:val="28"/>
          <w:szCs w:val="28"/>
        </w:rPr>
        <w:t>万元。主要原因是每一户的物业收取标准已定，324户已经固定。</w:t>
      </w:r>
    </w:p>
    <w:p>
      <w:pPr>
        <w:spacing w:line="560" w:lineRule="exact"/>
        <w:ind w:firstLine="560" w:firstLineChars="200"/>
        <w:rPr>
          <w:rFonts w:ascii="黑体" w:hAnsi="宋体" w:eastAsia="黑体" w:cs="宋体"/>
          <w:kern w:val="0"/>
          <w:sz w:val="28"/>
          <w:szCs w:val="28"/>
        </w:rPr>
      </w:pPr>
      <w:r>
        <w:rPr>
          <w:rFonts w:hint="eastAsia" w:ascii="黑体" w:hAnsi="宋体" w:eastAsia="黑体" w:cs="宋体"/>
          <w:kern w:val="0"/>
          <w:sz w:val="28"/>
          <w:szCs w:val="28"/>
        </w:rPr>
        <w:t>三、克孜勒苏柯尔克孜自治州</w:t>
      </w:r>
      <w:r>
        <w:rPr>
          <w:rFonts w:hint="eastAsia" w:ascii="黑体" w:hAnsi="黑体" w:eastAsia="黑体" w:cs="黑体"/>
          <w:kern w:val="0"/>
          <w:sz w:val="28"/>
          <w:szCs w:val="28"/>
          <w:lang w:eastAsia="zh-CN"/>
        </w:rPr>
        <w:t>驻乌鲁木齐第二干休所</w:t>
      </w:r>
      <w:r>
        <w:rPr>
          <w:rFonts w:hint="eastAsia" w:ascii="黑体" w:hAnsi="宋体" w:eastAsia="黑体" w:cs="宋体"/>
          <w:kern w:val="0"/>
          <w:sz w:val="28"/>
          <w:szCs w:val="28"/>
        </w:rPr>
        <w:t>单位2021年支出预算情况说明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克孜勒苏柯尔克孜自治州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驻乌鲁木齐第二干休所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单位2021年支出预算135.84万元，其中：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基本支出58.18万元，占42.8%，与上年</w:t>
      </w:r>
      <w:r>
        <w:rPr>
          <w:rFonts w:hint="eastAsia" w:ascii="仿宋" w:hAnsi="仿宋" w:eastAsia="仿宋" w:cs="宋体"/>
          <w:kern w:val="0"/>
          <w:sz w:val="28"/>
          <w:szCs w:val="28"/>
        </w:rPr>
        <w:t>预算增加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 w:cs="宋体"/>
          <w:kern w:val="0"/>
          <w:sz w:val="28"/>
          <w:szCs w:val="28"/>
        </w:rPr>
        <w:t>万元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，主要原因是人员、编制未变动。</w:t>
      </w:r>
    </w:p>
    <w:p>
      <w:pPr>
        <w:spacing w:line="560" w:lineRule="exact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项目支出77.68万元，占57.2%,比上年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增加4.92 万元，主要原因是：水暖管道需要维修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。</w:t>
      </w:r>
    </w:p>
    <w:p>
      <w:pPr>
        <w:spacing w:line="560" w:lineRule="exact"/>
        <w:ind w:firstLine="560" w:firstLineChars="200"/>
        <w:rPr>
          <w:rFonts w:ascii="黑体" w:hAnsi="黑体" w:eastAsia="黑体" w:cs="宋体"/>
          <w:bCs/>
          <w:kern w:val="0"/>
          <w:sz w:val="28"/>
          <w:szCs w:val="28"/>
        </w:rPr>
      </w:pPr>
      <w:r>
        <w:rPr>
          <w:rFonts w:hint="eastAsia" w:ascii="黑体" w:hAnsi="黑体" w:eastAsia="黑体" w:cs="宋体"/>
          <w:bCs/>
          <w:kern w:val="0"/>
          <w:sz w:val="28"/>
          <w:szCs w:val="28"/>
        </w:rPr>
        <w:t>四、关于克孜勒苏柯尔克孜自治州</w:t>
      </w:r>
      <w:r>
        <w:rPr>
          <w:rFonts w:hint="eastAsia" w:ascii="黑体" w:hAnsi="黑体" w:eastAsia="黑体" w:cs="宋体"/>
          <w:bCs/>
          <w:kern w:val="0"/>
          <w:sz w:val="28"/>
          <w:szCs w:val="28"/>
          <w:lang w:eastAsia="zh-CN"/>
        </w:rPr>
        <w:t>驻乌鲁木齐第二干休所</w:t>
      </w:r>
      <w:r>
        <w:rPr>
          <w:rFonts w:hint="eastAsia" w:ascii="黑体" w:hAnsi="黑体" w:eastAsia="黑体" w:cs="宋体"/>
          <w:bCs/>
          <w:kern w:val="0"/>
          <w:sz w:val="28"/>
          <w:szCs w:val="28"/>
        </w:rPr>
        <w:t>2021年财政拨款收支预算情况的总体说明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2021年财政拨款收支总预算80.86万元。</w:t>
      </w:r>
    </w:p>
    <w:p>
      <w:pPr>
        <w:spacing w:line="560" w:lineRule="exact"/>
        <w:ind w:firstLine="536" w:firstLineChars="200"/>
        <w:rPr>
          <w:rFonts w:ascii="仿宋_GB2312" w:hAnsi="宋体" w:eastAsia="仿宋_GB2312" w:cs="宋体"/>
          <w:spacing w:val="-6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spacing w:val="-6"/>
          <w:kern w:val="0"/>
          <w:sz w:val="28"/>
          <w:szCs w:val="28"/>
        </w:rPr>
        <w:t>收入全部为一般公共预算拨款，无政府性基金预算拨款和</w:t>
      </w:r>
      <w:r>
        <w:rPr>
          <w:rFonts w:ascii="仿宋_GB2312" w:hAnsi="宋体" w:eastAsia="仿宋_GB2312" w:cs="宋体"/>
          <w:spacing w:val="-6"/>
          <w:kern w:val="0"/>
          <w:sz w:val="28"/>
          <w:szCs w:val="28"/>
        </w:rPr>
        <w:t>国有资本经营预算</w:t>
      </w:r>
      <w:r>
        <w:rPr>
          <w:rFonts w:hint="eastAsia" w:ascii="仿宋_GB2312" w:hAnsi="宋体" w:eastAsia="仿宋_GB2312" w:cs="宋体"/>
          <w:spacing w:val="-6"/>
          <w:kern w:val="0"/>
          <w:sz w:val="28"/>
          <w:szCs w:val="28"/>
        </w:rPr>
        <w:t>。</w:t>
      </w:r>
    </w:p>
    <w:p>
      <w:pPr>
        <w:spacing w:line="560" w:lineRule="exact"/>
        <w:ind w:firstLine="536" w:firstLineChars="200"/>
        <w:rPr>
          <w:rFonts w:ascii="仿宋_GB2312" w:hAnsi="宋体" w:eastAsia="仿宋_GB2312" w:cs="宋体"/>
          <w:spacing w:val="-6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spacing w:val="-6"/>
          <w:kern w:val="0"/>
          <w:sz w:val="28"/>
          <w:szCs w:val="28"/>
        </w:rPr>
        <w:t>收入预算</w:t>
      </w:r>
      <w:r>
        <w:rPr>
          <w:rFonts w:ascii="仿宋_GB2312" w:hAnsi="宋体" w:eastAsia="仿宋_GB2312" w:cs="宋体"/>
          <w:spacing w:val="-6"/>
          <w:kern w:val="0"/>
          <w:sz w:val="28"/>
          <w:szCs w:val="28"/>
        </w:rPr>
        <w:t>包括：一般公共预算拨款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80.86</w:t>
      </w:r>
      <w:r>
        <w:rPr>
          <w:rFonts w:hint="eastAsia" w:ascii="仿宋_GB2312" w:hAnsi="宋体" w:eastAsia="仿宋_GB2312" w:cs="宋体"/>
          <w:spacing w:val="-6"/>
          <w:kern w:val="0"/>
          <w:sz w:val="28"/>
          <w:szCs w:val="28"/>
        </w:rPr>
        <w:t>万元</w:t>
      </w:r>
      <w:r>
        <w:rPr>
          <w:rFonts w:ascii="仿宋_GB2312" w:hAnsi="宋体" w:eastAsia="仿宋_GB2312" w:cs="宋体"/>
          <w:spacing w:val="-6"/>
          <w:kern w:val="0"/>
          <w:sz w:val="28"/>
          <w:szCs w:val="28"/>
        </w:rPr>
        <w:t>。</w:t>
      </w:r>
    </w:p>
    <w:p>
      <w:pPr>
        <w:spacing w:line="560" w:lineRule="exact"/>
        <w:ind w:firstLine="536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spacing w:val="-6"/>
          <w:kern w:val="0"/>
          <w:sz w:val="28"/>
          <w:szCs w:val="28"/>
        </w:rPr>
        <w:t>一般</w:t>
      </w:r>
      <w:r>
        <w:rPr>
          <w:rFonts w:ascii="仿宋_GB2312" w:hAnsi="宋体" w:eastAsia="仿宋_GB2312" w:cs="宋体"/>
          <w:spacing w:val="-6"/>
          <w:kern w:val="0"/>
          <w:sz w:val="28"/>
          <w:szCs w:val="28"/>
        </w:rPr>
        <w:t>公共预算支出包括：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社会保障和就业支出80.86万元，主要用于人员经费31.71万元，公用经费26.47万元，运行及维修费21万元，对个人和家庭的补助1.68万元。</w:t>
      </w:r>
    </w:p>
    <w:p>
      <w:pPr>
        <w:spacing w:line="560" w:lineRule="exact"/>
        <w:ind w:firstLine="560" w:firstLineChars="200"/>
        <w:rPr>
          <w:rFonts w:ascii="黑体" w:hAnsi="宋体" w:eastAsia="黑体" w:cs="宋体"/>
          <w:kern w:val="0"/>
          <w:sz w:val="28"/>
          <w:szCs w:val="28"/>
        </w:rPr>
      </w:pPr>
      <w:r>
        <w:rPr>
          <w:rFonts w:hint="eastAsia" w:ascii="黑体" w:hAnsi="宋体" w:eastAsia="黑体" w:cs="宋体"/>
          <w:kern w:val="0"/>
          <w:sz w:val="28"/>
          <w:szCs w:val="28"/>
        </w:rPr>
        <w:t>五、关于克孜勒苏柯尔克孜自治州</w:t>
      </w:r>
      <w:r>
        <w:rPr>
          <w:rFonts w:hint="eastAsia" w:ascii="黑体" w:hAnsi="宋体" w:eastAsia="黑体" w:cs="宋体"/>
          <w:kern w:val="0"/>
          <w:sz w:val="28"/>
          <w:szCs w:val="28"/>
          <w:lang w:eastAsia="zh-CN"/>
        </w:rPr>
        <w:t>驻乌鲁木齐第二干休所</w:t>
      </w:r>
      <w:r>
        <w:rPr>
          <w:rFonts w:hint="eastAsia" w:ascii="黑体" w:hAnsi="宋体" w:eastAsia="黑体" w:cs="宋体"/>
          <w:kern w:val="0"/>
          <w:sz w:val="28"/>
          <w:szCs w:val="28"/>
        </w:rPr>
        <w:t>2020年一般公共预算当年拨款情况说明</w:t>
      </w:r>
    </w:p>
    <w:p>
      <w:pPr>
        <w:spacing w:line="560" w:lineRule="exact"/>
        <w:ind w:firstLine="562" w:firstLineChars="200"/>
        <w:rPr>
          <w:rFonts w:ascii="楷体_GB2312" w:hAnsi="宋体" w:eastAsia="楷体_GB2312" w:cs="宋体"/>
          <w:b/>
          <w:kern w:val="0"/>
          <w:sz w:val="28"/>
          <w:szCs w:val="28"/>
        </w:rPr>
      </w:pPr>
      <w:r>
        <w:rPr>
          <w:rFonts w:hint="eastAsia" w:ascii="楷体_GB2312" w:hAnsi="宋体" w:eastAsia="楷体_GB2312" w:cs="宋体"/>
          <w:b/>
          <w:kern w:val="0"/>
          <w:sz w:val="28"/>
          <w:szCs w:val="28"/>
        </w:rPr>
        <w:t>（一）一般公用预算当年拨款规模变化情况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克孜勒苏柯尔克孜自治州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驻乌鲁木齐第二干休所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2021年一般公共预算拨款合计80.86万元。其中：基本支出 58.18万元，与上年</w:t>
      </w:r>
      <w:r>
        <w:rPr>
          <w:rFonts w:hint="eastAsia" w:ascii="仿宋" w:hAnsi="仿宋" w:eastAsia="仿宋" w:cs="宋体"/>
          <w:kern w:val="0"/>
          <w:sz w:val="28"/>
          <w:szCs w:val="28"/>
        </w:rPr>
        <w:t>预算增加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 w:cs="宋体"/>
          <w:kern w:val="0"/>
          <w:sz w:val="28"/>
          <w:szCs w:val="28"/>
        </w:rPr>
        <w:t>万元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增长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%，主要原因是人员、编制都没变；项目支出22.68万元，比上年预算增加4.92万元，增长30.6%，主要原因是：增加水暖管道维修费。</w:t>
      </w:r>
    </w:p>
    <w:p>
      <w:pPr>
        <w:spacing w:line="560" w:lineRule="exact"/>
        <w:ind w:firstLine="562" w:firstLineChars="200"/>
        <w:rPr>
          <w:rFonts w:ascii="楷体_GB2312" w:hAnsi="宋体" w:eastAsia="楷体_GB2312" w:cs="宋体"/>
          <w:b/>
          <w:kern w:val="0"/>
          <w:sz w:val="28"/>
          <w:szCs w:val="28"/>
        </w:rPr>
      </w:pPr>
      <w:r>
        <w:rPr>
          <w:rFonts w:hint="eastAsia" w:ascii="楷体_GB2312" w:hAnsi="宋体" w:eastAsia="楷体_GB2312" w:cs="宋体"/>
          <w:b/>
          <w:kern w:val="0"/>
          <w:sz w:val="28"/>
          <w:szCs w:val="28"/>
        </w:rPr>
        <w:t>（二）一般公共预算当年拨款结构情况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社会保障和就业支出</w:t>
      </w:r>
      <w:r>
        <w:rPr>
          <w:rFonts w:ascii="仿宋_GB2312" w:hAnsi="宋体" w:eastAsia="仿宋_GB2312" w:cs="宋体"/>
          <w:kern w:val="0"/>
          <w:sz w:val="28"/>
          <w:szCs w:val="28"/>
        </w:rPr>
        <w:t>（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类：208）55.34万元，占100%。</w:t>
      </w:r>
    </w:p>
    <w:p>
      <w:pPr>
        <w:spacing w:line="560" w:lineRule="exact"/>
        <w:ind w:firstLine="562" w:firstLineChars="200"/>
        <w:rPr>
          <w:rFonts w:ascii="楷体_GB2312" w:hAnsi="宋体" w:eastAsia="楷体_GB2312" w:cs="宋体"/>
          <w:b/>
          <w:kern w:val="0"/>
          <w:sz w:val="28"/>
          <w:szCs w:val="28"/>
        </w:rPr>
      </w:pPr>
      <w:r>
        <w:rPr>
          <w:rFonts w:hint="eastAsia" w:ascii="楷体_GB2312" w:hAnsi="宋体" w:eastAsia="楷体_GB2312" w:cs="宋体"/>
          <w:b/>
          <w:kern w:val="0"/>
          <w:sz w:val="28"/>
          <w:szCs w:val="28"/>
        </w:rPr>
        <w:t>（三）一般公共预算当年拨款具体使用情况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1、社会保障和就业支出（类：208）离退休人员管理机构（款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05）行政运行（项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03）55.34万元，与上年</w:t>
      </w:r>
      <w:r>
        <w:rPr>
          <w:rFonts w:hint="eastAsia" w:ascii="仿宋" w:hAnsi="仿宋" w:eastAsia="仿宋" w:cs="宋体"/>
          <w:kern w:val="0"/>
          <w:sz w:val="28"/>
          <w:szCs w:val="28"/>
        </w:rPr>
        <w:t>预算增加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 w:cs="宋体"/>
          <w:kern w:val="0"/>
          <w:sz w:val="28"/>
          <w:szCs w:val="28"/>
        </w:rPr>
        <w:t>万元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增长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%，主要原因是：无变化。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2、社会保障和就业支出（类：208）离退休人员管理机构（款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05）对机关事业单位职业年金的补助（项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08）2.84万元。与上年</w:t>
      </w:r>
      <w:r>
        <w:rPr>
          <w:rFonts w:hint="eastAsia" w:ascii="仿宋" w:hAnsi="仿宋" w:eastAsia="仿宋" w:cs="宋体"/>
          <w:kern w:val="0"/>
          <w:sz w:val="28"/>
          <w:szCs w:val="28"/>
        </w:rPr>
        <w:t>预算增加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 w:cs="宋体"/>
          <w:kern w:val="0"/>
          <w:sz w:val="28"/>
          <w:szCs w:val="28"/>
        </w:rPr>
        <w:t>万元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增长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%，主要原因是：无变化。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3、社会保障和就业支出（类：208）离退休人员管。理机构（款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05）其他行政事业单位养老支出（项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99）22.68万元，比上年预算增加4.92万元，增长30.6%，主要原因是：增加水暖管道维修费。</w:t>
      </w:r>
    </w:p>
    <w:p>
      <w:pPr>
        <w:spacing w:line="560" w:lineRule="exact"/>
        <w:ind w:firstLine="560" w:firstLineChars="200"/>
        <w:rPr>
          <w:rFonts w:ascii="黑体" w:hAnsi="宋体" w:eastAsia="黑体" w:cs="宋体"/>
          <w:kern w:val="0"/>
          <w:sz w:val="28"/>
          <w:szCs w:val="28"/>
        </w:rPr>
      </w:pPr>
      <w:r>
        <w:rPr>
          <w:rFonts w:hint="eastAsia" w:ascii="黑体" w:hAnsi="宋体" w:eastAsia="黑体" w:cs="宋体"/>
          <w:kern w:val="0"/>
          <w:sz w:val="28"/>
          <w:szCs w:val="28"/>
        </w:rPr>
        <w:t>六、关于克孜勒苏柯尔克孜自治州</w:t>
      </w:r>
      <w:r>
        <w:rPr>
          <w:rFonts w:hint="eastAsia" w:ascii="黑体" w:hAnsi="宋体" w:eastAsia="黑体" w:cs="宋体"/>
          <w:kern w:val="0"/>
          <w:sz w:val="28"/>
          <w:szCs w:val="28"/>
          <w:lang w:eastAsia="zh-CN"/>
        </w:rPr>
        <w:t>驻乌鲁木齐第二干休所</w:t>
      </w:r>
      <w:r>
        <w:rPr>
          <w:rFonts w:hint="eastAsia" w:ascii="黑体" w:hAnsi="宋体" w:eastAsia="黑体" w:cs="宋体"/>
          <w:kern w:val="0"/>
          <w:sz w:val="28"/>
          <w:szCs w:val="28"/>
        </w:rPr>
        <w:t>2021年一般公共预算基本支出情况说明</w:t>
      </w:r>
    </w:p>
    <w:p>
      <w:pPr>
        <w:spacing w:line="560" w:lineRule="exact"/>
        <w:ind w:firstLine="560" w:firstLineChars="200"/>
        <w:rPr>
          <w:rFonts w:ascii="黑体" w:hAnsi="宋体" w:eastAsia="黑体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克孜勒苏柯尔克孜自治</w:t>
      </w:r>
      <w:r>
        <w:rPr>
          <w:rFonts w:hint="eastAsia" w:ascii="仿宋" w:hAnsi="仿宋" w:eastAsia="仿宋" w:cs="宋体"/>
          <w:kern w:val="0"/>
          <w:sz w:val="28"/>
          <w:szCs w:val="28"/>
        </w:rPr>
        <w:t>州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驻乌鲁木齐第二干休所</w:t>
      </w:r>
      <w:r>
        <w:rPr>
          <w:rFonts w:hint="eastAsia" w:ascii="仿宋" w:hAnsi="仿宋" w:eastAsia="仿宋" w:cs="宋体"/>
          <w:kern w:val="0"/>
          <w:sz w:val="28"/>
          <w:szCs w:val="28"/>
        </w:rPr>
        <w:t>2021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年一般公共预算基本支出58.18万元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人员经费31.71万元，主要包括：基本工资10.17万元、津贴补贴13.23万元、奖金0.85万元、机关事业单位基本养老保险缴费3.46万元、其他社会保障缴费1.51万元、住房公积金2.49万元。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公用经费26.47万元，主要包括：办公费0.55万元、水费0.83万元、电费0.95万元、取暖费23.22万元、维修（护）费0.5万元、工会经费0.15万元、福利费0.27万元。</w:t>
      </w:r>
    </w:p>
    <w:p>
      <w:pPr>
        <w:spacing w:line="560" w:lineRule="exact"/>
        <w:ind w:firstLine="560" w:firstLineChars="200"/>
        <w:rPr>
          <w:rFonts w:ascii="黑体" w:hAnsi="宋体" w:eastAsia="黑体" w:cs="宋体"/>
          <w:kern w:val="0"/>
          <w:sz w:val="28"/>
          <w:szCs w:val="28"/>
        </w:rPr>
      </w:pPr>
      <w:r>
        <w:rPr>
          <w:rFonts w:hint="eastAsia" w:ascii="黑体" w:hAnsi="宋体" w:eastAsia="黑体" w:cs="宋体"/>
          <w:kern w:val="0"/>
          <w:sz w:val="28"/>
          <w:szCs w:val="28"/>
        </w:rPr>
        <w:t>七、关于 克孜勒苏柯尔克孜自治州</w:t>
      </w:r>
      <w:r>
        <w:rPr>
          <w:rFonts w:hint="eastAsia" w:ascii="黑体" w:hAnsi="宋体" w:eastAsia="黑体" w:cs="宋体"/>
          <w:kern w:val="0"/>
          <w:sz w:val="28"/>
          <w:szCs w:val="28"/>
          <w:lang w:eastAsia="zh-CN"/>
        </w:rPr>
        <w:t>驻乌鲁木齐第二干休所</w:t>
      </w:r>
      <w:r>
        <w:rPr>
          <w:rFonts w:hint="eastAsia" w:ascii="黑体" w:hAnsi="宋体" w:eastAsia="黑体" w:cs="宋体"/>
          <w:kern w:val="0"/>
          <w:sz w:val="28"/>
          <w:szCs w:val="28"/>
        </w:rPr>
        <w:t>2021年项目支出情况说明</w:t>
      </w:r>
    </w:p>
    <w:p>
      <w:pPr>
        <w:spacing w:line="560" w:lineRule="exact"/>
        <w:ind w:firstLine="562" w:firstLineChars="200"/>
        <w:rPr>
          <w:rFonts w:ascii="仿宋_GB2312" w:hAnsi="黑体" w:eastAsia="仿宋_GB2312"/>
          <w:b/>
          <w:sz w:val="28"/>
          <w:szCs w:val="28"/>
        </w:rPr>
      </w:pPr>
      <w:r>
        <w:rPr>
          <w:rFonts w:hint="eastAsia" w:ascii="仿宋_GB2312" w:hAnsi="黑体" w:eastAsia="仿宋_GB2312"/>
          <w:b/>
          <w:sz w:val="28"/>
          <w:szCs w:val="28"/>
        </w:rPr>
        <w:t>情况一：（项目支出、专项业务费按下列内容说明）</w:t>
      </w:r>
    </w:p>
    <w:p>
      <w:pPr>
        <w:pStyle w:val="18"/>
        <w:spacing w:line="560" w:lineRule="exact"/>
        <w:ind w:left="142" w:firstLine="560"/>
        <w:rPr>
          <w:rFonts w:ascii="仿宋_GB2312" w:hAnsi="黑体" w:eastAsia="仿宋_GB2312"/>
          <w:sz w:val="28"/>
          <w:szCs w:val="28"/>
        </w:rPr>
      </w:pPr>
      <w:r>
        <w:rPr>
          <w:rFonts w:hint="eastAsia" w:ascii="仿宋_GB2312" w:hAnsi="黑体" w:eastAsia="仿宋_GB2312"/>
          <w:sz w:val="28"/>
          <w:szCs w:val="28"/>
        </w:rPr>
        <w:t>1、项目</w:t>
      </w:r>
      <w:r>
        <w:rPr>
          <w:rFonts w:ascii="仿宋_GB2312" w:hAnsi="黑体" w:eastAsia="仿宋_GB2312"/>
          <w:sz w:val="28"/>
          <w:szCs w:val="28"/>
        </w:rPr>
        <w:t>名称</w:t>
      </w:r>
      <w:r>
        <w:rPr>
          <w:rFonts w:hint="eastAsia" w:ascii="仿宋_GB2312" w:hAnsi="黑体" w:eastAsia="仿宋_GB2312"/>
          <w:sz w:val="28"/>
          <w:szCs w:val="28"/>
        </w:rPr>
        <w:t>：管道维修</w:t>
      </w:r>
    </w:p>
    <w:p>
      <w:pPr>
        <w:spacing w:line="560" w:lineRule="exact"/>
        <w:ind w:firstLine="560" w:firstLineChars="200"/>
        <w:rPr>
          <w:rFonts w:ascii="仿宋_GB2312" w:hAnsi="黑体" w:eastAsia="仿宋_GB2312"/>
          <w:sz w:val="28"/>
          <w:szCs w:val="28"/>
        </w:rPr>
      </w:pPr>
      <w:r>
        <w:rPr>
          <w:rFonts w:ascii="仿宋_GB2312" w:hAnsi="黑体" w:eastAsia="仿宋_GB2312"/>
          <w:sz w:val="28"/>
          <w:szCs w:val="28"/>
        </w:rPr>
        <w:t>设立的政策依据</w:t>
      </w:r>
      <w:r>
        <w:rPr>
          <w:rFonts w:hint="eastAsia" w:ascii="仿宋_GB2312" w:hAnsi="黑体" w:eastAsia="仿宋_GB2312"/>
          <w:sz w:val="28"/>
          <w:szCs w:val="28"/>
        </w:rPr>
        <w:t>：供暖管理需要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ascii="仿宋_GB2312" w:hAnsi="黑体" w:eastAsia="仿宋_GB2312"/>
          <w:sz w:val="28"/>
          <w:szCs w:val="28"/>
        </w:rPr>
        <w:t>预算安排规模</w:t>
      </w:r>
      <w:r>
        <w:rPr>
          <w:rFonts w:hint="eastAsia" w:ascii="仿宋_GB2312" w:hAnsi="黑体" w:eastAsia="仿宋_GB2312"/>
          <w:sz w:val="28"/>
          <w:szCs w:val="28"/>
        </w:rPr>
        <w:t>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16万元</w:t>
      </w:r>
    </w:p>
    <w:p>
      <w:pPr>
        <w:spacing w:line="560" w:lineRule="exact"/>
        <w:ind w:firstLine="560" w:firstLineChars="200"/>
        <w:rPr>
          <w:rFonts w:hint="eastAsia" w:ascii="仿宋_GB2312" w:hAnsi="黑体" w:eastAsia="仿宋_GB2312"/>
          <w:sz w:val="28"/>
          <w:szCs w:val="28"/>
          <w:lang w:eastAsia="zh-CN"/>
        </w:rPr>
      </w:pPr>
      <w:r>
        <w:rPr>
          <w:rFonts w:ascii="仿宋_GB2312" w:hAnsi="黑体" w:eastAsia="仿宋_GB2312"/>
          <w:sz w:val="28"/>
          <w:szCs w:val="28"/>
        </w:rPr>
        <w:t>项目承担单位</w:t>
      </w:r>
      <w:r>
        <w:rPr>
          <w:rFonts w:hint="eastAsia" w:ascii="仿宋_GB2312" w:hAnsi="黑体" w:eastAsia="仿宋_GB2312"/>
          <w:sz w:val="28"/>
          <w:szCs w:val="28"/>
        </w:rPr>
        <w:t>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克孜勒苏柯尔克孜自治州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驻乌鲁木齐第二干休所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ascii="仿宋_GB2312" w:hAnsi="黑体" w:eastAsia="仿宋_GB2312"/>
          <w:sz w:val="28"/>
          <w:szCs w:val="28"/>
        </w:rPr>
        <w:t>资金分配情况</w:t>
      </w:r>
      <w:r>
        <w:rPr>
          <w:rFonts w:hint="eastAsia" w:ascii="仿宋_GB2312" w:hAnsi="黑体" w:eastAsia="仿宋_GB2312"/>
          <w:sz w:val="28"/>
          <w:szCs w:val="28"/>
        </w:rPr>
        <w:t>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16万元</w:t>
      </w:r>
    </w:p>
    <w:p>
      <w:pPr>
        <w:spacing w:line="560" w:lineRule="exact"/>
        <w:ind w:firstLine="560" w:firstLineChars="200"/>
        <w:rPr>
          <w:rFonts w:ascii="楷体_GB2312" w:hAnsi="宋体" w:eastAsia="楷体_GB2312" w:cs="宋体"/>
          <w:b/>
          <w:kern w:val="0"/>
          <w:sz w:val="28"/>
          <w:szCs w:val="28"/>
        </w:rPr>
      </w:pPr>
      <w:r>
        <w:rPr>
          <w:rFonts w:ascii="仿宋_GB2312" w:hAnsi="黑体" w:eastAsia="仿宋_GB2312"/>
          <w:sz w:val="28"/>
          <w:szCs w:val="28"/>
        </w:rPr>
        <w:t>执行时间</w:t>
      </w:r>
      <w:r>
        <w:rPr>
          <w:rFonts w:hint="eastAsia" w:ascii="仿宋_GB2312" w:hAnsi="黑体" w:eastAsia="仿宋_GB2312"/>
          <w:sz w:val="28"/>
          <w:szCs w:val="28"/>
        </w:rPr>
        <w:t>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2021年</w:t>
      </w:r>
    </w:p>
    <w:p>
      <w:pPr>
        <w:spacing w:line="560" w:lineRule="exact"/>
        <w:ind w:firstLine="840" w:firstLineChars="3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黑体" w:eastAsia="仿宋_GB2312"/>
          <w:sz w:val="28"/>
          <w:szCs w:val="28"/>
        </w:rPr>
        <w:t>2、项目</w:t>
      </w:r>
      <w:r>
        <w:rPr>
          <w:rFonts w:ascii="仿宋_GB2312" w:hAnsi="黑体" w:eastAsia="仿宋_GB2312"/>
          <w:sz w:val="28"/>
          <w:szCs w:val="28"/>
        </w:rPr>
        <w:t>名称</w:t>
      </w:r>
      <w:r>
        <w:rPr>
          <w:rFonts w:hint="eastAsia" w:ascii="仿宋_GB2312" w:hAnsi="黑体" w:eastAsia="仿宋_GB2312"/>
          <w:sz w:val="28"/>
          <w:szCs w:val="28"/>
        </w:rPr>
        <w:t>：电梯维护</w:t>
      </w:r>
    </w:p>
    <w:p>
      <w:pPr>
        <w:spacing w:line="560" w:lineRule="exact"/>
        <w:ind w:firstLine="560" w:firstLineChars="200"/>
        <w:rPr>
          <w:rFonts w:ascii="仿宋_GB2312" w:hAnsi="黑体" w:eastAsia="仿宋_GB2312"/>
          <w:sz w:val="28"/>
          <w:szCs w:val="28"/>
        </w:rPr>
      </w:pPr>
      <w:r>
        <w:rPr>
          <w:rFonts w:ascii="仿宋_GB2312" w:hAnsi="黑体" w:eastAsia="仿宋_GB2312"/>
          <w:sz w:val="28"/>
          <w:szCs w:val="28"/>
        </w:rPr>
        <w:t>设立的政策依据</w:t>
      </w:r>
      <w:r>
        <w:rPr>
          <w:rFonts w:hint="eastAsia" w:ascii="仿宋_GB2312" w:hAnsi="黑体" w:eastAsia="仿宋_GB2312"/>
          <w:sz w:val="28"/>
          <w:szCs w:val="28"/>
        </w:rPr>
        <w:t>:电梯使用要求</w:t>
      </w:r>
    </w:p>
    <w:p>
      <w:pPr>
        <w:spacing w:line="560" w:lineRule="exact"/>
        <w:ind w:firstLine="560" w:firstLineChars="200"/>
        <w:rPr>
          <w:rFonts w:ascii="仿宋_GB2312" w:hAnsi="黑体" w:eastAsia="仿宋_GB2312"/>
          <w:sz w:val="28"/>
          <w:szCs w:val="28"/>
        </w:rPr>
      </w:pPr>
      <w:r>
        <w:rPr>
          <w:rFonts w:ascii="仿宋_GB2312" w:hAnsi="黑体" w:eastAsia="仿宋_GB2312"/>
          <w:sz w:val="28"/>
          <w:szCs w:val="28"/>
        </w:rPr>
        <w:t>预算安排规模</w:t>
      </w:r>
      <w:r>
        <w:rPr>
          <w:rFonts w:hint="eastAsia" w:ascii="仿宋_GB2312" w:hAnsi="黑体" w:eastAsia="仿宋_GB2312"/>
          <w:sz w:val="28"/>
          <w:szCs w:val="28"/>
        </w:rPr>
        <w:t>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5万元</w:t>
      </w:r>
    </w:p>
    <w:p>
      <w:pPr>
        <w:spacing w:line="560" w:lineRule="exact"/>
        <w:ind w:firstLine="560" w:firstLineChars="200"/>
        <w:rPr>
          <w:rFonts w:hint="eastAsia" w:ascii="仿宋_GB2312" w:hAnsi="黑体" w:eastAsia="仿宋_GB2312"/>
          <w:sz w:val="28"/>
          <w:szCs w:val="28"/>
          <w:lang w:eastAsia="zh-CN"/>
        </w:rPr>
      </w:pPr>
      <w:r>
        <w:rPr>
          <w:rFonts w:ascii="仿宋_GB2312" w:hAnsi="黑体" w:eastAsia="仿宋_GB2312"/>
          <w:sz w:val="28"/>
          <w:szCs w:val="28"/>
        </w:rPr>
        <w:t>项目承担单位</w:t>
      </w:r>
      <w:r>
        <w:rPr>
          <w:rFonts w:hint="eastAsia" w:ascii="仿宋_GB2312" w:hAnsi="黑体" w:eastAsia="仿宋_GB2312"/>
          <w:sz w:val="28"/>
          <w:szCs w:val="28"/>
        </w:rPr>
        <w:t>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克孜勒苏柯尔克孜自治州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驻乌鲁木齐第二干休所</w:t>
      </w:r>
    </w:p>
    <w:p>
      <w:pPr>
        <w:spacing w:line="560" w:lineRule="exact"/>
        <w:ind w:firstLine="560" w:firstLineChars="200"/>
        <w:rPr>
          <w:rFonts w:ascii="仿宋_GB2312" w:hAnsi="黑体" w:eastAsia="仿宋_GB2312"/>
          <w:sz w:val="28"/>
          <w:szCs w:val="28"/>
        </w:rPr>
      </w:pPr>
      <w:r>
        <w:rPr>
          <w:rFonts w:ascii="仿宋_GB2312" w:hAnsi="黑体" w:eastAsia="仿宋_GB2312"/>
          <w:sz w:val="28"/>
          <w:szCs w:val="28"/>
        </w:rPr>
        <w:t>资金分配情况</w:t>
      </w:r>
      <w:r>
        <w:rPr>
          <w:rFonts w:hint="eastAsia" w:ascii="仿宋_GB2312" w:hAnsi="黑体" w:eastAsia="仿宋_GB2312"/>
          <w:sz w:val="28"/>
          <w:szCs w:val="28"/>
        </w:rPr>
        <w:t>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5万元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ascii="仿宋_GB2312" w:hAnsi="黑体" w:eastAsia="仿宋_GB2312"/>
          <w:sz w:val="28"/>
          <w:szCs w:val="28"/>
        </w:rPr>
        <w:t>资金执行时间</w:t>
      </w:r>
      <w:r>
        <w:rPr>
          <w:rFonts w:hint="eastAsia" w:ascii="仿宋_GB2312" w:hAnsi="黑体" w:eastAsia="仿宋_GB2312"/>
          <w:sz w:val="28"/>
          <w:szCs w:val="28"/>
        </w:rPr>
        <w:t>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2021年</w:t>
      </w:r>
    </w:p>
    <w:p>
      <w:pPr>
        <w:spacing w:line="560" w:lineRule="exact"/>
        <w:ind w:firstLine="562" w:firstLineChars="200"/>
        <w:rPr>
          <w:rFonts w:ascii="仿宋_GB2312" w:hAnsi="黑体" w:eastAsia="仿宋_GB2312"/>
          <w:b/>
          <w:sz w:val="28"/>
          <w:szCs w:val="28"/>
        </w:rPr>
      </w:pPr>
      <w:r>
        <w:rPr>
          <w:rFonts w:hint="eastAsia" w:ascii="仿宋_GB2312" w:hAnsi="黑体" w:eastAsia="仿宋_GB2312"/>
          <w:b/>
          <w:sz w:val="28"/>
          <w:szCs w:val="28"/>
        </w:rPr>
        <w:t>情况二：（</w:t>
      </w:r>
      <w:r>
        <w:rPr>
          <w:rFonts w:ascii="仿宋_GB2312" w:hAnsi="宋体" w:eastAsia="仿宋_GB2312"/>
          <w:b/>
          <w:sz w:val="28"/>
          <w:szCs w:val="28"/>
        </w:rPr>
        <w:t>属于</w:t>
      </w:r>
      <w:r>
        <w:rPr>
          <w:rFonts w:ascii="仿宋_GB2312" w:hAnsi="宋体" w:eastAsia="仿宋_GB2312"/>
          <w:b/>
          <w:spacing w:val="-8"/>
          <w:sz w:val="28"/>
          <w:szCs w:val="28"/>
        </w:rPr>
        <w:t>对个人补贴的项目支出</w:t>
      </w:r>
      <w:r>
        <w:rPr>
          <w:rFonts w:hint="eastAsia" w:ascii="仿宋_GB2312" w:hAnsi="黑体" w:eastAsia="仿宋_GB2312"/>
          <w:b/>
          <w:sz w:val="28"/>
          <w:szCs w:val="28"/>
        </w:rPr>
        <w:t>按下列内容说明）</w:t>
      </w:r>
    </w:p>
    <w:p>
      <w:pPr>
        <w:spacing w:line="560" w:lineRule="exact"/>
        <w:ind w:firstLine="560" w:firstLineChars="200"/>
        <w:rPr>
          <w:rFonts w:ascii="仿宋_GB2312" w:hAnsi="黑体" w:eastAsia="仿宋_GB2312"/>
          <w:sz w:val="28"/>
          <w:szCs w:val="28"/>
        </w:rPr>
      </w:pPr>
      <w:r>
        <w:rPr>
          <w:rFonts w:hint="eastAsia" w:ascii="仿宋_GB2312" w:hAnsi="黑体" w:eastAsia="仿宋_GB2312"/>
          <w:sz w:val="28"/>
          <w:szCs w:val="28"/>
        </w:rPr>
        <w:t>项目</w:t>
      </w:r>
      <w:r>
        <w:rPr>
          <w:rFonts w:ascii="仿宋_GB2312" w:hAnsi="黑体" w:eastAsia="仿宋_GB2312"/>
          <w:sz w:val="28"/>
          <w:szCs w:val="28"/>
        </w:rPr>
        <w:t>名称</w:t>
      </w:r>
      <w:r>
        <w:rPr>
          <w:rFonts w:hint="eastAsia" w:ascii="仿宋_GB2312" w:hAnsi="黑体" w:eastAsia="仿宋_GB2312"/>
          <w:sz w:val="28"/>
          <w:szCs w:val="28"/>
        </w:rPr>
        <w:t>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离退休党组织工作补贴</w:t>
      </w:r>
    </w:p>
    <w:p>
      <w:pPr>
        <w:spacing w:line="560" w:lineRule="exact"/>
        <w:ind w:firstLine="560" w:firstLineChars="200"/>
        <w:rPr>
          <w:rFonts w:ascii="仿宋_GB2312" w:hAnsi="黑体" w:eastAsia="仿宋_GB2312"/>
          <w:sz w:val="28"/>
          <w:szCs w:val="28"/>
        </w:rPr>
      </w:pPr>
      <w:r>
        <w:rPr>
          <w:rFonts w:ascii="仿宋_GB2312" w:hAnsi="黑体" w:eastAsia="仿宋_GB2312"/>
          <w:sz w:val="28"/>
          <w:szCs w:val="28"/>
        </w:rPr>
        <w:t>设立的政策依据</w:t>
      </w:r>
      <w:r>
        <w:rPr>
          <w:rFonts w:hint="eastAsia" w:ascii="仿宋_GB2312" w:hAnsi="黑体" w:eastAsia="仿宋_GB2312"/>
          <w:sz w:val="28"/>
          <w:szCs w:val="28"/>
        </w:rPr>
        <w:t>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组织部相关规定</w:t>
      </w:r>
    </w:p>
    <w:p>
      <w:pPr>
        <w:spacing w:line="560" w:lineRule="exact"/>
        <w:ind w:firstLine="560" w:firstLineChars="200"/>
        <w:rPr>
          <w:rFonts w:ascii="仿宋_GB2312" w:hAnsi="黑体" w:eastAsia="仿宋_GB2312"/>
          <w:sz w:val="28"/>
          <w:szCs w:val="28"/>
        </w:rPr>
      </w:pPr>
      <w:r>
        <w:rPr>
          <w:rFonts w:ascii="仿宋_GB2312" w:hAnsi="黑体" w:eastAsia="仿宋_GB2312"/>
          <w:sz w:val="28"/>
          <w:szCs w:val="28"/>
        </w:rPr>
        <w:t>预算安排规模</w:t>
      </w:r>
      <w:r>
        <w:rPr>
          <w:rFonts w:hint="eastAsia" w:ascii="仿宋_GB2312" w:hAnsi="黑体" w:eastAsia="仿宋_GB2312"/>
          <w:sz w:val="28"/>
          <w:szCs w:val="28"/>
        </w:rPr>
        <w:t>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1.68万元</w:t>
      </w:r>
    </w:p>
    <w:p>
      <w:pPr>
        <w:spacing w:line="560" w:lineRule="exact"/>
        <w:ind w:firstLine="560" w:firstLineChars="200"/>
        <w:rPr>
          <w:rFonts w:hint="eastAsia" w:ascii="仿宋_GB2312" w:hAnsi="黑体" w:eastAsia="仿宋_GB2312"/>
          <w:sz w:val="28"/>
          <w:szCs w:val="28"/>
          <w:lang w:eastAsia="zh-CN"/>
        </w:rPr>
      </w:pPr>
      <w:r>
        <w:rPr>
          <w:rFonts w:ascii="仿宋_GB2312" w:hAnsi="黑体" w:eastAsia="仿宋_GB2312"/>
          <w:sz w:val="28"/>
          <w:szCs w:val="28"/>
        </w:rPr>
        <w:t>项目承担单位</w:t>
      </w:r>
      <w:r>
        <w:rPr>
          <w:rFonts w:hint="eastAsia" w:ascii="仿宋_GB2312" w:hAnsi="黑体" w:eastAsia="仿宋_GB2312"/>
          <w:sz w:val="28"/>
          <w:szCs w:val="28"/>
        </w:rPr>
        <w:t>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克孜勒苏柯尔克孜自治州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驻乌鲁木齐第二干休所</w:t>
      </w:r>
    </w:p>
    <w:p>
      <w:pPr>
        <w:spacing w:line="560" w:lineRule="exact"/>
        <w:ind w:firstLine="560" w:firstLineChars="200"/>
        <w:rPr>
          <w:rFonts w:ascii="仿宋_GB2312" w:hAnsi="黑体" w:eastAsia="仿宋_GB2312"/>
          <w:sz w:val="28"/>
          <w:szCs w:val="28"/>
        </w:rPr>
      </w:pPr>
      <w:r>
        <w:rPr>
          <w:rFonts w:ascii="仿宋_GB2312" w:hAnsi="黑体" w:eastAsia="仿宋_GB2312"/>
          <w:sz w:val="28"/>
          <w:szCs w:val="28"/>
        </w:rPr>
        <w:t>资金分配情况</w:t>
      </w:r>
      <w:r>
        <w:rPr>
          <w:rFonts w:hint="eastAsia" w:ascii="仿宋_GB2312" w:hAnsi="黑体" w:eastAsia="仿宋_GB2312"/>
          <w:sz w:val="28"/>
          <w:szCs w:val="28"/>
        </w:rPr>
        <w:t>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1.68万元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ascii="仿宋_GB2312" w:hAnsi="黑体" w:eastAsia="仿宋_GB2312"/>
          <w:sz w:val="28"/>
          <w:szCs w:val="28"/>
        </w:rPr>
        <w:t>资金执行时间</w:t>
      </w:r>
      <w:r>
        <w:rPr>
          <w:rFonts w:hint="eastAsia" w:ascii="仿宋_GB2312" w:hAnsi="黑体" w:eastAsia="仿宋_GB2312"/>
          <w:sz w:val="28"/>
          <w:szCs w:val="28"/>
        </w:rPr>
        <w:t>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2021年</w:t>
      </w:r>
    </w:p>
    <w:p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资金来源</w:t>
      </w:r>
      <w:r>
        <w:rPr>
          <w:rFonts w:hint="eastAsia" w:ascii="仿宋_GB2312" w:hAnsi="黑体" w:eastAsia="仿宋_GB2312"/>
          <w:sz w:val="28"/>
          <w:szCs w:val="28"/>
        </w:rPr>
        <w:t>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财政拨款</w:t>
      </w:r>
    </w:p>
    <w:p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补贴人数</w:t>
      </w:r>
      <w:r>
        <w:rPr>
          <w:rFonts w:hint="eastAsia" w:ascii="仿宋_GB2312" w:hAnsi="黑体" w:eastAsia="仿宋_GB2312"/>
          <w:sz w:val="28"/>
          <w:szCs w:val="28"/>
        </w:rPr>
        <w:t>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10人</w:t>
      </w:r>
    </w:p>
    <w:p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补贴标准</w:t>
      </w:r>
      <w:r>
        <w:rPr>
          <w:rFonts w:hint="eastAsia" w:ascii="仿宋_GB2312" w:hAnsi="黑体" w:eastAsia="仿宋_GB2312"/>
          <w:sz w:val="28"/>
          <w:szCs w:val="28"/>
        </w:rPr>
        <w:t>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300/月. 100/月</w:t>
      </w:r>
    </w:p>
    <w:p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补贴范围</w:t>
      </w:r>
      <w:r>
        <w:rPr>
          <w:rFonts w:hint="eastAsia" w:ascii="仿宋_GB2312" w:hAnsi="黑体" w:eastAsia="仿宋_GB2312"/>
          <w:sz w:val="28"/>
          <w:szCs w:val="28"/>
        </w:rPr>
        <w:t>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党组织书记.党组织委员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补贴方式</w:t>
      </w:r>
      <w:r>
        <w:rPr>
          <w:rFonts w:hint="eastAsia" w:ascii="仿宋_GB2312" w:hAnsi="黑体" w:eastAsia="仿宋_GB2312"/>
          <w:sz w:val="28"/>
          <w:szCs w:val="28"/>
        </w:rPr>
        <w:t>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按月</w:t>
      </w:r>
    </w:p>
    <w:p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发放程序：财务造册,领导签批,个人签名</w:t>
      </w:r>
    </w:p>
    <w:p>
      <w:pPr>
        <w:spacing w:line="560" w:lineRule="exact"/>
        <w:ind w:firstLine="560" w:firstLineChars="200"/>
        <w:rPr>
          <w:rFonts w:ascii="黑体" w:hAnsi="宋体" w:eastAsia="黑体" w:cs="宋体"/>
          <w:kern w:val="0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受益人群和社会效益</w:t>
      </w:r>
      <w:r>
        <w:rPr>
          <w:rFonts w:hint="eastAsia" w:ascii="仿宋_GB2312" w:hAnsi="黑体" w:eastAsia="仿宋_GB2312"/>
          <w:sz w:val="28"/>
          <w:szCs w:val="28"/>
        </w:rPr>
        <w:t>：好评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98%。</w:t>
      </w:r>
    </w:p>
    <w:p>
      <w:pPr>
        <w:numPr>
          <w:ilvl w:val="0"/>
          <w:numId w:val="1"/>
        </w:numPr>
        <w:spacing w:line="560" w:lineRule="exact"/>
        <w:ind w:firstLine="560" w:firstLineChars="200"/>
        <w:rPr>
          <w:rFonts w:ascii="黑体" w:hAnsi="宋体" w:eastAsia="黑体" w:cs="宋体"/>
          <w:kern w:val="0"/>
          <w:sz w:val="28"/>
          <w:szCs w:val="28"/>
        </w:rPr>
      </w:pPr>
      <w:r>
        <w:rPr>
          <w:rFonts w:hint="eastAsia" w:ascii="黑体" w:hAnsi="宋体" w:eastAsia="黑体" w:cs="宋体"/>
          <w:kern w:val="0"/>
          <w:sz w:val="28"/>
          <w:szCs w:val="28"/>
        </w:rPr>
        <w:t>关于克孜勒苏柯尔克孜自治州</w:t>
      </w:r>
      <w:r>
        <w:rPr>
          <w:rFonts w:hint="eastAsia" w:ascii="黑体" w:hAnsi="宋体" w:eastAsia="黑体" w:cs="宋体"/>
          <w:kern w:val="0"/>
          <w:sz w:val="28"/>
          <w:szCs w:val="28"/>
          <w:lang w:eastAsia="zh-CN"/>
        </w:rPr>
        <w:t>驻乌鲁木齐第二干休所</w:t>
      </w:r>
      <w:r>
        <w:rPr>
          <w:rFonts w:hint="eastAsia" w:ascii="黑体" w:hAnsi="宋体" w:eastAsia="黑体" w:cs="宋体"/>
          <w:kern w:val="0"/>
          <w:sz w:val="28"/>
          <w:szCs w:val="28"/>
        </w:rPr>
        <w:t>2021年一般公共预算“三公”经费预算情况说明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克孜勒苏柯尔克孜自治州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驻乌鲁木齐第二干休所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2021年一般公共预算“三公”经费数为 0万元，其中：因公出国（境）费0 万元，公务用车购置 0万元，公务用车运行费0万元，公务接待费0万元。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2021年一般公共预算“三公”经费比上年增加0万元，其中：因公出国（境）费增加0万元，主要原因是:未安排。公务用车购置费为0,未安排预算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公务用车运行费增加0万元，主要原因是:无公务用车。公务接待费增加0万元，主要原因是:无公务用车。</w:t>
      </w:r>
    </w:p>
    <w:p>
      <w:pPr>
        <w:spacing w:line="560" w:lineRule="exact"/>
        <w:ind w:firstLine="56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28"/>
          <w:szCs w:val="28"/>
        </w:rPr>
        <w:t>九、关于克孜勒苏柯尔克孜自治州</w:t>
      </w:r>
      <w:r>
        <w:rPr>
          <w:rFonts w:hint="eastAsia" w:ascii="黑体" w:hAnsi="宋体" w:eastAsia="黑体" w:cs="宋体"/>
          <w:kern w:val="0"/>
          <w:sz w:val="28"/>
          <w:szCs w:val="28"/>
          <w:lang w:eastAsia="zh-CN"/>
        </w:rPr>
        <w:t>驻乌鲁木齐第二干休所</w:t>
      </w:r>
      <w:r>
        <w:rPr>
          <w:rFonts w:hint="eastAsia" w:ascii="黑体" w:hAnsi="宋体" w:eastAsia="黑体" w:cs="宋体"/>
          <w:kern w:val="0"/>
          <w:sz w:val="28"/>
          <w:szCs w:val="28"/>
        </w:rPr>
        <w:t>2021年</w:t>
      </w:r>
      <w:r>
        <w:rPr>
          <w:rFonts w:hint="eastAsia" w:ascii="黑体" w:hAnsi="宋体" w:eastAsia="黑体" w:cs="宋体"/>
          <w:kern w:val="0"/>
          <w:sz w:val="32"/>
          <w:szCs w:val="32"/>
        </w:rPr>
        <w:t>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克孜勒苏柯尔克孜自治州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驻乌鲁木齐第二干休所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2021年克孜勒苏柯尔克孜自治州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驻乌鲁木齐第二干休所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本级及下属单位 0 家行政单位和 0 家事业单位的机关运行经费财政拨款预算26.47万元，与上年预算一致。主要原因是:没变化。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2021年克孜勒苏柯尔克孜自治州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驻乌鲁木齐第二干休所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政府采购预算 1万元，其中：政府采购货物预算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万元，政府采购工程预算0 万元，政府采购服务预算1万元。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2021年度本部门（单位）面向中小企业预留政府采购项目预算金额0万元，其中：面向小微企业预留政府采购项目预算金额 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截至2020年底，克孜勒苏柯尔克孜自治州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驻乌鲁木齐第二干休所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及下属各单位占用使用国有资产总体情况为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1、房屋 0平方米，价值0万元。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2、车辆0辆，价值0万元；其中：一般公务用车 0辆，价值 0万元；执法执勤用车0辆，价值 0万元；其他车辆 1 辆，价值4万元。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3、办公家具价值10万元。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4、其他资产价值 480190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2021年部门（单位）预算未安排购置车辆经费（或安排购置车辆经费0万元），安排购置50万元以上大型设备0台（套），单位价值100万元以上大型设备0台（套）。</w:t>
      </w:r>
    </w:p>
    <w:p>
      <w:pPr>
        <w:numPr>
          <w:ilvl w:val="0"/>
          <w:numId w:val="2"/>
        </w:num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预算绩效情况</w:t>
      </w:r>
    </w:p>
    <w:p>
      <w:pPr>
        <w:spacing w:line="560" w:lineRule="exact"/>
        <w:ind w:firstLine="640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2021年度，本年度实行绩效管理的项目3个，涉及预算金额22.68万元。具体情况见下表（按项目分别填报）：</w:t>
      </w: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黑体" w:hAnsi="黑体" w:eastAsia="仿宋_GB2312" w:cs="宋体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克孜勒苏柯尔克孜自治州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驻乌鲁木齐第二干休所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Cs w:val="21"/>
              </w:rPr>
              <w:t>管道维修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16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万元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16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万元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解决干休所内的13200平米水暖管道的维修，以保障老干部冬季的正常供暖。保障离退休老干部冬季生活、居住不受影响。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三级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共热管道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13200平方米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管道使用情况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使用时间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2021年1月-12月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资金投入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16万元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大于16万元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</w:rPr>
              <w:t>保障离退休老干部冬季正常供暖、生活、居住都不收影响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满意度98%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2021年1月至2021年12月31日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98%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480" w:lineRule="exact"/>
        <w:ind w:firstLine="1272" w:firstLineChars="396"/>
        <w:jc w:val="left"/>
        <w:rPr>
          <w:rFonts w:ascii="楷体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color w:val="000000"/>
          <w:kern w:val="0"/>
          <w:sz w:val="32"/>
          <w:szCs w:val="32"/>
        </w:rPr>
        <w:t>项  目  支  出  绩  效  目  标  表2</w:t>
      </w: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黑体" w:hAnsi="黑体" w:eastAsia="仿宋_GB2312" w:cs="宋体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克孜勒苏柯尔克孜自治州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驻乌鲁木齐第二干休所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560" w:lineRule="exact"/>
              <w:ind w:firstLine="630" w:firstLineChars="300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电梯维护</w:t>
            </w:r>
          </w:p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5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万元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为方便老干部，保障老干部的出行安全。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三级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电梯维护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保障安全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维修（护）时间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2021年1月-12月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使用时间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2021年1月-12月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资金投入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5万元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大于等于5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</w:rPr>
              <w:t>保障老干部的安全，方便离退休老干部的生活、出行。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满意度100%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2021年1月至2021年12月31日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480" w:lineRule="exact"/>
        <w:ind w:firstLine="1272" w:firstLineChars="396"/>
        <w:jc w:val="left"/>
        <w:rPr>
          <w:rFonts w:ascii="楷体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color w:val="000000"/>
          <w:kern w:val="0"/>
          <w:sz w:val="32"/>
          <w:szCs w:val="32"/>
        </w:rPr>
        <w:t>项  目  支  出  绩  效  目  标  表3</w:t>
      </w: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黑体" w:hAnsi="黑体" w:eastAsia="仿宋_GB2312" w:cs="宋体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克孜勒苏柯尔克孜自治州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驻乌鲁木齐第二干休所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离退休党组织书记、委员补贴</w:t>
            </w:r>
          </w:p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1.68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1.68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组织离退休老干部学习贯彻党的各项方针、政策，落实自治州党委、政府的各项部署，领会上级部门决策意图。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三级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受补贴人数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10人/1400/月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老干部思想觉悟提高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党组织补贴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2021年1月-12月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工作开展时效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2021年1月-12月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党组织补贴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1.68万元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大于等于1.68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组织离退休老干部学习贯彻中央方针政策。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满意度98%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2021年1月至2021年12月31日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98%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48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numPr>
          <w:ilvl w:val="0"/>
          <w:numId w:val="2"/>
        </w:numPr>
        <w:spacing w:line="480" w:lineRule="exact"/>
        <w:ind w:firstLine="643" w:firstLineChars="20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其他需说明的事项</w:t>
      </w:r>
    </w:p>
    <w:p>
      <w:pPr>
        <w:widowControl/>
        <w:spacing w:line="480" w:lineRule="exact"/>
        <w:ind w:firstLine="640" w:firstLineChars="200"/>
        <w:jc w:val="left"/>
        <w:rPr>
          <w:rFonts w:ascii="楷体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克孜勒苏柯尔克孜自治州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驻乌鲁木齐第二干休所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无其他说明事项。</w:t>
      </w: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</w:t>
      </w:r>
      <w:r>
        <w:rPr>
          <w:rFonts w:ascii="仿宋_GB2312" w:eastAsia="仿宋_GB2312"/>
          <w:sz w:val="32"/>
          <w:szCs w:val="32"/>
        </w:rPr>
        <w:t>国有资本经营预算</w:t>
      </w:r>
      <w:r>
        <w:rPr>
          <w:rFonts w:hint="eastAsia" w:ascii="仿宋_GB2312" w:eastAsia="仿宋_GB2312"/>
          <w:sz w:val="32"/>
          <w:szCs w:val="32"/>
        </w:rPr>
        <w:t>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部门（单位）支出预算的组成部分，是自治区本级部门（单位）为完成其特定的行政任务或事业发展目标，在基本支出预算之外编制的年度项目支出计划。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六</w:t>
      </w:r>
      <w:r>
        <w:rPr>
          <w:rFonts w:hint="eastAsia" w:ascii="黑体" w:hAnsi="黑体" w:eastAsia="黑体"/>
          <w:sz w:val="32"/>
          <w:szCs w:val="32"/>
        </w:rPr>
        <w:t>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克孜勒苏柯尔克孜自治州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驻乌鲁木齐第二干休所</w:t>
      </w:r>
    </w:p>
    <w:p>
      <w:pPr>
        <w:widowControl/>
        <w:spacing w:line="520" w:lineRule="exact"/>
        <w:jc w:val="left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                           2021年2月5日</w:t>
      </w:r>
    </w:p>
    <w:sectPr>
      <w:footerReference r:id="rId3" w:type="default"/>
      <w:footerReference r:id="rId4" w:type="even"/>
      <w:pgSz w:w="11906" w:h="16838"/>
      <w:pgMar w:top="2041" w:right="1276" w:bottom="2041" w:left="1276" w:header="851" w:footer="1814" w:gutter="0"/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9631" w:y="37"/>
      <w:jc w:val="right"/>
      <w:rPr>
        <w:rStyle w:val="11"/>
        <w:rFonts w:ascii="宋体" w:hAnsi="宋体" w:eastAsia="宋体"/>
        <w:sz w:val="28"/>
      </w:rPr>
    </w:pPr>
    <w:r>
      <w:rPr>
        <w:rFonts w:ascii="宋体" w:hAnsi="宋体" w:eastAsia="宋体"/>
        <w:sz w:val="28"/>
      </w:rPr>
      <w:fldChar w:fldCharType="begin"/>
    </w:r>
    <w:r>
      <w:rPr>
        <w:rStyle w:val="11"/>
        <w:rFonts w:ascii="宋体" w:hAnsi="宋体" w:eastAsia="宋体"/>
        <w:sz w:val="28"/>
      </w:rPr>
      <w:instrText xml:space="preserve"> PAGE </w:instrText>
    </w:r>
    <w:r>
      <w:rPr>
        <w:rFonts w:ascii="宋体" w:hAnsi="宋体" w:eastAsia="宋体"/>
        <w:sz w:val="28"/>
      </w:rPr>
      <w:fldChar w:fldCharType="separate"/>
    </w:r>
    <w:r>
      <w:rPr>
        <w:rStyle w:val="11"/>
        <w:rFonts w:ascii="宋体" w:hAnsi="宋体" w:eastAsia="宋体"/>
        <w:sz w:val="28"/>
      </w:rPr>
      <w:t>- 9 -</w:t>
    </w:r>
    <w:r>
      <w:rPr>
        <w:rFonts w:ascii="宋体" w:hAnsi="宋体" w:eastAsia="宋体"/>
        <w:sz w:val="28"/>
      </w:rPr>
      <w:fldChar w:fldCharType="end"/>
    </w:r>
    <w:r>
      <w:rPr>
        <w:rStyle w:val="11"/>
        <w:rFonts w:hint="eastAsia" w:ascii="宋体" w:hAnsi="宋体" w:eastAsia="宋体"/>
        <w:sz w:val="28"/>
      </w:rPr>
      <w:t xml:space="preserve"> 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1756" w:y="37"/>
      <w:rPr>
        <w:rStyle w:val="11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11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11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1E35AC"/>
    <w:multiLevelType w:val="singleLevel"/>
    <w:tmpl w:val="6D1E35AC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7E36289F"/>
    <w:multiLevelType w:val="singleLevel"/>
    <w:tmpl w:val="7E36289F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C05BF"/>
    <w:rsid w:val="0004643D"/>
    <w:rsid w:val="00052507"/>
    <w:rsid w:val="00054ABF"/>
    <w:rsid w:val="0009522A"/>
    <w:rsid w:val="00097F71"/>
    <w:rsid w:val="000A10C6"/>
    <w:rsid w:val="000B698E"/>
    <w:rsid w:val="000C2AA9"/>
    <w:rsid w:val="000D16D4"/>
    <w:rsid w:val="00121764"/>
    <w:rsid w:val="00135519"/>
    <w:rsid w:val="001455DC"/>
    <w:rsid w:val="001542FB"/>
    <w:rsid w:val="001662FE"/>
    <w:rsid w:val="00172C01"/>
    <w:rsid w:val="00186398"/>
    <w:rsid w:val="00190A60"/>
    <w:rsid w:val="001A3A2F"/>
    <w:rsid w:val="001B60B9"/>
    <w:rsid w:val="001B7CD5"/>
    <w:rsid w:val="001C6B5D"/>
    <w:rsid w:val="001D2A20"/>
    <w:rsid w:val="001D3009"/>
    <w:rsid w:val="001E6FEA"/>
    <w:rsid w:val="002006F8"/>
    <w:rsid w:val="002166BA"/>
    <w:rsid w:val="002332AF"/>
    <w:rsid w:val="0026189B"/>
    <w:rsid w:val="002664D7"/>
    <w:rsid w:val="002F74AB"/>
    <w:rsid w:val="00303D98"/>
    <w:rsid w:val="0030469E"/>
    <w:rsid w:val="00312297"/>
    <w:rsid w:val="00320471"/>
    <w:rsid w:val="00324290"/>
    <w:rsid w:val="00327888"/>
    <w:rsid w:val="00335563"/>
    <w:rsid w:val="00343175"/>
    <w:rsid w:val="003468F4"/>
    <w:rsid w:val="00360B0E"/>
    <w:rsid w:val="0036159B"/>
    <w:rsid w:val="00375D26"/>
    <w:rsid w:val="00396814"/>
    <w:rsid w:val="003B4B5F"/>
    <w:rsid w:val="003C61E3"/>
    <w:rsid w:val="003D13AA"/>
    <w:rsid w:val="003D1B63"/>
    <w:rsid w:val="003D4ACD"/>
    <w:rsid w:val="003E38BF"/>
    <w:rsid w:val="003E57E7"/>
    <w:rsid w:val="00402025"/>
    <w:rsid w:val="00416405"/>
    <w:rsid w:val="00432267"/>
    <w:rsid w:val="004422D6"/>
    <w:rsid w:val="004560EE"/>
    <w:rsid w:val="00463357"/>
    <w:rsid w:val="00466EA0"/>
    <w:rsid w:val="00474968"/>
    <w:rsid w:val="00492E20"/>
    <w:rsid w:val="00493EEC"/>
    <w:rsid w:val="004A5965"/>
    <w:rsid w:val="004B24EA"/>
    <w:rsid w:val="004C06DA"/>
    <w:rsid w:val="004D3AE7"/>
    <w:rsid w:val="004E2AA6"/>
    <w:rsid w:val="004E398A"/>
    <w:rsid w:val="004E3E9E"/>
    <w:rsid w:val="004F5D59"/>
    <w:rsid w:val="004F62F9"/>
    <w:rsid w:val="004F7E2F"/>
    <w:rsid w:val="00504AFC"/>
    <w:rsid w:val="00510655"/>
    <w:rsid w:val="005117C8"/>
    <w:rsid w:val="005123B7"/>
    <w:rsid w:val="00516D22"/>
    <w:rsid w:val="00520D5A"/>
    <w:rsid w:val="005245FC"/>
    <w:rsid w:val="005328A2"/>
    <w:rsid w:val="00540487"/>
    <w:rsid w:val="00540CA8"/>
    <w:rsid w:val="00562BEF"/>
    <w:rsid w:val="00591FA4"/>
    <w:rsid w:val="00592EB9"/>
    <w:rsid w:val="005A39C9"/>
    <w:rsid w:val="005A7150"/>
    <w:rsid w:val="005D4B3C"/>
    <w:rsid w:val="0060149F"/>
    <w:rsid w:val="006022FD"/>
    <w:rsid w:val="00604626"/>
    <w:rsid w:val="0061217A"/>
    <w:rsid w:val="00634CB6"/>
    <w:rsid w:val="006355E1"/>
    <w:rsid w:val="0066595B"/>
    <w:rsid w:val="0066731B"/>
    <w:rsid w:val="0068206A"/>
    <w:rsid w:val="00686ABC"/>
    <w:rsid w:val="00693B5D"/>
    <w:rsid w:val="006A191E"/>
    <w:rsid w:val="006A3660"/>
    <w:rsid w:val="006A6FED"/>
    <w:rsid w:val="006B51DE"/>
    <w:rsid w:val="006B6A8C"/>
    <w:rsid w:val="006C4AA4"/>
    <w:rsid w:val="006D69C4"/>
    <w:rsid w:val="006F0441"/>
    <w:rsid w:val="006F2E7D"/>
    <w:rsid w:val="006F7E0C"/>
    <w:rsid w:val="00701F5F"/>
    <w:rsid w:val="007219F8"/>
    <w:rsid w:val="0072385B"/>
    <w:rsid w:val="0072779E"/>
    <w:rsid w:val="00736F38"/>
    <w:rsid w:val="00744D10"/>
    <w:rsid w:val="0075356B"/>
    <w:rsid w:val="0076173A"/>
    <w:rsid w:val="00794C9E"/>
    <w:rsid w:val="007A0115"/>
    <w:rsid w:val="007A0120"/>
    <w:rsid w:val="007A4EB6"/>
    <w:rsid w:val="007E2CEA"/>
    <w:rsid w:val="007E65FF"/>
    <w:rsid w:val="007E7955"/>
    <w:rsid w:val="00807232"/>
    <w:rsid w:val="00807896"/>
    <w:rsid w:val="00833D71"/>
    <w:rsid w:val="008360A1"/>
    <w:rsid w:val="00866692"/>
    <w:rsid w:val="0089074A"/>
    <w:rsid w:val="00894C4A"/>
    <w:rsid w:val="008A0184"/>
    <w:rsid w:val="008C57AC"/>
    <w:rsid w:val="008D3061"/>
    <w:rsid w:val="008D5798"/>
    <w:rsid w:val="008E175F"/>
    <w:rsid w:val="009035BA"/>
    <w:rsid w:val="009070B4"/>
    <w:rsid w:val="00931D60"/>
    <w:rsid w:val="00950B98"/>
    <w:rsid w:val="0096028F"/>
    <w:rsid w:val="0096263E"/>
    <w:rsid w:val="00996704"/>
    <w:rsid w:val="009967CC"/>
    <w:rsid w:val="0099744C"/>
    <w:rsid w:val="00997E3C"/>
    <w:rsid w:val="009A3B2B"/>
    <w:rsid w:val="009B04AA"/>
    <w:rsid w:val="009B554F"/>
    <w:rsid w:val="009B7652"/>
    <w:rsid w:val="009C0AC4"/>
    <w:rsid w:val="009C6198"/>
    <w:rsid w:val="009D3729"/>
    <w:rsid w:val="009D3EDB"/>
    <w:rsid w:val="009D4600"/>
    <w:rsid w:val="00A2256F"/>
    <w:rsid w:val="00A376A7"/>
    <w:rsid w:val="00A9706D"/>
    <w:rsid w:val="00AB2203"/>
    <w:rsid w:val="00AB5270"/>
    <w:rsid w:val="00AB590C"/>
    <w:rsid w:val="00AB5C60"/>
    <w:rsid w:val="00AD4A80"/>
    <w:rsid w:val="00AD52EC"/>
    <w:rsid w:val="00B04613"/>
    <w:rsid w:val="00B13C93"/>
    <w:rsid w:val="00B566C8"/>
    <w:rsid w:val="00B62893"/>
    <w:rsid w:val="00BA582F"/>
    <w:rsid w:val="00BB41C1"/>
    <w:rsid w:val="00BC42DC"/>
    <w:rsid w:val="00BC7618"/>
    <w:rsid w:val="00BD0DF9"/>
    <w:rsid w:val="00BE1E9F"/>
    <w:rsid w:val="00C1074D"/>
    <w:rsid w:val="00C117E5"/>
    <w:rsid w:val="00C26347"/>
    <w:rsid w:val="00C376FE"/>
    <w:rsid w:val="00C459C5"/>
    <w:rsid w:val="00C56705"/>
    <w:rsid w:val="00C756F9"/>
    <w:rsid w:val="00C914AA"/>
    <w:rsid w:val="00C93EDE"/>
    <w:rsid w:val="00CA25A8"/>
    <w:rsid w:val="00CA4E1E"/>
    <w:rsid w:val="00CA72FD"/>
    <w:rsid w:val="00CC3146"/>
    <w:rsid w:val="00CE5389"/>
    <w:rsid w:val="00D20355"/>
    <w:rsid w:val="00D438CD"/>
    <w:rsid w:val="00D733FD"/>
    <w:rsid w:val="00D8478A"/>
    <w:rsid w:val="00D917B6"/>
    <w:rsid w:val="00DA2BA4"/>
    <w:rsid w:val="00DB2B50"/>
    <w:rsid w:val="00DB6F95"/>
    <w:rsid w:val="00DC05BF"/>
    <w:rsid w:val="00DE7252"/>
    <w:rsid w:val="00DF0DD5"/>
    <w:rsid w:val="00DF0E93"/>
    <w:rsid w:val="00E03BB1"/>
    <w:rsid w:val="00E1594E"/>
    <w:rsid w:val="00E31703"/>
    <w:rsid w:val="00E54E60"/>
    <w:rsid w:val="00E569BC"/>
    <w:rsid w:val="00EC0BB6"/>
    <w:rsid w:val="00EC6B47"/>
    <w:rsid w:val="00ED101E"/>
    <w:rsid w:val="00EF0CC8"/>
    <w:rsid w:val="00EF4090"/>
    <w:rsid w:val="00F20ABE"/>
    <w:rsid w:val="00F23808"/>
    <w:rsid w:val="00F44B30"/>
    <w:rsid w:val="00F50567"/>
    <w:rsid w:val="00F54FE8"/>
    <w:rsid w:val="00F61E99"/>
    <w:rsid w:val="00F7577F"/>
    <w:rsid w:val="00F830A1"/>
    <w:rsid w:val="00F83503"/>
    <w:rsid w:val="00F86B89"/>
    <w:rsid w:val="00F90952"/>
    <w:rsid w:val="00FD3947"/>
    <w:rsid w:val="00FE3978"/>
    <w:rsid w:val="00FE5127"/>
    <w:rsid w:val="00FE61A6"/>
    <w:rsid w:val="02B81400"/>
    <w:rsid w:val="044379D2"/>
    <w:rsid w:val="04857B08"/>
    <w:rsid w:val="095F5F7E"/>
    <w:rsid w:val="0CAF53CA"/>
    <w:rsid w:val="0CB647D6"/>
    <w:rsid w:val="0ED15704"/>
    <w:rsid w:val="13140DDF"/>
    <w:rsid w:val="14D4682C"/>
    <w:rsid w:val="18254E26"/>
    <w:rsid w:val="18B27AA2"/>
    <w:rsid w:val="1AB97FE6"/>
    <w:rsid w:val="1FA90696"/>
    <w:rsid w:val="26015612"/>
    <w:rsid w:val="261E1F8D"/>
    <w:rsid w:val="29883F06"/>
    <w:rsid w:val="2B052827"/>
    <w:rsid w:val="2CDD2D3B"/>
    <w:rsid w:val="2E1A53C0"/>
    <w:rsid w:val="30E14111"/>
    <w:rsid w:val="345E546B"/>
    <w:rsid w:val="390B10BB"/>
    <w:rsid w:val="3A526DA7"/>
    <w:rsid w:val="3C0761FC"/>
    <w:rsid w:val="3C216B81"/>
    <w:rsid w:val="3C895426"/>
    <w:rsid w:val="42EB7D55"/>
    <w:rsid w:val="43242558"/>
    <w:rsid w:val="449A44C4"/>
    <w:rsid w:val="45321EAA"/>
    <w:rsid w:val="46022AE6"/>
    <w:rsid w:val="461A4695"/>
    <w:rsid w:val="481310B0"/>
    <w:rsid w:val="49892D50"/>
    <w:rsid w:val="4C3E77F3"/>
    <w:rsid w:val="4C8F7B72"/>
    <w:rsid w:val="4F16019C"/>
    <w:rsid w:val="51020C0D"/>
    <w:rsid w:val="55406D09"/>
    <w:rsid w:val="58E91AA3"/>
    <w:rsid w:val="59520F51"/>
    <w:rsid w:val="5980310B"/>
    <w:rsid w:val="5CB03E76"/>
    <w:rsid w:val="61A33464"/>
    <w:rsid w:val="62256439"/>
    <w:rsid w:val="68DF2B18"/>
    <w:rsid w:val="6A6331CE"/>
    <w:rsid w:val="6E024510"/>
    <w:rsid w:val="6ED97D63"/>
    <w:rsid w:val="75EF2874"/>
    <w:rsid w:val="7A9519A2"/>
    <w:rsid w:val="7B1E541D"/>
    <w:rsid w:val="7B3410B8"/>
    <w:rsid w:val="7C25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15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Char"/>
    <w:basedOn w:val="9"/>
    <w:link w:val="4"/>
    <w:qFormat/>
    <w:uiPriority w:val="0"/>
    <w:rPr>
      <w:sz w:val="18"/>
      <w:szCs w:val="18"/>
    </w:rPr>
  </w:style>
  <w:style w:type="character" w:customStyle="1" w:styleId="13">
    <w:name w:val="页脚 Char"/>
    <w:basedOn w:val="9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link w:val="2"/>
    <w:semiHidden/>
    <w:qFormat/>
    <w:uiPriority w:val="0"/>
    <w:rPr>
      <w:sz w:val="18"/>
      <w:szCs w:val="18"/>
    </w:rPr>
  </w:style>
  <w:style w:type="character" w:customStyle="1" w:styleId="15">
    <w:name w:val="正文文本缩进 3 Char"/>
    <w:link w:val="5"/>
    <w:qFormat/>
    <w:uiPriority w:val="0"/>
    <w:rPr>
      <w:rFonts w:eastAsia="仿宋_GB2312"/>
      <w:sz w:val="32"/>
      <w:szCs w:val="24"/>
    </w:rPr>
  </w:style>
  <w:style w:type="paragraph" w:customStyle="1" w:styleId="16">
    <w:name w:val="普通(网站)2"/>
    <w:basedOn w:val="1"/>
    <w:qFormat/>
    <w:uiPriority w:val="0"/>
    <w:rPr>
      <w:rFonts w:ascii="Calibri" w:hAnsi="Calibri" w:cs="黑体"/>
      <w:sz w:val="24"/>
    </w:rPr>
  </w:style>
  <w:style w:type="character" w:customStyle="1" w:styleId="17">
    <w:name w:val="正文文本缩进 3 字符1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0">
    <w:name w:val="批注框文本 字符1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1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78F44E-A21C-4A80-A401-5ABBBE89E8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1858</Words>
  <Characters>10594</Characters>
  <Lines>88</Lines>
  <Paragraphs>24</Paragraphs>
  <TotalTime>3</TotalTime>
  <ScaleCrop>false</ScaleCrop>
  <LinksUpToDate>false</LinksUpToDate>
  <CharactersWithSpaces>12428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2021-02-09T16:46:00Z</dcterms:created>
  <dc:creator>薛理升</dc:creator>
  <cp:lastModifiedBy>Administrator</cp:lastModifiedBy>
  <dcterms:modified xsi:type="dcterms:W3CDTF">2024-03-15T16:29:12Z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5DC55E1D2D624B8FB01417660395064A</vt:lpwstr>
  </property>
</Properties>
</file>