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/>
    <w:p/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克孜勒苏柯尔克孜自治州文学艺术联合会2020年部门预算公开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60" w:lineRule="exact"/>
        <w:ind w:firstLine="900" w:firstLineChars="250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 录</w:t>
      </w:r>
    </w:p>
    <w:p>
      <w:pPr>
        <w:widowControl/>
        <w:spacing w:line="460" w:lineRule="exact"/>
        <w:ind w:firstLine="720" w:firstLineChars="200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 州文学艺术联合会概况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第二部分  2020年部门预算公开表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一、部门收支总体情况表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二、部门收入总体情况表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三、部门支出总体情况表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第三部分  2020年部门预算情况说明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 州文学艺术联合会2020年收支预算情况的总体说明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 州文学艺术联合会2020年收入预算情况说明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 州文学艺术联合会2020年支出预算情况说明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 州文学艺术联合会2020年财政拨款收支预算情况的总体说明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 州文学艺术联合会2020年一般公共预算当年拨款情况说明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 州文学艺术联合会2020年一般公共预算基本支出情况说明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 州文学艺术联合会2020年项目支出情况说明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 州文学艺术联合会2020年一般公共预算“三公”经费预算情况说明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 州文学艺术联合会2020年政府性基金预算拨款情况说明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  州文学艺术联合会概况</w:t>
      </w:r>
    </w:p>
    <w:p>
      <w:pPr>
        <w:widowControl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color w:val="FF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　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黑体" w:hAnsi="黑体" w:eastAsia="黑体" w:cs="宋体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一、主要职能</w:t>
      </w:r>
    </w:p>
    <w:p>
      <w:pPr>
        <w:pStyle w:val="6"/>
        <w:shd w:val="clear" w:color="auto" w:fill="FFFFFF"/>
        <w:spacing w:beforeAutospacing="0" w:afterAutospacing="0" w:line="560" w:lineRule="exact"/>
        <w:ind w:firstLine="420"/>
        <w:rPr>
          <w:rFonts w:ascii="仿宋_GB2312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bCs/>
          <w:sz w:val="32"/>
          <w:szCs w:val="32"/>
        </w:rPr>
        <w:t xml:space="preserve"> </w:t>
      </w:r>
      <w:r>
        <w:rPr>
          <w:rFonts w:hint="eastAsia" w:ascii="仿宋_GB2312" w:hAnsi="仿宋" w:eastAsia="仿宋_GB2312" w:cs="仿宋"/>
          <w:sz w:val="32"/>
          <w:szCs w:val="32"/>
          <w:shd w:val="clear" w:color="auto" w:fill="FFFFFF"/>
        </w:rPr>
        <w:t>克州文联是群众性组织，主要工作任务是贯彻落实党的文艺工作方针，实施克州关于文艺工作的决策，开展同克州各文艺家协会和各县（市）文学艺术工作者的联系、协调、服务工作，吸取和反映文艺界的情况和意见。组织召开克州文联及各文艺家协会代表大会理事会、常务理事会和主席团会议，协助党委宣传部、组织部配备各协会领导班子，组织召开文联工作和学术研讨等会议。指导各县（市）文联相关工作。组织团体会员的文艺创作和评论、学术交流、人才培训和调研工作；协同有关部门组织相关文学艺术活动的评奖活动。克州文联主要负责《帕米尔》《克孜勒苏文学》柯文、维文三种杂志的发行，此类杂志</w:t>
      </w:r>
      <w:r>
        <w:rPr>
          <w:rFonts w:hint="eastAsia" w:ascii="仿宋" w:hAnsi="仿宋" w:eastAsia="仿宋"/>
          <w:sz w:val="32"/>
          <w:szCs w:val="32"/>
        </w:rPr>
        <w:t>主要是反映克尔克孜文学类组合刊物，是全国统一发行综合性刊物，反映克州人民火热生活实践。</w:t>
      </w: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　  </w:t>
      </w:r>
      <w:r>
        <w:rPr>
          <w:rFonts w:hint="eastAsia" w:ascii="黑体" w:hAnsi="黑体" w:eastAsia="黑体" w:cs="宋体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二、机构设置及人员情况</w:t>
      </w:r>
    </w:p>
    <w:p>
      <w:pPr>
        <w:widowControl/>
        <w:spacing w:line="560" w:lineRule="exact"/>
        <w:jc w:val="left"/>
        <w:rPr>
          <w:rFonts w:ascii="仿宋_GB2312" w:hAnsi="黑体" w:eastAsia="仿宋_GB2312" w:cs="宋体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   情况二：</w:t>
      </w:r>
      <w:r>
        <w:rPr>
          <w:rFonts w:hint="eastAsia" w:ascii="仿宋_GB2312" w:hAnsi="黑体" w:eastAsia="仿宋_GB2312" w:cs="宋体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无下属预算单位按以下内容说明：</w:t>
      </w:r>
    </w:p>
    <w:p>
      <w:pPr>
        <w:pStyle w:val="6"/>
        <w:shd w:val="clear" w:color="auto" w:fill="FFFFFF"/>
        <w:spacing w:beforeAutospacing="0" w:afterAutospacing="0" w:line="560" w:lineRule="exact"/>
        <w:ind w:firstLine="420"/>
        <w:rPr>
          <w:rFonts w:ascii="仿宋_GB2312" w:hAnsi="仿宋" w:eastAsia="仿宋_GB2312" w:cs="仿宋"/>
          <w:sz w:val="32"/>
          <w:szCs w:val="32"/>
          <w:shd w:val="clear" w:color="auto" w:fill="FFFFFF"/>
        </w:rPr>
      </w:pPr>
      <w:r>
        <w:rPr>
          <w:rFonts w:hint="eastAsia" w:ascii="仿宋_GB2312" w:hAnsi="仿宋" w:eastAsia="仿宋_GB2312" w:cs="仿宋"/>
          <w:sz w:val="32"/>
          <w:szCs w:val="32"/>
          <w:shd w:val="clear" w:color="auto" w:fill="FFFFFF"/>
        </w:rPr>
        <w:t>克州文联无下属预算单位，为正县级群团组织，人员类别有参公及事业管理岗位。下设3个科室，分别是：办公室、组联部、编辑部，人员编制数为14个。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  <w:shd w:val="clear" w:color="auto" w:fill="FFFFFF"/>
        </w:rPr>
        <w:t>克州文联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无下属预算单位，</w:t>
      </w:r>
      <w:r>
        <w:rPr>
          <w:rFonts w:hint="eastAsia" w:ascii="仿宋_GB2312" w:hAnsi="仿宋" w:eastAsia="仿宋_GB2312" w:cs="仿宋"/>
          <w:sz w:val="32"/>
          <w:szCs w:val="32"/>
          <w:shd w:val="clear" w:color="auto" w:fill="FFFFFF"/>
        </w:rPr>
        <w:t>下设3个科室，分别是：办公室、组联部、编辑部，</w:t>
      </w:r>
    </w:p>
    <w:p>
      <w:pPr>
        <w:widowControl/>
        <w:spacing w:line="560" w:lineRule="exact"/>
        <w:ind w:firstLine="320" w:firstLineChars="1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  <w:shd w:val="clear" w:color="auto" w:fill="FFFFFF"/>
        </w:rPr>
        <w:t>克州文联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编制数14，实有人数10人，其中：在职10人，增加或减少1人； 退休1人，增加或减少1 人；离休0人，增加或减少0人。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before="120" w:beforeLines="50"/>
        <w:ind w:firstLine="1920" w:firstLineChars="600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第二部分  2020年部门预算公开表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部门收支总体情况表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</w:t>
      </w:r>
      <w:r>
        <w:rPr>
          <w:rFonts w:hint="eastAsia" w:ascii="仿宋_GB2312" w:hAnsi="宋体" w:eastAsia="仿宋_GB2312"/>
          <w:kern w:val="0"/>
          <w:sz w:val="28"/>
          <w:szCs w:val="28"/>
        </w:rPr>
        <w:t xml:space="preserve">州文学艺术联合会  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单位：万元</w:t>
      </w:r>
    </w:p>
    <w:tbl>
      <w:tblPr>
        <w:tblStyle w:val="7"/>
        <w:tblW w:w="853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5"/>
        <w:gridCol w:w="1872"/>
        <w:gridCol w:w="2531"/>
        <w:gridCol w:w="198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" w:hRule="atLeast"/>
        </w:trPr>
        <w:tc>
          <w:tcPr>
            <w:tcW w:w="40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51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exact"/>
        </w:trPr>
        <w:tc>
          <w:tcPr>
            <w:tcW w:w="21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1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199.44</w:t>
            </w:r>
          </w:p>
        </w:tc>
        <w:tc>
          <w:tcPr>
            <w:tcW w:w="253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305.44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1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199.44</w:t>
            </w:r>
          </w:p>
        </w:tc>
        <w:tc>
          <w:tcPr>
            <w:tcW w:w="253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exact"/>
        </w:trPr>
        <w:tc>
          <w:tcPr>
            <w:tcW w:w="21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exact"/>
        </w:trPr>
        <w:tc>
          <w:tcPr>
            <w:tcW w:w="21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1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上级补助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收入</w:t>
            </w:r>
          </w:p>
        </w:tc>
        <w:tc>
          <w:tcPr>
            <w:tcW w:w="1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1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1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1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1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上级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专项收入</w:t>
            </w:r>
          </w:p>
        </w:tc>
        <w:tc>
          <w:tcPr>
            <w:tcW w:w="1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09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保险基金支出</w:t>
            </w:r>
          </w:p>
        </w:tc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1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1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1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1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1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1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1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1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1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1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1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1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1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国有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资本经营预算支出</w:t>
            </w:r>
          </w:p>
        </w:tc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1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1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1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1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1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1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1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exact"/>
        </w:trPr>
        <w:tc>
          <w:tcPr>
            <w:tcW w:w="214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8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199.44</w:t>
            </w:r>
          </w:p>
        </w:tc>
        <w:tc>
          <w:tcPr>
            <w:tcW w:w="2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305.44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214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8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106.00</w:t>
            </w:r>
          </w:p>
        </w:tc>
        <w:tc>
          <w:tcPr>
            <w:tcW w:w="253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</w:trPr>
        <w:tc>
          <w:tcPr>
            <w:tcW w:w="214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8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305.44</w:t>
            </w:r>
          </w:p>
        </w:tc>
        <w:tc>
          <w:tcPr>
            <w:tcW w:w="253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合  计</w:t>
            </w:r>
          </w:p>
        </w:tc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305.44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填报部门：   </w:t>
      </w:r>
      <w:r>
        <w:rPr>
          <w:rFonts w:hint="eastAsia" w:ascii="仿宋_GB2312" w:hAnsi="宋体" w:eastAsia="仿宋_GB2312"/>
          <w:kern w:val="0"/>
          <w:sz w:val="32"/>
          <w:szCs w:val="32"/>
        </w:rPr>
        <w:t>州文学艺术联合会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单位：万元</w:t>
      </w:r>
    </w:p>
    <w:tbl>
      <w:tblPr>
        <w:tblStyle w:val="7"/>
        <w:tblW w:w="11014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7"/>
        <w:gridCol w:w="417"/>
        <w:gridCol w:w="417"/>
        <w:gridCol w:w="1330"/>
        <w:gridCol w:w="820"/>
        <w:gridCol w:w="680"/>
        <w:gridCol w:w="680"/>
        <w:gridCol w:w="680"/>
        <w:gridCol w:w="680"/>
        <w:gridCol w:w="555"/>
        <w:gridCol w:w="395"/>
        <w:gridCol w:w="1081"/>
        <w:gridCol w:w="417"/>
        <w:gridCol w:w="397"/>
        <w:gridCol w:w="204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3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8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55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上级补助收入</w:t>
            </w:r>
          </w:p>
        </w:tc>
        <w:tc>
          <w:tcPr>
            <w:tcW w:w="3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10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41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上级</w:t>
            </w:r>
            <w:r>
              <w:rPr>
                <w:rFonts w:ascii="仿宋_GB2312" w:eastAsia="仿宋_GB2312"/>
                <w:b/>
                <w:color w:val="000000"/>
                <w:sz w:val="20"/>
                <w:szCs w:val="20"/>
              </w:rPr>
              <w:t>专项收入</w:t>
            </w:r>
          </w:p>
        </w:tc>
        <w:tc>
          <w:tcPr>
            <w:tcW w:w="3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204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13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0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201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31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99</w:t>
            </w: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其他党委办公厅（室）及相关机构事务支出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305.44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199.44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106.00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0"/>
                <w:szCs w:val="20"/>
              </w:rPr>
              <w:t>合计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305.44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199.44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106.00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部门支出总体情况表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8"/>
          <w:szCs w:val="28"/>
        </w:rPr>
        <w:t xml:space="preserve">编制部门： 州文学艺术联合会  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单位：万元</w:t>
      </w:r>
    </w:p>
    <w:tbl>
      <w:tblPr>
        <w:tblStyle w:val="7"/>
        <w:tblW w:w="9420" w:type="dxa"/>
        <w:tblInd w:w="-24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9"/>
        <w:gridCol w:w="400"/>
        <w:gridCol w:w="399"/>
        <w:gridCol w:w="2572"/>
        <w:gridCol w:w="1837"/>
        <w:gridCol w:w="1838"/>
        <w:gridCol w:w="188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5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7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3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3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88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57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201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31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01</w:t>
            </w: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行政运行（党委办公厅（室）及相关机构事务）</w:t>
            </w:r>
          </w:p>
        </w:tc>
        <w:tc>
          <w:tcPr>
            <w:tcW w:w="1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160.84</w:t>
            </w: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160.84</w:t>
            </w:r>
          </w:p>
        </w:tc>
        <w:tc>
          <w:tcPr>
            <w:tcW w:w="1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201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31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99</w:t>
            </w: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其他党委办公厅（室）及相关机构事务支出</w:t>
            </w:r>
          </w:p>
        </w:tc>
        <w:tc>
          <w:tcPr>
            <w:tcW w:w="1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144.60</w:t>
            </w: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144.60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305.44</w:t>
            </w: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160.84</w:t>
            </w:r>
          </w:p>
        </w:tc>
        <w:tc>
          <w:tcPr>
            <w:tcW w:w="1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144.60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="120" w:beforeLines="50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kern w:val="0"/>
          <w:sz w:val="28"/>
          <w:szCs w:val="28"/>
        </w:rPr>
      </w:pPr>
      <w:r>
        <w:rPr>
          <w:rFonts w:hint="eastAsia" w:ascii="仿宋_GB2312" w:hAnsi="宋体" w:eastAsia="仿宋_GB2312"/>
          <w:kern w:val="0"/>
          <w:sz w:val="28"/>
          <w:szCs w:val="28"/>
        </w:rPr>
        <w:t>编制部门： 州文学艺术联合会            单位：万元</w:t>
      </w:r>
    </w:p>
    <w:tbl>
      <w:tblPr>
        <w:tblStyle w:val="7"/>
        <w:tblW w:w="9449" w:type="dxa"/>
        <w:tblInd w:w="-24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230"/>
        <w:gridCol w:w="2580"/>
        <w:gridCol w:w="1418"/>
        <w:gridCol w:w="1275"/>
        <w:gridCol w:w="132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59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199.44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199.44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199.44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199.44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09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保险基金支出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国有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资本经营预算支出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199.44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199.44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199.44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7"/>
        <w:tblW w:w="9214" w:type="dxa"/>
        <w:tblInd w:w="-3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编制部门：州文学艺术联合会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right="720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31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行政运行（党委办公厅（室）及相关机构事务）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160.84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160.84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31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其他党委办公厅（室）及相关机构事务支出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38.60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38.60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199.44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160.84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38.60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7"/>
        <w:tblW w:w="9328" w:type="dxa"/>
        <w:tblInd w:w="-14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670"/>
        <w:gridCol w:w="2891"/>
        <w:gridCol w:w="995"/>
        <w:gridCol w:w="706"/>
        <w:gridCol w:w="976"/>
        <w:gridCol w:w="725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编制部门： 州文学艺术联合会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30102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55.27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55.27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30399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其他对个人和家庭的补助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12.96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12.96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30108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14.32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14.32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30113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10.31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10.31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30299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其他商品和服务支出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30229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1.10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1.10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30201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0.80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0.80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30207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邮电费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0.05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0.05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30242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办公用品及设备采购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1.03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1.03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30309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0.82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0.82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30202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印刷费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30206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0.10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0.10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30302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退休费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5.12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5.12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30101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42.91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42.91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30205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0.10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0.10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30112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10.27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10.27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30217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公务接待费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0.20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0.20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30211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0.80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0.80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30231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公务用车运行维护费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0.50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0.50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30228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0.61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0.61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30103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3.58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3.58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160.84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155.55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5.29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7"/>
        <w:tblW w:w="9872" w:type="dxa"/>
        <w:tblInd w:w="-36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"/>
        <w:gridCol w:w="509"/>
        <w:gridCol w:w="418"/>
        <w:gridCol w:w="418"/>
        <w:gridCol w:w="1276"/>
        <w:gridCol w:w="1031"/>
        <w:gridCol w:w="821"/>
        <w:gridCol w:w="88"/>
        <w:gridCol w:w="367"/>
        <w:gridCol w:w="821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wAfter w:w="8" w:type="dxa"/>
          <w:trHeight w:val="375" w:hRule="atLeast"/>
        </w:trPr>
        <w:tc>
          <w:tcPr>
            <w:tcW w:w="9854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wAfter w:w="8" w:type="dxa"/>
          <w:trHeight w:val="405" w:hRule="atLeast"/>
        </w:trPr>
        <w:tc>
          <w:tcPr>
            <w:tcW w:w="45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编制部门： 州文学艺术联合会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52" w:type="dxa"/>
            <w:gridSpan w:val="4"/>
            <w:shd w:val="clear" w:color="auto" w:fill="auto"/>
            <w:noWrap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031" w:type="dxa"/>
            <w:vMerge w:val="restar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821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455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821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7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516" w:type="dxa"/>
            <w:gridSpan w:val="2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418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418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1276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031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821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55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821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4" w:hRule="atLeast"/>
        </w:trPr>
        <w:tc>
          <w:tcPr>
            <w:tcW w:w="516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201</w:t>
            </w:r>
          </w:p>
        </w:tc>
        <w:tc>
          <w:tcPr>
            <w:tcW w:w="41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31</w:t>
            </w:r>
          </w:p>
        </w:tc>
        <w:tc>
          <w:tcPr>
            <w:tcW w:w="41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99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其他党委办公厅（室）及相关机构事务支出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玛纳斯翻译费</w:t>
            </w:r>
          </w:p>
        </w:tc>
        <w:tc>
          <w:tcPr>
            <w:tcW w:w="82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106.00</w:t>
            </w:r>
          </w:p>
        </w:tc>
        <w:tc>
          <w:tcPr>
            <w:tcW w:w="45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82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106.00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201</w:t>
            </w:r>
          </w:p>
        </w:tc>
        <w:tc>
          <w:tcPr>
            <w:tcW w:w="41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31</w:t>
            </w:r>
          </w:p>
        </w:tc>
        <w:tc>
          <w:tcPr>
            <w:tcW w:w="41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99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其他党委办公厅（室）及相关机构事务支出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克孜勒苏文学</w:t>
            </w:r>
          </w:p>
        </w:tc>
        <w:tc>
          <w:tcPr>
            <w:tcW w:w="82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24.80</w:t>
            </w:r>
          </w:p>
        </w:tc>
        <w:tc>
          <w:tcPr>
            <w:tcW w:w="45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82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24.80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201</w:t>
            </w:r>
          </w:p>
        </w:tc>
        <w:tc>
          <w:tcPr>
            <w:tcW w:w="41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31</w:t>
            </w:r>
          </w:p>
        </w:tc>
        <w:tc>
          <w:tcPr>
            <w:tcW w:w="41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99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其他党委办公厅（室）及相关机构事务支出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帕米尔文学</w:t>
            </w:r>
          </w:p>
        </w:tc>
        <w:tc>
          <w:tcPr>
            <w:tcW w:w="82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6.80</w:t>
            </w:r>
          </w:p>
        </w:tc>
        <w:tc>
          <w:tcPr>
            <w:tcW w:w="45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82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6.80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201</w:t>
            </w:r>
          </w:p>
        </w:tc>
        <w:tc>
          <w:tcPr>
            <w:tcW w:w="41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31</w:t>
            </w:r>
          </w:p>
        </w:tc>
        <w:tc>
          <w:tcPr>
            <w:tcW w:w="41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99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其他党委办公厅（室）及相关机构事务支出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群众工作经费</w:t>
            </w:r>
          </w:p>
        </w:tc>
        <w:tc>
          <w:tcPr>
            <w:tcW w:w="82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7.00</w:t>
            </w:r>
          </w:p>
        </w:tc>
        <w:tc>
          <w:tcPr>
            <w:tcW w:w="45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82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7.00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201</w:t>
            </w:r>
          </w:p>
        </w:tc>
        <w:tc>
          <w:tcPr>
            <w:tcW w:w="41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31</w:t>
            </w:r>
          </w:p>
        </w:tc>
        <w:tc>
          <w:tcPr>
            <w:tcW w:w="41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99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其他党委办公厅（室）及相关机构事务支出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帕米尔文学</w:t>
            </w:r>
          </w:p>
        </w:tc>
        <w:tc>
          <w:tcPr>
            <w:tcW w:w="82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6.80</w:t>
            </w:r>
          </w:p>
        </w:tc>
        <w:tc>
          <w:tcPr>
            <w:tcW w:w="45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82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6.80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41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41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03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82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455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82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41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41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Cs w:val="21"/>
              </w:rPr>
              <w:t>合计</w:t>
            </w:r>
          </w:p>
        </w:tc>
        <w:tc>
          <w:tcPr>
            <w:tcW w:w="82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144.60</w:t>
            </w:r>
          </w:p>
        </w:tc>
        <w:tc>
          <w:tcPr>
            <w:tcW w:w="45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82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144.60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8"/>
          <w:szCs w:val="28"/>
        </w:rPr>
        <w:t>编制部门： 州文学艺术联合会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单位：万元</w:t>
      </w:r>
    </w:p>
    <w:tbl>
      <w:tblPr>
        <w:tblStyle w:val="7"/>
        <w:tblW w:w="9240" w:type="dxa"/>
        <w:tblInd w:w="-17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0.70 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0.50 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0.50 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0.20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8"/>
          <w:szCs w:val="28"/>
        </w:rPr>
        <w:t>编制部门： 州文学艺术联合会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单位：万元</w:t>
      </w: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tbl>
      <w:tblPr>
        <w:tblStyle w:val="7"/>
        <w:tblW w:w="9214" w:type="dxa"/>
        <w:tblInd w:w="-3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457"/>
        <w:gridCol w:w="2896"/>
        <w:gridCol w:w="1559"/>
        <w:gridCol w:w="1701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3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4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备注：本单位2020年预算没有政府性基金支出。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titlePg/>
          <w:docGrid w:linePitch="312" w:charSpace="0"/>
        </w:sect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2020年部门预算情况说明</w:t>
      </w: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 州文学艺术联合会2020年收支预算情况的总体说明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 州文学艺术联合会2020年所有收入和支出均纳入部门预算管理。收支总预算305.44万元。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收入预算包括：一般公共预算199.44万元、 单位上年结余（不包括国库集中支付额度结余）106万元等。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支出预算包括：一般公共服务支出305.44万元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 州文学艺术联合会2020年收入预算情况说明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州文学艺术联合会收入预算305.44万元，其中：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一般公共预算199.44万元，占65.29%，比上年减少22.99万元，主要原因是今年在职人员减少两人；    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政府性基金预算未安排。或0万元，占0 %，比上年增加（减少）0万元，主要原因是无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2020预算未安排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单位上年结余（不包括国库集中支付额度结余）106万元，占34.7 %，比上年增加53.63万元，主要原因是上年结余了群众工作经费和帕米尔克孜勒苏杂志款。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 州文学艺术联合会单位2020年支出预算情况说明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州文学艺术联合会单位2020年支出预算305.44万元，其中：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基本支出160.84万元，占52.66%，比上年增加减少5.26万元，主要原因是今年在职人员减少两人。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项目支出144.6万元，占47.34%，比上年增加35.9万元，主要原因是今年预算放了群众工作经费，上年的项目结余。</w:t>
      </w:r>
    </w:p>
    <w:p>
      <w:pPr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四、关于州文学艺术联合会2020年财政拨款收支预算情况的总体说明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2020年财政拨款收支总预算199.44万元。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b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收入全部为一般公共预算拨款，无政府性基金预算拨款。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五、关于州文学艺术联合会2020年一般公共预算当年拨款情况说明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（一）一般公用预算当年拨款规模变化情况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州文学艺术联合会2020年一般公共预算拨款基本支出    199.44万元，比上年执行数减少11.24万元，下降5.64%。主要原因是：今年在职人员减少两人 。    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1.一般公共服务（201）党委办公厅（室）及相关机构事务（31）行政运行（01）</w:t>
      </w:r>
      <w:r>
        <w:rPr>
          <w:rFonts w:hint="eastAsia" w:ascii="楷体_GB2312" w:eastAsia="楷体_GB2312"/>
          <w:bCs/>
          <w:sz w:val="32"/>
          <w:szCs w:val="32"/>
        </w:rPr>
        <w:t>16.44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万元，占83.45%。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</w:t>
      </w:r>
      <w:r>
        <w:rPr>
          <w:rFonts w:hint="eastAsia" w:ascii="仿宋_GB2312" w:eastAsia="仿宋_GB2312"/>
          <w:sz w:val="32"/>
          <w:szCs w:val="32"/>
        </w:rPr>
        <w:t>.一般公共服务（201）党委办公厅（室）及相关机构事务（31）其他群体团体事务支出（99）</w:t>
      </w:r>
      <w:r>
        <w:rPr>
          <w:rFonts w:hint="eastAsia" w:ascii="楷体_GB2312" w:eastAsia="楷体_GB2312"/>
          <w:bCs/>
          <w:sz w:val="32"/>
          <w:szCs w:val="32"/>
        </w:rPr>
        <w:t>38.6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万元，占16.55%。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 州文学艺术联合会2020年一般公共预算基本支出情况说明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州文学艺术联合会2020年一般公共预算基本支出      万元， 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155.55万元，主要包括：基本工资42.91万元、津贴补贴55.27万元、奖金3.58万元、机关事业单位基本养老保险缴费14.32万元、职工基本医疗保险缴费10.27万元、住房公积金10.31万元、退休费5.12万元、奖励金0.82万元、其他对个人和家庭的补助12.96万元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5.29万元，主要包括：办公费0.8万元、水费0.1万元、电费0.1万元、邮电费0.05万元、差旅费0.8万元、公务接待费0.2万元、工会经费0.61万元、福利费1.1万元、公务用车运行维护费0.5万元、办公设备购置1.03万元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 州文学艺术联合会2020年项目支出情况说明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1.项目</w:t>
      </w:r>
      <w:r>
        <w:rPr>
          <w:rFonts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玛纳斯翻译费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设立的政策依据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政府安排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预算安排规模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《玛纳斯》翻译费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项目承担单位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：克州文联</w:t>
      </w:r>
      <w:r>
        <w:rPr>
          <w:rFonts w:hint="eastAsia" w:ascii="黑体" w:hAnsi="宋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资金分配情况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106万元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资金执行时间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2020年1月---12月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2.项目</w:t>
      </w:r>
      <w:r>
        <w:rPr>
          <w:rFonts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克孜勒苏文学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设立的政策依据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政府安排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预算安排规模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克孜勒苏文学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项目承担单位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：克州文联</w:t>
      </w:r>
      <w:r>
        <w:rPr>
          <w:rFonts w:hint="eastAsia" w:ascii="黑体" w:hAnsi="宋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资金分配情况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24.8万元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资金执行时间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2020年1月---12月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3.项目</w:t>
      </w:r>
      <w:r>
        <w:rPr>
          <w:rFonts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帕米尔文学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设立的政策依据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政府安排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预算安排规模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帕米尔文学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项目承担单位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：克州文联</w:t>
      </w:r>
      <w:r>
        <w:rPr>
          <w:rFonts w:hint="eastAsia" w:ascii="黑体" w:hAnsi="宋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资金分配情况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6.8万元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资金执行时间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2020年1月---12月</w:t>
      </w:r>
    </w:p>
    <w:p>
      <w:pPr>
        <w:numPr>
          <w:ilvl w:val="0"/>
          <w:numId w:val="1"/>
        </w:numPr>
        <w:spacing w:line="56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项目</w:t>
      </w:r>
      <w:r>
        <w:rPr>
          <w:rFonts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群众工作经费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设立的政策依据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政府安排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预算安排规模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：中村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项目承担单位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：克州文联</w:t>
      </w:r>
      <w:r>
        <w:rPr>
          <w:rFonts w:hint="eastAsia" w:ascii="黑体" w:hAnsi="宋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资金分配情况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7万元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资金执行时间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2020年1月---12月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 州文学艺术联合会2020年一般公共预算“三公”经费预算情况说明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州文学艺术联合会2020年“三公”经费财政拨款预算数为0.7万元，其中：因公出国（境）费0万元，公务用车购置0万元，公务用车运行费0.5万元，公务接待费0.2万元。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2020年“三公”经费财政拨款预算比上年一样，其中：因公出国（境）费增加（减少）0万元，主要原因是无 ；公务用车购置费为0，未安排预算。[或公务用车购置费增加（减少）0万元，主要原因是无；公务用车运行费同样0.5万元，主要原因是无；公务接待费同样0.2万元，主要原因是无。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根据经费使用情况，和上年保持一致。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 州文学艺术联合会2020年政府性基金预算拨款情况说明</w:t>
      </w:r>
    </w:p>
    <w:p>
      <w:pPr>
        <w:spacing w:line="560" w:lineRule="exact"/>
        <w:ind w:firstLine="643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>情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州文学艺术联合会2020年没有使用政府性基金预算拨款安排的支出，政府性基金预算支出情况表为空表。</w:t>
      </w:r>
    </w:p>
    <w:p>
      <w:pPr>
        <w:spacing w:line="560" w:lineRule="exact"/>
        <w:ind w:firstLine="643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2020年，本级及下属家行政单位和家事业单位的机关运行经费财政拨款预算5.29万元，比上年预算减少0.47 万元，下降8.16%。主要原因是今年有人员变动 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2020年、州文学艺术联合会及下属单位政府采购预算   万元，其中：政府采购货物预算3.9万元，政府采购工程预算0万元，政府采购服务预算32.6万元。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</w:rPr>
        <w:t>2020年度本部门面向中小企业预留政府采购项目预算金额36.5万元，其中：面向小微企业预留政府采购项目预算金额36.5万元。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截至2019年底， 州文学艺术联合会及下属各预算单位占用使用国有资产总体情况为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 0平方米，价值 0 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2.车辆0辆，价值20.86万元；其中：一般公务用车1辆，价值2.86万元；执法执勤用车0辆，价值0 万元；其他车辆0辆，价值0万元。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3.办公家具价值7.89万元。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4.其他资产价值12.24万元。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单位价值50万元以上大型设备0台（套），单位价值100万元以上大型设备0台（套）。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2020年部门预算未安排购置车辆经费（或安排购置车辆经费 0万元），安排购置50万元以上大型设备0台（套），单位价值100万元以上大型设备0台（套）。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2020年度，本年度实行绩效管理的项目4个，涉及预算金额 166.84 万元。具体情况见下表（按项目分别填报）：</w:t>
      </w:r>
    </w:p>
    <w:p>
      <w:pPr>
        <w:widowControl/>
        <w:spacing w:line="6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tbl>
      <w:tblPr>
        <w:tblStyle w:val="7"/>
        <w:tblW w:w="13973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bookmarkStart w:id="1" w:name="_GoBack"/>
            <w:bookmarkEnd w:id="1"/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XX单位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XXXXX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  <w:sectPr>
          <w:pgSz w:w="16838" w:h="11906" w:orient="landscape"/>
          <w:pgMar w:top="1800" w:right="1440" w:bottom="1800" w:left="1440" w:header="851" w:footer="992" w:gutter="0"/>
          <w:pgNumType w:fmt="numberInDash" w:start="21"/>
          <w:cols w:space="425" w:num="1"/>
          <w:docGrid w:type="lines" w:linePitch="312" w:charSpace="0"/>
        </w:sectPr>
      </w:pPr>
    </w:p>
    <w:p>
      <w:pPr>
        <w:widowControl/>
        <w:spacing w:line="52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20" w:lineRule="exact"/>
        <w:ind w:firstLine="960" w:firstLineChars="3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无     </w:t>
      </w:r>
    </w:p>
    <w:p>
      <w:pPr>
        <w:widowControl/>
        <w:spacing w:before="156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before="156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2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包括事业收入、经营收入、其他收入等。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部门支出预算的组成部分，是自治州本级部门为完成其特定的行政任务或事业发展目标，在基本支出预算之外编制的年度项目支出计划。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自治州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     </w:t>
      </w:r>
      <w:bookmarkStart w:id="0" w:name="_Hlk30430222"/>
      <w:r>
        <w:rPr>
          <w:rFonts w:hint="eastAsia" w:ascii="仿宋_GB2312" w:hAnsi="宋体" w:eastAsia="仿宋_GB2312" w:cs="宋体"/>
          <w:kern w:val="0"/>
          <w:sz w:val="32"/>
          <w:szCs w:val="32"/>
        </w:rPr>
        <w:t>州文学艺术联合会</w:t>
      </w:r>
      <w:bookmarkEnd w:id="0"/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 2020 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1  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20  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20" w:lineRule="exact"/>
        <w:ind w:firstLine="280" w:firstLineChars="100"/>
        <w:rPr>
          <w:rFonts w:ascii="仿宋_GB2312" w:eastAsia="仿宋_GB2312"/>
          <w:sz w:val="28"/>
          <w:szCs w:val="28"/>
        </w:rPr>
      </w:pPr>
    </w:p>
    <w:p/>
    <w:p/>
    <w:sectPr>
      <w:pgSz w:w="11906" w:h="16838"/>
      <w:pgMar w:top="1985" w:right="1531" w:bottom="1843" w:left="1531" w:header="851" w:footer="992" w:gutter="0"/>
      <w:pgNumType w:fmt="numberInDash" w:start="22"/>
      <w:cols w:space="425" w:num="1"/>
      <w:docGrid w:type="lines" w:linePitch="312" w:charSpace="6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66E4673"/>
    <w:multiLevelType w:val="singleLevel"/>
    <w:tmpl w:val="E66E4673"/>
    <w:lvl w:ilvl="0" w:tentative="0">
      <w:start w:val="4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420"/>
  <w:drawingGridHorizontalSpacing w:val="213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CD5"/>
    <w:rsid w:val="00012D28"/>
    <w:rsid w:val="00032AE8"/>
    <w:rsid w:val="000343F0"/>
    <w:rsid w:val="000D56B0"/>
    <w:rsid w:val="00106382"/>
    <w:rsid w:val="00114DEC"/>
    <w:rsid w:val="001934F0"/>
    <w:rsid w:val="002E5D9A"/>
    <w:rsid w:val="00324290"/>
    <w:rsid w:val="00387451"/>
    <w:rsid w:val="00432267"/>
    <w:rsid w:val="00481CD5"/>
    <w:rsid w:val="005C42E0"/>
    <w:rsid w:val="006F45E3"/>
    <w:rsid w:val="008160EE"/>
    <w:rsid w:val="009D0AA2"/>
    <w:rsid w:val="00B22D8A"/>
    <w:rsid w:val="00C40FBB"/>
    <w:rsid w:val="00D06D6F"/>
    <w:rsid w:val="00E469CA"/>
    <w:rsid w:val="00E7167C"/>
    <w:rsid w:val="00F500CA"/>
    <w:rsid w:val="055C03B9"/>
    <w:rsid w:val="328F52D9"/>
    <w:rsid w:val="410556B2"/>
    <w:rsid w:val="488D1088"/>
    <w:rsid w:val="53DD6FD8"/>
    <w:rsid w:val="65F05538"/>
    <w:rsid w:val="7E147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8"/>
    <w:semiHidden/>
    <w:qFormat/>
    <w:uiPriority w:val="0"/>
    <w:rPr>
      <w:sz w:val="18"/>
      <w:szCs w:val="18"/>
      <w:lang w:val="zh-CN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Indent 3"/>
    <w:basedOn w:val="1"/>
    <w:link w:val="20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  <w:lang w:val="zh-CN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59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qFormat/>
    <w:uiPriority w:val="0"/>
    <w:rPr>
      <w:rFonts w:cs="Times New Roman"/>
      <w:b/>
      <w:bCs/>
    </w:rPr>
  </w:style>
  <w:style w:type="character" w:styleId="11">
    <w:name w:val="page number"/>
    <w:basedOn w:val="9"/>
    <w:qFormat/>
    <w:uiPriority w:val="0"/>
  </w:style>
  <w:style w:type="character" w:customStyle="1" w:styleId="12">
    <w:name w:val="页眉 字符"/>
    <w:basedOn w:val="9"/>
    <w:link w:val="4"/>
    <w:qFormat/>
    <w:uiPriority w:val="99"/>
    <w:rPr>
      <w:sz w:val="18"/>
      <w:szCs w:val="18"/>
    </w:rPr>
  </w:style>
  <w:style w:type="character" w:customStyle="1" w:styleId="13">
    <w:name w:val="页脚 字符"/>
    <w:basedOn w:val="9"/>
    <w:link w:val="3"/>
    <w:qFormat/>
    <w:uiPriority w:val="99"/>
    <w:rPr>
      <w:sz w:val="18"/>
      <w:szCs w:val="18"/>
    </w:rPr>
  </w:style>
  <w:style w:type="paragraph" w:customStyle="1" w:styleId="14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15">
    <w:name w:val="批注框文本 字符"/>
    <w:basedOn w:val="9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正文文本缩进 3 字符"/>
    <w:basedOn w:val="9"/>
    <w:semiHidden/>
    <w:qFormat/>
    <w:uiPriority w:val="99"/>
    <w:rPr>
      <w:rFonts w:ascii="Times New Roman" w:hAnsi="Times New Roman" w:eastAsia="宋体" w:cs="Times New Roman"/>
      <w:sz w:val="16"/>
      <w:szCs w:val="16"/>
    </w:rPr>
  </w:style>
  <w:style w:type="character" w:customStyle="1" w:styleId="17">
    <w:name w:val="页脚 字符1"/>
    <w:qFormat/>
    <w:uiPriority w:val="99"/>
    <w:rPr>
      <w:rFonts w:ascii="Times New Roman" w:hAnsi="Times New Roman" w:eastAsia="黑体" w:cs="Times New Roman"/>
      <w:snapToGrid w:val="0"/>
      <w:kern w:val="0"/>
      <w:sz w:val="18"/>
      <w:szCs w:val="18"/>
      <w:lang w:val="zh-CN" w:eastAsia="zh-CN"/>
    </w:rPr>
  </w:style>
  <w:style w:type="character" w:customStyle="1" w:styleId="18">
    <w:name w:val="批注框文本 字符1"/>
    <w:link w:val="2"/>
    <w:semiHidden/>
    <w:qFormat/>
    <w:uiPriority w:val="0"/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customStyle="1" w:styleId="19">
    <w:name w:val="页眉 字符1"/>
    <w:qFormat/>
    <w:uiPriority w:val="0"/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customStyle="1" w:styleId="20">
    <w:name w:val="正文文本缩进 3 字符1"/>
    <w:link w:val="5"/>
    <w:qFormat/>
    <w:uiPriority w:val="0"/>
    <w:rPr>
      <w:rFonts w:ascii="Times New Roman" w:hAnsi="Times New Roman" w:eastAsia="仿宋_GB2312" w:cs="Times New Roman"/>
      <w:sz w:val="32"/>
      <w:szCs w:val="24"/>
      <w:lang w:val="zh-CN" w:eastAsia="zh-CN"/>
    </w:rPr>
  </w:style>
  <w:style w:type="paragraph" w:styleId="21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22">
    <w:name w:val="普通(网站)1"/>
    <w:basedOn w:val="1"/>
    <w:qFormat/>
    <w:uiPriority w:val="0"/>
    <w:rPr>
      <w:rFonts w:ascii="Calibri" w:hAnsi="Calibri" w:cs="黑体"/>
      <w:sz w:val="24"/>
    </w:rPr>
  </w:style>
  <w:style w:type="paragraph" w:customStyle="1" w:styleId="23">
    <w:name w:val="普通(网站)2"/>
    <w:basedOn w:val="1"/>
    <w:qFormat/>
    <w:uiPriority w:val="0"/>
    <w:rPr>
      <w:rFonts w:ascii="Calibri" w:hAnsi="Calibri" w:cs="黑体"/>
      <w:sz w:val="24"/>
    </w:rPr>
  </w:style>
  <w:style w:type="paragraph" w:customStyle="1" w:styleId="24">
    <w:name w:val="普通(网站)3"/>
    <w:basedOn w:val="1"/>
    <w:qFormat/>
    <w:uiPriority w:val="0"/>
    <w:rPr>
      <w:rFonts w:ascii="Calibri" w:hAnsi="Calibri" w:cs="黑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23</Pages>
  <Words>1452</Words>
  <Characters>8283</Characters>
  <Lines>69</Lines>
  <Paragraphs>19</Paragraphs>
  <TotalTime>19</TotalTime>
  <ScaleCrop>false</ScaleCrop>
  <LinksUpToDate>false</LinksUpToDate>
  <CharactersWithSpaces>9716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2020-01-09T08:29:00Z</dcterms:created>
  <dc:creator>穆斯塔帕</dc:creator>
  <cp:lastModifiedBy>Administrator</cp:lastModifiedBy>
  <cp:lastPrinted>2020-01-09T10:17:00Z</cp:lastPrinted>
  <dcterms:modified xsi:type="dcterms:W3CDTF">2020-02-04T05:35:39Z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