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*部门单位*年部门预算公开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hint="eastAsia" w:ascii="黑体" w:hAnsi="黑体" w:eastAsia="黑体"/>
          <w:kern w:val="0"/>
          <w:sz w:val="44"/>
          <w:szCs w:val="44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*部门单位概况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/>
          <w:b/>
          <w:kern w:val="0"/>
          <w:sz w:val="32"/>
          <w:szCs w:val="32"/>
        </w:rPr>
        <w:t>*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/>
          <w:b/>
          <w:kern w:val="0"/>
          <w:sz w:val="32"/>
          <w:szCs w:val="32"/>
        </w:rPr>
        <w:t>*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一、关于*部门*年收支预算情况的总体说明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二、关于*部门*年收入预算情况说明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三、关于*部门*年支出预算情况说明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四、关于*部门*年财政拨款收支预算情况的总体说明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五、关于*部门*年一般公共预算当年拨款情况说明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六、关于*部门*年一般公共预算基本支出情况说明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七、关于*部门*年项目支出情况说明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八、关于*部门*年一般公共预算“三公”经费预算情况说明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九、关于*部门*年政府性基金预算拨款情况说明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*部门单位概况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详细介绍本部门单位工作职能。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  <w:t>情况一：有下属预算单位按以下内容说明：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从预算单位构成看，*部门的部门预算包括：*本级预算及下属   家预算单位在内的汇总预算。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*部门本级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下设   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本部门中，行政单位  家，参公管理事业单位  家,事业单位  家，纳入*部门*年部门预算编制范围的二级预算单位包括：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1.（列下属单位名称）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2.……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*部门编制数     ，实有人数    人，其中：在职    人，增加或减少   人； 退休    人，增加或减少   人；离休     人，增加或减少   人。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情况二：</w:t>
      </w: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  <w:t>无下属预算单位按以下内容说明：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*单位无下属预算单位，下设   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*单位编制数     ，实有人数    人，其中：在职    人，增加或减少   人； 退休    人，增加或减少   人；离休     人，增加或减少   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*年部门预算公开表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                                               单位：万元</w:t>
      </w:r>
    </w:p>
    <w:tbl>
      <w:tblPr>
        <w:tblStyle w:val="10"/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20"/>
        <w:gridCol w:w="1845"/>
        <w:gridCol w:w="2955"/>
        <w:gridCol w:w="18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4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  入</w:t>
            </w:r>
          </w:p>
        </w:tc>
        <w:tc>
          <w:tcPr>
            <w:tcW w:w="4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   目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一、财政拨款（补助）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一般公共预算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政府性基金预算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预算外收入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医疗卫生与计划生育支出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资源勘探信息等支出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国土资源气象等支出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03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入   总   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                                                      单位：万元</w:t>
      </w:r>
    </w:p>
    <w:tbl>
      <w:tblPr>
        <w:tblStyle w:val="10"/>
        <w:tblW w:w="98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"/>
        <w:gridCol w:w="450"/>
        <w:gridCol w:w="435"/>
        <w:gridCol w:w="1875"/>
        <w:gridCol w:w="491"/>
        <w:gridCol w:w="610"/>
        <w:gridCol w:w="624"/>
        <w:gridCol w:w="610"/>
        <w:gridCol w:w="506"/>
        <w:gridCol w:w="565"/>
        <w:gridCol w:w="595"/>
        <w:gridCol w:w="551"/>
        <w:gridCol w:w="521"/>
        <w:gridCol w:w="758"/>
        <w:gridCol w:w="7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1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一般公共预算拨款</w:t>
            </w:r>
          </w:p>
        </w:tc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政府性基金预算拨款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预算外收入</w:t>
            </w:r>
          </w:p>
        </w:tc>
        <w:tc>
          <w:tcPr>
            <w:tcW w:w="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                                                     单位：万元</w:t>
      </w:r>
    </w:p>
    <w:tbl>
      <w:tblPr>
        <w:tblStyle w:val="10"/>
        <w:tblW w:w="89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5"/>
        <w:gridCol w:w="812"/>
        <w:gridCol w:w="812"/>
        <w:gridCol w:w="2311"/>
        <w:gridCol w:w="1767"/>
        <w:gridCol w:w="1621"/>
        <w:gridCol w:w="9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 目</w:t>
            </w:r>
          </w:p>
        </w:tc>
        <w:tc>
          <w:tcPr>
            <w:tcW w:w="4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2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23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1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1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ind w:firstLine="2570" w:firstLineChars="800"/>
        <w:jc w:val="both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编制部门：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    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>单位：万元</w:t>
      </w:r>
    </w:p>
    <w:tbl>
      <w:tblPr>
        <w:tblStyle w:val="10"/>
        <w:tblW w:w="93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1"/>
        <w:gridCol w:w="1332"/>
        <w:gridCol w:w="2721"/>
        <w:gridCol w:w="732"/>
        <w:gridCol w:w="1185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3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财政拨款收入</w:t>
            </w:r>
          </w:p>
        </w:tc>
        <w:tc>
          <w:tcPr>
            <w:tcW w:w="56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400" w:leftChars="380" w:hanging="602" w:hangingChars="3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项   目                   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 能 分 类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政府性基金预算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财政拨款（补助）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一般公共预算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</w:t>
            </w:r>
          </w:p>
        </w:tc>
        <w:tc>
          <w:tcPr>
            <w:tcW w:w="13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医疗卫生与计划生育支出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资源勘探信息等支出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国土资源气象等支出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02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入   总   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                                                  单位：万元</w:t>
      </w:r>
    </w:p>
    <w:tbl>
      <w:tblPr>
        <w:tblStyle w:val="10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                                                   单位：万元</w:t>
      </w:r>
    </w:p>
    <w:tbl>
      <w:tblPr>
        <w:tblStyle w:val="10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418" w:bottom="1928" w:left="1588" w:header="851" w:footer="992" w:gutter="0"/>
          <w:pgNumType w:fmt="numberInDash" w:start="2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500" w:lineRule="exact"/>
        <w:ind w:left="0" w:leftChars="0" w:right="0" w:rightChars="0"/>
        <w:jc w:val="center"/>
        <w:textAlignment w:val="auto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*年部门预算情况说明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关于*部门*年收支预算情况的总体说明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按照全口径预算的原则，*部门*年所有收入和支出均纳入部门预算管理。收支总预算    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收入预算包括：一般公共预算、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政府性基金预算、教育收费（财政专户）、事业收入、事业单位经营收入、其他收入、用事业基金弥补收支差额、单位上年结余（不包括国库集中支付额度结余）等。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、外交支出、国防支出、公共安全支出、教育支出、科学技术支出、文化体育与传媒支出、社会保障和就业支出、社会保险基金支出、医疗卫生与计划生育支出、节能环保支出、城乡社区支出、农林水支出、交通运输支出、资源勘探信息等支出、商业服务业等支出、金融支出、援助其他地区支出、国土资源气象等支出、住房保障支出、粮油物资管理支出、国有资本经营预算支出、预备费、其他支出、债务还本支出、债务付息支出、债务发行费支出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（按照“部门预算公开表一 部门收支总体情况表”</w:t>
      </w:r>
      <w:r>
        <w:rPr>
          <w:rFonts w:hint="eastAsia"/>
          <w:b/>
        </w:rPr>
        <w:t xml:space="preserve">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中所列项目，结合部门实际情况填写，多余科目应删除。）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二、关于*部门*年收入预算情况说明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*部门收入预算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   万元，占  %，比上年增加（减少）   万元，主要原因是            ；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政府性基金预算未安排。或    万元， 占  %，比上年增加（减少）   万元，主要原因是            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上级补助收入资金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%，比上年增加（减少）   万元，主要原因是            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财政专户管理资金   万元，占  %，比上年增加（减少）   万元，主要原因是            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事业收入   万元，占 %，比上年增加（减少）   万元，主要原因是            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事业单位经营收入   万元，占  %，比上年增加（减少）   万元，主要原因是            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其他收入    万元，占 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%，比上年增加（减少）   万元，主要原因是            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预算外收入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%，比上年增加（减少）   万元，主要原因是            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用事业基金弥补收支差额    万元，占  %，比上年增加（减少）   万元，主要原因是            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   万元，占  %，比上年增加（减少）   万元，主要原因是            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（按部门预算公开表二  部门收入总体情况表逐项说明</w:t>
      </w:r>
      <w:r>
        <w:rPr>
          <w:rFonts w:hint="eastAsia" w:ascii="仿宋_GB2312" w:eastAsia="仿宋_GB2312"/>
          <w:b/>
          <w:sz w:val="32"/>
          <w:szCs w:val="32"/>
        </w:rPr>
        <w:t>，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结合部门实际情况填写，多余科目应删除，政府性基金除外。）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三、关于*部门单位*年支出预算情况说明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*部门单位*年支出预算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   万元，占  %，比上年增加（减少）   万元，主要原因是            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   万元，占  %，比上年增加（减少）   万元，主要原因是           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（按部门预算公开表三  部门支出总体情况表进行说明。）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四、关于*部门*年财政拨款收支预算情况的总体说明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    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textAlignment w:val="auto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spacing w:val="-4"/>
          <w:kern w:val="0"/>
          <w:sz w:val="32"/>
          <w:szCs w:val="32"/>
        </w:rPr>
        <w:t>情况一：无政府性基金预算拨款的部门单位按以下格式填写。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textAlignment w:val="auto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spacing w:val="-4"/>
          <w:kern w:val="0"/>
          <w:sz w:val="32"/>
          <w:szCs w:val="32"/>
        </w:rPr>
        <w:t>情况二：有政府性基金预算拨款的部门单位按以下格式填写。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    万元，政府性基金预算拨款     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  万元，主要用于     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（按部门预算公开表四  财政拨款收支总体情况表功能分类款级科目逐项说明。）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五、关于*部门*年一般公共预算当年拨款情况说明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*部门*年一般公共预算拨款基本支出    万元，比上年执行数增加（减少）   万元，增长（下降）  %。主要原因是：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1.一般公共服务（类）</w:t>
      </w:r>
      <w:r>
        <w:rPr>
          <w:rFonts w:hint="eastAsia" w:ascii="楷体_GB2312" w:eastAsia="楷体_GB2312"/>
          <w:b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   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2.……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textAlignment w:val="auto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按照部门预算公开表五  一般公共预算支出情况表“一般公共预算支出”功能分类科目类级科目</w:t>
      </w:r>
      <w:r>
        <w:rPr>
          <w:rFonts w:hint="eastAsia" w:ascii="仿宋_GB2312" w:eastAsia="仿宋_GB2312"/>
          <w:b/>
          <w:sz w:val="32"/>
          <w:szCs w:val="32"/>
        </w:rPr>
        <w:t>逐项说明。）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1.例：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一般公共服务（类）财政事务（款）行政运行（项）: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*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比上年执行数增加（减少）    万元，增长（下降）   %，主要原因是：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（按照部门预算公开表二  部门收入总体情况表中“一般公共预算拨款”功能分类科目项级科目逐项说明。）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六、关于*部门*年一般公共预算基本支出情况说明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*部门*年一般公共预算基本支出      万元， 其中：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  万元，主要包括：基本工资、津贴补贴、奖金、伙食补助费、绩效工资、机关事业单位基本养老保险缴费、职业年金缴费、职工基本医疗保险缴费、公务员医疗补助缴费、其他社会保障缴费、住房公积金、医疗费、其他工资福利支出、离休费、退休费、退职（役）费、抚恤金、生活补助、救济费、医疗费补助、助学金、奖励金、个人农业生产补贴、其他对个人和家庭的补助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  万元，主要包括：办公费、印刷费、咨询费、手续费、水费、电费、邮电费、取暖费、物业管理费、差旅费、因公出国（境）费、维修（护）费、租赁费、会议费、培训费、公务接待费、专用材料费、被装购置费、专用燃料费、劳务费、委托业务费、工会经费、福利费、公务用车运行维护费、其他交通费用、税金及附加费用、其他商品和服务支出、办公设备购置、专用设备购置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（按部门预算公开表六  一般公共预算基本支出表中实际发生经济分类科目名称填写，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多余科目应删除）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七、关于*部门*年项目支出情况说明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textAlignment w:val="auto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关于*部门*年一般公共预算“三公”经费预算情况说明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*部门*年“三公”经费财政拨款预算数为    万元，其中：因公出国（境）费     万元，公务用车购置    万元，公务用车运行费    万元，公务接待费    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*年“三公”经费财政拨款预算比上年增加（减少）   万元，其中：因公出国（境）费增加（减少）   万元，主要原因是   ；公务用车购置费为0，未安排预算。[或公务用车购置费增加（减少）   万元，主要原因是    ]；公务用车运行费增加（减少）万元，主要原因是   ；公务接待费增加（减少）万元，主要原因是     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九、关于*部门*年政府性基金预算拨款情况说明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情况一：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在预算中未安排政府性基金预算的部门，必须公开空表，同时做以下说明：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*部门*年没有使用政府性基金预算拨款安排的支出，政府性基金预算支出情况表为空表。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情况二：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在预算中安排政府性基金预算的部门，应按以下格式公开：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*部门*年政府性基金支出预算支出  万元。与上年相比增加（减少）   万元，增长（减少）   %。主要原因是  。其中：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outlineLvl w:val="9"/>
        <w:rPr>
          <w:rFonts w:ascii="方正仿宋_GBK" w:eastAsia="方正仿宋_GBK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1．例：交通运输支出（类）车辆通行费及对应专项债务收入安排的支出（款）公路还贷（项）支出    万元，主要是用于       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outlineLvl w:val="9"/>
        <w:rPr>
          <w:rFonts w:ascii="方正仿宋_GBK" w:eastAsia="方正仿宋_GBK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 </w:t>
      </w:r>
      <w:r>
        <w:rPr>
          <w:rFonts w:hint="eastAsia" w:ascii="方正仿宋_GBK" w:eastAsia="方正仿宋_GBK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（按“部门预算公开表八 政府性基金预算支出情况表”中支出功能分类“项”级科目，结合部门实际情况分类填写。）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*年，*本级及下属  家行政单位、  家参公管理事业单位和  家事业单位的机关运行经费财政拨款预算     万元，比上年预算增加（减少）    万元，增长（下降）   %。主要原因是                  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*年，*部门及下属单位政府采购预算   万元，其中：政府采购货物预算     万元，政府采购工程预算     万元，政府采购服务预算       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*年度本部门面向中小企业预留政府采购项目预算金额   万元，其中：面向小微企业预留政府采购项目预算金额    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截至*年底，*部门及下属各预算单位占用使用国有资产总体情况为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    平方米，价值    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    辆，价值   万元；其中：一般公务用车  辆，价值   万元；执法执勤用车   辆，价值   万元；其他车辆  辆，价值   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  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   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  台（套），单位价值100万元以上大型设备  台（套）。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*年部门预算未安排购置车辆经费（或安排购置车辆经费  万元），安排购置50万元以上大型设备  台（套），单位价值100万元以上大型设备  台（套）。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*年度，本年度实行绩效管理的项目   个，涉及预算金额     万元。具体情况见下表（按项目分别填报）：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ind w:firstLine="2249" w:firstLineChars="700"/>
        <w:jc w:val="both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项 目 支 出 绩 效 目 标 表</w:t>
      </w:r>
    </w:p>
    <w:tbl>
      <w:tblPr>
        <w:tblStyle w:val="10"/>
        <w:tblW w:w="85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508"/>
        <w:gridCol w:w="781"/>
        <w:gridCol w:w="1020"/>
        <w:gridCol w:w="553"/>
        <w:gridCol w:w="460"/>
        <w:gridCol w:w="1003"/>
        <w:gridCol w:w="15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684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tabs>
          <w:tab w:val="left" w:pos="223"/>
        </w:tabs>
        <w:jc w:val="both"/>
        <w:rPr>
          <w:lang w:val="en-US" w:eastAsia="zh-CN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50" w:lineRule="exact"/>
        <w:ind w:firstLine="640"/>
        <w:rPr>
          <w:rFonts w:ascii="仿宋_GB2312" w:eastAsia="仿宋_GB2312"/>
          <w:b/>
          <w:szCs w:val="20"/>
        </w:rPr>
      </w:pPr>
      <w:r>
        <w:rPr>
          <w:rFonts w:hint="eastAsia" w:ascii="仿宋_GB2312" w:eastAsia="仿宋_GB2312"/>
          <w:b/>
          <w:sz w:val="32"/>
          <w:szCs w:val="32"/>
        </w:rPr>
        <w:t>（各部门单位应根据部门预算公开表中对应的经费情况进行名词解释，对未涉及的名词应删除）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*部门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inside;mso-position-horizontal-relative:margin;mso-wrap-style:none;z-index:25166643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270"/>
        <w:tab w:val="right" w:pos="9020"/>
      </w:tabs>
      <w:jc w:val="left"/>
      <w:rPr>
        <w:rFonts w:ascii="宋体" w:hAnsi="宋体" w:eastAsia="宋体"/>
        <w:sz w:val="28"/>
        <w:szCs w:val="28"/>
      </w:rPr>
    </w:pPr>
    <w:r>
      <w:rPr>
        <w:sz w:val="2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t>- 2 -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sz w:val="28"/>
      </w:rPr>
      <w:pict>
        <v:shape id="_x0000_s4099" o:spid="_x0000_s4099" o:spt="202" type="#_x0000_t202" style="position:absolute;left:0pt;margin-top:0pt;height:144pt;width:144pt;mso-position-horizontal:inside;mso-position-horizontal-relative:margin;mso-wrap-style:none;z-index:25166745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  <w:r>
      <w:rPr>
        <w:sz w:val="28"/>
      </w:rPr>
      <w:pict>
        <v:shape id="_x0000_s4100" o:spid="_x0000_s4100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  <w:r>
      <w:rPr>
        <w:sz w:val="28"/>
      </w:rPr>
      <w:pict>
        <v:shape id="_x0000_s4101" o:spid="_x0000_s4101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  <w:r>
      <w:rPr>
        <w:sz w:val="28"/>
      </w:rPr>
      <w:pict>
        <v:shape id="_x0000_s4102" o:spid="_x0000_s4102" o:spt="202" type="#_x0000_t202" style="position:absolute;left:0pt;margin-top:0pt;height:144pt;width:144pt;mso-position-horizontal:inside;mso-position-horizontal-relative:margin;mso-wrap-style:none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  <w:r>
      <w:rPr>
        <w:sz w:val="28"/>
      </w:rPr>
      <w:pict>
        <v:shape id="_x0000_s4103" o:spid="_x0000_s4103" o:spt="202" type="#_x0000_t202" style="position:absolute;left:0pt;margin-top:0pt;height:144pt;width:144pt;mso-position-horizontal:inside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  <w:r>
      <w:rPr>
        <w:sz w:val="28"/>
      </w:rPr>
      <w:pict>
        <v:shape id="_x0000_s4104" o:spid="_x0000_s4104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  <w:r>
      <w:rPr>
        <w:rFonts w:hint="eastAsia" w:ascii="宋体" w:hAnsi="宋体" w:eastAsia="宋体"/>
        <w:sz w:val="28"/>
        <w:szCs w:val="28"/>
        <w:lang w:eastAsia="zh-CN"/>
      </w:rPr>
      <w:tab/>
    </w:r>
    <w:r>
      <w:rPr>
        <w:rFonts w:hint="eastAsia" w:ascii="宋体" w:hAnsi="宋体" w:eastAsia="宋体"/>
        <w:sz w:val="28"/>
        <w:szCs w:val="28"/>
        <w:lang w:eastAsia="zh-CN"/>
      </w:rPr>
      <w:tab/>
    </w:r>
    <w:r>
      <w:rPr>
        <w:rFonts w:hint="eastAsia" w:ascii="宋体" w:hAnsi="宋体" w:eastAsia="宋体"/>
        <w:sz w:val="28"/>
        <w:szCs w:val="28"/>
        <w:lang w:eastAsia="zh-CN"/>
      </w:rPr>
      <w:tab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7B4D94"/>
    <w:multiLevelType w:val="singleLevel"/>
    <w:tmpl w:val="947B4D94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B5144"/>
    <w:rsid w:val="002B5144"/>
    <w:rsid w:val="00325B17"/>
    <w:rsid w:val="00FC6ABD"/>
    <w:rsid w:val="0639663C"/>
    <w:rsid w:val="06FF35F2"/>
    <w:rsid w:val="084C5D66"/>
    <w:rsid w:val="0C8C60CF"/>
    <w:rsid w:val="0DA91F22"/>
    <w:rsid w:val="11A101D9"/>
    <w:rsid w:val="1A1A38D6"/>
    <w:rsid w:val="1CDF4737"/>
    <w:rsid w:val="1DB92521"/>
    <w:rsid w:val="267A5177"/>
    <w:rsid w:val="26CB6ED4"/>
    <w:rsid w:val="29000A2B"/>
    <w:rsid w:val="2A6D49F3"/>
    <w:rsid w:val="313B0512"/>
    <w:rsid w:val="3B244F1B"/>
    <w:rsid w:val="3E7666BD"/>
    <w:rsid w:val="40A63BE9"/>
    <w:rsid w:val="46331E24"/>
    <w:rsid w:val="49D31B01"/>
    <w:rsid w:val="4A95166C"/>
    <w:rsid w:val="544A3187"/>
    <w:rsid w:val="58C317A5"/>
    <w:rsid w:val="5FA0312C"/>
    <w:rsid w:val="684E4258"/>
    <w:rsid w:val="742A464C"/>
    <w:rsid w:val="758E2730"/>
    <w:rsid w:val="785D27EA"/>
    <w:rsid w:val="78B3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uiPriority w:val="0"/>
  </w:style>
  <w:style w:type="table" w:styleId="11">
    <w:name w:val="Table Grid"/>
    <w:basedOn w:val="10"/>
    <w:qFormat/>
    <w:uiPriority w:val="59"/>
    <w:pPr>
      <w:spacing w:line="240" w:lineRule="auto"/>
      <w:jc w:val="left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脚 Char"/>
    <w:basedOn w:val="7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7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7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  <customShpInfo spid="_x0000_s4098" textRotate="1"/>
    <customShpInfo spid="_x0000_s4099" textRotate="1"/>
    <customShpInfo spid="_x0000_s4100" textRotate="1"/>
    <customShpInfo spid="_x0000_s4101" textRotate="1"/>
    <customShpInfo spid="_x0000_s4102" textRotate="1"/>
    <customShpInfo spid="_x0000_s4103" textRotate="1"/>
    <customShpInfo spid="_x0000_s4104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1575</Words>
  <Characters>8978</Characters>
  <Lines>74</Lines>
  <Paragraphs>21</Paragraphs>
  <ScaleCrop>false</ScaleCrop>
  <LinksUpToDate>false</LinksUpToDate>
  <CharactersWithSpaces>10532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Administrator</cp:lastModifiedBy>
  <cp:lastPrinted>2019-01-20T11:19:00Z</cp:lastPrinted>
  <dcterms:modified xsi:type="dcterms:W3CDTF">2019-01-25T04:16:57Z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