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 w:eastAsia="仿宋_GB2312"/>
          <w:sz w:val="32"/>
          <w:szCs w:val="32"/>
          <w:highlight w:val="none"/>
        </w:rPr>
      </w:pPr>
    </w:p>
    <w:p>
      <w:pPr>
        <w:rPr>
          <w:rFonts w:ascii="宋体" w:hAnsi="宋体" w:cs="宋体"/>
          <w:b/>
          <w:bCs/>
          <w:kern w:val="0"/>
          <w:sz w:val="44"/>
          <w:szCs w:val="44"/>
          <w:highlight w:val="none"/>
        </w:rPr>
      </w:pPr>
      <w:bookmarkStart w:id="0" w:name="csmb"/>
      <w:r>
        <w:rPr>
          <w:rFonts w:hint="eastAsia" w:ascii="楷体_GB2312" w:hAnsi="黑体" w:eastAsia="楷体_GB2312"/>
          <w:spacing w:val="-30000"/>
          <w:w w:val="1"/>
          <w:sz w:val="10"/>
          <w:szCs w:val="10"/>
          <w:highlight w:val="none"/>
        </w:rPr>
        <w:t>厅领导，本厅有关处室</w:t>
      </w:r>
      <w:bookmarkEnd w:id="0"/>
      <w:bookmarkStart w:id="1" w:name="yinfadanwei"/>
      <w:r>
        <w:rPr>
          <w:rFonts w:hint="eastAsia" w:ascii="楷体_GB2312" w:hAnsi="黑体" w:eastAsia="楷体_GB2312"/>
          <w:spacing w:val="-30000"/>
          <w:w w:val="1"/>
          <w:sz w:val="10"/>
          <w:szCs w:val="10"/>
          <w:highlight w:val="none"/>
        </w:rPr>
        <w:t>新疆维吾尔自治区财政厅</w:t>
      </w:r>
      <w:bookmarkEnd w:id="1"/>
      <w:r>
        <w:rPr>
          <w:rFonts w:hint="eastAsia" w:ascii="黑体" w:hAnsi="黑体" w:eastAsia="黑体"/>
          <w:sz w:val="32"/>
          <w:szCs w:val="32"/>
          <w:highlight w:val="none"/>
        </w:rPr>
        <w:t>附件：</w:t>
      </w:r>
    </w:p>
    <w:p>
      <w:pPr>
        <w:rPr>
          <w:rFonts w:ascii="宋体" w:hAnsi="宋体" w:cs="宋体"/>
          <w:b/>
          <w:bCs/>
          <w:kern w:val="0"/>
          <w:sz w:val="44"/>
          <w:szCs w:val="44"/>
          <w:highlight w:val="none"/>
        </w:rPr>
      </w:pPr>
    </w:p>
    <w:p>
      <w:pPr>
        <w:rPr>
          <w:rFonts w:ascii="宋体" w:hAnsi="宋体" w:cs="宋体"/>
          <w:b/>
          <w:bCs/>
          <w:kern w:val="0"/>
          <w:sz w:val="44"/>
          <w:szCs w:val="44"/>
          <w:highlight w:val="none"/>
        </w:rPr>
      </w:pPr>
    </w:p>
    <w:p>
      <w:pPr>
        <w:rPr>
          <w:rFonts w:ascii="宋体" w:hAnsi="宋体" w:cs="宋体"/>
          <w:b/>
          <w:bCs/>
          <w:kern w:val="0"/>
          <w:sz w:val="44"/>
          <w:szCs w:val="44"/>
          <w:highlight w:val="none"/>
        </w:rPr>
      </w:pPr>
    </w:p>
    <w:p>
      <w:pPr>
        <w:rPr>
          <w:rFonts w:ascii="黑体" w:hAnsi="黑体" w:eastAsia="黑体"/>
          <w:sz w:val="32"/>
          <w:szCs w:val="32"/>
          <w:highlight w:val="none"/>
        </w:rPr>
      </w:pPr>
    </w:p>
    <w:p>
      <w:pPr>
        <w:rPr>
          <w:rFonts w:ascii="宋体" w:hAnsi="宋体" w:cs="宋体"/>
          <w:b/>
          <w:bCs/>
          <w:kern w:val="0"/>
          <w:sz w:val="44"/>
          <w:szCs w:val="44"/>
          <w:highlight w:val="none"/>
        </w:rPr>
      </w:pPr>
    </w:p>
    <w:p>
      <w:pPr>
        <w:widowControl/>
        <w:spacing w:before="100" w:beforeAutospacing="1" w:after="100" w:afterAutospacing="1"/>
        <w:jc w:val="center"/>
        <w:outlineLvl w:val="1"/>
        <w:rPr>
          <w:rFonts w:ascii="方正小标宋_GBK" w:hAnsi="宋体" w:eastAsia="方正小标宋_GBK"/>
          <w:kern w:val="0"/>
          <w:sz w:val="44"/>
          <w:szCs w:val="44"/>
          <w:highlight w:val="none"/>
        </w:rPr>
      </w:pPr>
      <w:r>
        <w:rPr>
          <w:rFonts w:hint="eastAsia" w:ascii="方正小标宋_GBK" w:hAnsi="宋体" w:eastAsia="方正小标宋_GBK"/>
          <w:kern w:val="0"/>
          <w:sz w:val="44"/>
          <w:szCs w:val="44"/>
          <w:highlight w:val="none"/>
        </w:rPr>
        <w:t>克孜勒苏柯尔克孜自治州驻昌吉干休所</w:t>
      </w:r>
    </w:p>
    <w:p>
      <w:pPr>
        <w:widowControl/>
        <w:spacing w:before="100" w:beforeAutospacing="1" w:after="100" w:afterAutospacing="1"/>
        <w:jc w:val="center"/>
        <w:outlineLvl w:val="1"/>
        <w:rPr>
          <w:rFonts w:ascii="方正小标宋_GBK" w:hAnsi="宋体" w:eastAsia="方正小标宋_GBK"/>
          <w:kern w:val="0"/>
          <w:sz w:val="44"/>
          <w:szCs w:val="44"/>
          <w:highlight w:val="none"/>
        </w:rPr>
      </w:pPr>
      <w:r>
        <w:rPr>
          <w:rFonts w:hint="eastAsia" w:ascii="方正小标宋_GBK" w:hAnsi="宋体" w:eastAsia="方正小标宋_GBK"/>
          <w:kern w:val="0"/>
          <w:sz w:val="44"/>
          <w:szCs w:val="44"/>
          <w:highlight w:val="none"/>
        </w:rPr>
        <w:t>2021年预算公开</w:t>
      </w:r>
    </w:p>
    <w:p>
      <w:pPr>
        <w:widowControl/>
        <w:spacing w:before="100" w:beforeAutospacing="1" w:after="100" w:afterAutospacing="1"/>
        <w:jc w:val="center"/>
        <w:outlineLvl w:val="1"/>
        <w:rPr>
          <w:rFonts w:ascii="宋体" w:hAnsi="宋体"/>
          <w:b/>
          <w:kern w:val="0"/>
          <w:sz w:val="44"/>
          <w:szCs w:val="44"/>
          <w:highlight w:val="none"/>
        </w:rPr>
      </w:pPr>
    </w:p>
    <w:p>
      <w:pPr>
        <w:widowControl/>
        <w:spacing w:before="100" w:beforeAutospacing="1" w:after="100" w:afterAutospacing="1"/>
        <w:jc w:val="center"/>
        <w:outlineLvl w:val="1"/>
        <w:rPr>
          <w:rFonts w:ascii="宋体" w:hAnsi="宋体"/>
          <w:b/>
          <w:kern w:val="0"/>
          <w:sz w:val="44"/>
          <w:szCs w:val="44"/>
          <w:highlight w:val="none"/>
        </w:rPr>
      </w:pPr>
    </w:p>
    <w:p>
      <w:pPr>
        <w:widowControl/>
        <w:spacing w:before="100" w:beforeAutospacing="1" w:after="100" w:afterAutospacing="1"/>
        <w:jc w:val="center"/>
        <w:outlineLvl w:val="1"/>
        <w:rPr>
          <w:rFonts w:ascii="宋体" w:hAnsi="宋体"/>
          <w:b/>
          <w:kern w:val="0"/>
          <w:sz w:val="44"/>
          <w:szCs w:val="44"/>
          <w:highlight w:val="none"/>
        </w:rPr>
      </w:pPr>
    </w:p>
    <w:p>
      <w:pPr>
        <w:widowControl/>
        <w:spacing w:before="100" w:beforeAutospacing="1" w:after="100" w:afterAutospacing="1"/>
        <w:jc w:val="center"/>
        <w:outlineLvl w:val="1"/>
        <w:rPr>
          <w:rFonts w:ascii="宋体" w:hAnsi="宋体"/>
          <w:b/>
          <w:kern w:val="0"/>
          <w:sz w:val="44"/>
          <w:szCs w:val="44"/>
          <w:highlight w:val="none"/>
        </w:rPr>
      </w:pPr>
    </w:p>
    <w:p>
      <w:pPr>
        <w:widowControl/>
        <w:spacing w:before="100" w:beforeAutospacing="1" w:after="100" w:afterAutospacing="1"/>
        <w:jc w:val="center"/>
        <w:outlineLvl w:val="1"/>
        <w:rPr>
          <w:rFonts w:ascii="宋体" w:hAnsi="宋体"/>
          <w:b/>
          <w:kern w:val="0"/>
          <w:sz w:val="44"/>
          <w:szCs w:val="44"/>
          <w:highlight w:val="none"/>
        </w:rPr>
      </w:pPr>
    </w:p>
    <w:p>
      <w:pPr>
        <w:widowControl/>
        <w:spacing w:before="100" w:beforeAutospacing="1" w:after="100" w:afterAutospacing="1"/>
        <w:jc w:val="center"/>
        <w:outlineLvl w:val="1"/>
        <w:rPr>
          <w:rFonts w:ascii="宋体" w:hAnsi="宋体"/>
          <w:b/>
          <w:kern w:val="0"/>
          <w:sz w:val="44"/>
          <w:szCs w:val="44"/>
          <w:highlight w:val="none"/>
        </w:rPr>
      </w:pPr>
    </w:p>
    <w:p>
      <w:pPr>
        <w:widowControl/>
        <w:spacing w:before="100" w:beforeAutospacing="1" w:after="100" w:afterAutospacing="1"/>
        <w:jc w:val="center"/>
        <w:outlineLvl w:val="1"/>
        <w:rPr>
          <w:rFonts w:ascii="宋体" w:hAnsi="宋体"/>
          <w:b/>
          <w:kern w:val="0"/>
          <w:sz w:val="44"/>
          <w:szCs w:val="44"/>
          <w:highlight w:val="none"/>
        </w:rPr>
      </w:pPr>
    </w:p>
    <w:p>
      <w:pPr>
        <w:widowControl/>
        <w:spacing w:before="100" w:beforeAutospacing="1" w:after="100" w:afterAutospacing="1"/>
        <w:jc w:val="center"/>
        <w:outlineLvl w:val="1"/>
        <w:rPr>
          <w:rFonts w:ascii="宋体" w:hAnsi="宋体"/>
          <w:b/>
          <w:kern w:val="0"/>
          <w:sz w:val="44"/>
          <w:szCs w:val="44"/>
          <w:highlight w:val="none"/>
        </w:rPr>
      </w:pPr>
    </w:p>
    <w:p>
      <w:pPr>
        <w:widowControl/>
        <w:spacing w:line="440" w:lineRule="exact"/>
        <w:jc w:val="center"/>
        <w:outlineLvl w:val="1"/>
        <w:rPr>
          <w:rFonts w:ascii="黑体" w:hAnsi="黑体" w:eastAsia="黑体"/>
          <w:kern w:val="0"/>
          <w:sz w:val="36"/>
          <w:szCs w:val="32"/>
          <w:highlight w:val="none"/>
        </w:rPr>
      </w:pPr>
      <w:r>
        <w:rPr>
          <w:rFonts w:hint="eastAsia" w:ascii="黑体" w:hAnsi="黑体" w:eastAsia="黑体"/>
          <w:kern w:val="0"/>
          <w:sz w:val="36"/>
          <w:szCs w:val="32"/>
          <w:highlight w:val="none"/>
        </w:rPr>
        <w:t>目 录</w:t>
      </w:r>
    </w:p>
    <w:p>
      <w:pPr>
        <w:widowControl/>
        <w:spacing w:line="440" w:lineRule="exact"/>
        <w:ind w:firstLine="883" w:firstLineChars="200"/>
        <w:outlineLvl w:val="1"/>
        <w:rPr>
          <w:rFonts w:ascii="宋体" w:hAnsi="宋体"/>
          <w:b/>
          <w:kern w:val="0"/>
          <w:sz w:val="44"/>
          <w:szCs w:val="44"/>
          <w:highlight w:val="none"/>
        </w:rPr>
      </w:pPr>
    </w:p>
    <w:p>
      <w:pPr>
        <w:widowControl/>
        <w:spacing w:line="440" w:lineRule="exact"/>
        <w:ind w:firstLine="643" w:firstLineChars="200"/>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第一部分  克孜勒苏柯尔克孜自治州驻昌吉干休所概况</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一、主要职能</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二、机构设置及人员情况</w:t>
      </w:r>
    </w:p>
    <w:p>
      <w:pPr>
        <w:widowControl/>
        <w:spacing w:line="440" w:lineRule="exact"/>
        <w:ind w:firstLine="643" w:firstLineChars="200"/>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第二部分  2021年部门（单位）预算公开表</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一、部门（单位）收支总体情况表</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二、部门（单位）收入总体情况表</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三、部门（单位）支出总体情况表</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四、财政拨款收支总体情况表</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五、一般公共预算支出情况表</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六、一般公共预算基本支出情况表</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七、一般公共预算</w:t>
      </w:r>
      <w:r>
        <w:rPr>
          <w:rFonts w:hint="eastAsia" w:ascii="仿宋_GB2312" w:hAnsi="宋体" w:eastAsia="仿宋_GB2312"/>
          <w:bCs/>
          <w:kern w:val="0"/>
          <w:sz w:val="32"/>
          <w:szCs w:val="32"/>
          <w:highlight w:val="none"/>
        </w:rPr>
        <w:t>项目支出情况表</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八、一般公共预算“三公”经费支出情况表</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九、政府性基金预算支出情况表</w:t>
      </w:r>
    </w:p>
    <w:p>
      <w:pPr>
        <w:widowControl/>
        <w:spacing w:line="440" w:lineRule="exact"/>
        <w:ind w:firstLine="643" w:firstLineChars="200"/>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第三部分 2021年部门（单位）预算情况说明</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一、关于克孜勒苏柯尔克孜自治州驻昌吉干休所2021年收支预算情况的总体说明</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二、关于克孜勒苏柯尔克孜自治州驻昌吉干休所2021年收入预算情况说明</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三、关于克孜勒苏柯尔克孜自治州驻昌吉干休所2021年支出预算情况说明</w:t>
      </w:r>
    </w:p>
    <w:p>
      <w:pPr>
        <w:widowControl/>
        <w:spacing w:line="440" w:lineRule="exact"/>
        <w:ind w:firstLine="640" w:firstLineChars="200"/>
        <w:outlineLvl w:val="1"/>
        <w:rPr>
          <w:rFonts w:ascii="仿宋_GB2312" w:hAnsi="宋体" w:eastAsia="仿宋_GB2312"/>
          <w:bCs/>
          <w:kern w:val="0"/>
          <w:sz w:val="32"/>
          <w:szCs w:val="32"/>
          <w:highlight w:val="none"/>
        </w:rPr>
      </w:pPr>
      <w:r>
        <w:rPr>
          <w:rFonts w:hint="eastAsia" w:ascii="仿宋_GB2312" w:hAnsi="宋体" w:eastAsia="仿宋_GB2312"/>
          <w:bCs/>
          <w:kern w:val="0"/>
          <w:sz w:val="32"/>
          <w:szCs w:val="32"/>
          <w:highlight w:val="none"/>
        </w:rPr>
        <w:t>四、关于</w:t>
      </w:r>
      <w:r>
        <w:rPr>
          <w:rFonts w:hint="eastAsia" w:ascii="仿宋_GB2312" w:hAnsi="宋体" w:eastAsia="仿宋_GB2312"/>
          <w:kern w:val="0"/>
          <w:sz w:val="32"/>
          <w:szCs w:val="32"/>
          <w:highlight w:val="none"/>
        </w:rPr>
        <w:t>克孜勒苏柯尔克孜自治州驻昌吉干休所2021</w:t>
      </w:r>
      <w:r>
        <w:rPr>
          <w:rFonts w:hint="eastAsia" w:ascii="仿宋_GB2312" w:hAnsi="宋体" w:eastAsia="仿宋_GB2312"/>
          <w:bCs/>
          <w:kern w:val="0"/>
          <w:sz w:val="32"/>
          <w:szCs w:val="32"/>
          <w:highlight w:val="none"/>
        </w:rPr>
        <w:t>年财政拨款收支预算情况的总体说明</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五、关于克孜勒苏柯尔克孜自治州驻昌吉干休所2021年一般公共预算当年拨款情况说明</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六、关于克孜勒苏柯尔克孜自治州驻昌吉干休所2021年一般公共预算基本支出情况说明</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七、关于克孜勒苏柯尔克孜自治州驻昌吉干休所2021年一般公共预算项目支出情况说明</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八、关于克孜勒苏柯尔克孜自治州驻昌吉干休所2021年一般公共预算“三公”经费预算情况说明</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九、关于克孜勒苏柯尔克孜自治州驻昌吉干休所2021年政府性基金预算拨款情况说明</w:t>
      </w:r>
    </w:p>
    <w:p>
      <w:pPr>
        <w:widowControl/>
        <w:spacing w:line="440" w:lineRule="exact"/>
        <w:ind w:firstLine="640" w:firstLineChars="200"/>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十、其他重要事项的情况说明</w:t>
      </w:r>
    </w:p>
    <w:p>
      <w:pPr>
        <w:widowControl/>
        <w:spacing w:line="440" w:lineRule="exact"/>
        <w:ind w:firstLine="643" w:firstLineChars="200"/>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第四部分  名词解释</w:t>
      </w: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p>
    <w:p>
      <w:pPr>
        <w:widowControl/>
        <w:jc w:val="center"/>
        <w:outlineLvl w:val="1"/>
        <w:rPr>
          <w:rFonts w:ascii="黑体" w:hAnsi="黑体" w:eastAsia="黑体"/>
          <w:kern w:val="0"/>
          <w:sz w:val="32"/>
          <w:szCs w:val="32"/>
          <w:highlight w:val="none"/>
        </w:rPr>
      </w:pPr>
      <w:r>
        <w:rPr>
          <w:rFonts w:hint="eastAsia" w:ascii="黑体" w:hAnsi="黑体" w:eastAsia="黑体"/>
          <w:kern w:val="0"/>
          <w:sz w:val="32"/>
          <w:szCs w:val="32"/>
          <w:highlight w:val="none"/>
        </w:rPr>
        <w:t>第一部分  克孜勒苏柯尔克孜自治州驻昌吉干休所概况</w:t>
      </w:r>
    </w:p>
    <w:p>
      <w:pPr>
        <w:widowControl/>
        <w:jc w:val="center"/>
        <w:outlineLvl w:val="1"/>
        <w:rPr>
          <w:rFonts w:ascii="宋体" w:hAnsi="宋体"/>
          <w:b/>
          <w:kern w:val="0"/>
          <w:sz w:val="32"/>
          <w:szCs w:val="32"/>
          <w:highlight w:val="none"/>
        </w:rPr>
      </w:pPr>
    </w:p>
    <w:p>
      <w:pPr>
        <w:widowControl/>
        <w:spacing w:line="560" w:lineRule="exact"/>
        <w:jc w:val="left"/>
        <w:rPr>
          <w:rFonts w:ascii="黑体" w:hAnsi="黑体" w:eastAsia="黑体" w:cs="宋体"/>
          <w:bCs/>
          <w:kern w:val="0"/>
          <w:sz w:val="32"/>
          <w:szCs w:val="32"/>
          <w:highlight w:val="none"/>
        </w:rPr>
      </w:pPr>
      <w:r>
        <w:rPr>
          <w:rFonts w:hint="eastAsia" w:ascii="仿宋_GB2312" w:hAnsi="宋体" w:eastAsia="仿宋_GB2312" w:cs="宋体"/>
          <w:kern w:val="0"/>
          <w:sz w:val="32"/>
          <w:szCs w:val="32"/>
          <w:highlight w:val="none"/>
        </w:rPr>
        <w:t xml:space="preserve">　  </w:t>
      </w:r>
      <w:r>
        <w:rPr>
          <w:rFonts w:hint="eastAsia" w:ascii="黑体" w:hAnsi="黑体" w:eastAsia="黑体" w:cs="宋体"/>
          <w:bCs/>
          <w:kern w:val="0"/>
          <w:sz w:val="32"/>
          <w:szCs w:val="32"/>
          <w:highlight w:val="none"/>
        </w:rPr>
        <w:t>一、主要职能</w:t>
      </w:r>
    </w:p>
    <w:p>
      <w:pPr>
        <w:widowControl/>
        <w:spacing w:line="560" w:lineRule="exact"/>
        <w:jc w:val="left"/>
        <w:rPr>
          <w:rFonts w:ascii="仿宋_GB2312" w:hAnsi="黑体" w:eastAsia="仿宋_GB2312" w:cs="宋体"/>
          <w:bCs/>
          <w:kern w:val="0"/>
          <w:sz w:val="32"/>
          <w:szCs w:val="32"/>
          <w:highlight w:val="none"/>
        </w:rPr>
      </w:pPr>
      <w:r>
        <w:rPr>
          <w:rFonts w:hint="eastAsia" w:ascii="仿宋_GB2312" w:hAnsi="黑体" w:eastAsia="仿宋_GB2312" w:cs="宋体"/>
          <w:bCs/>
          <w:kern w:val="0"/>
          <w:sz w:val="32"/>
          <w:szCs w:val="32"/>
          <w:highlight w:val="none"/>
        </w:rPr>
        <w:t xml:space="preserve">   </w:t>
      </w:r>
      <w:r>
        <w:rPr>
          <w:rFonts w:hint="eastAsia" w:ascii="仿宋" w:hAnsi="仿宋" w:eastAsia="仿宋" w:cs="仿宋"/>
          <w:bCs/>
          <w:kern w:val="0"/>
          <w:sz w:val="32"/>
          <w:szCs w:val="32"/>
          <w:highlight w:val="none"/>
        </w:rPr>
        <w:t>克孜勒苏柯尔克孜自治州驻昌吉干休所全年预算经费152.66万元，</w:t>
      </w:r>
      <w:r>
        <w:rPr>
          <w:rFonts w:hint="eastAsia" w:ascii="仿宋" w:hAnsi="仿宋" w:eastAsia="仿宋" w:cs="仿宋"/>
          <w:bCs/>
          <w:sz w:val="32"/>
          <w:szCs w:val="32"/>
          <w:highlight w:val="none"/>
        </w:rPr>
        <w:t>主要是为克州离退休老干部做好服务、后勤保障工作，使老干部退休后生活愉快，度过幸福的晚年生活。</w:t>
      </w:r>
    </w:p>
    <w:p>
      <w:pPr>
        <w:widowControl/>
        <w:spacing w:line="560" w:lineRule="exact"/>
        <w:jc w:val="left"/>
        <w:rPr>
          <w:rFonts w:ascii="黑体" w:hAnsi="黑体" w:eastAsia="黑体" w:cs="宋体"/>
          <w:bCs/>
          <w:kern w:val="0"/>
          <w:sz w:val="32"/>
          <w:szCs w:val="32"/>
          <w:highlight w:val="none"/>
        </w:rPr>
      </w:pPr>
      <w:r>
        <w:rPr>
          <w:rFonts w:hint="eastAsia" w:ascii="仿宋_GB2312" w:hAnsi="宋体" w:eastAsia="仿宋_GB2312" w:cs="宋体"/>
          <w:kern w:val="0"/>
          <w:sz w:val="32"/>
          <w:szCs w:val="32"/>
          <w:highlight w:val="none"/>
        </w:rPr>
        <w:t xml:space="preserve">　  </w:t>
      </w:r>
      <w:r>
        <w:rPr>
          <w:rFonts w:hint="eastAsia" w:ascii="黑体" w:hAnsi="黑体" w:eastAsia="黑体" w:cs="宋体"/>
          <w:bCs/>
          <w:kern w:val="0"/>
          <w:sz w:val="32"/>
          <w:szCs w:val="32"/>
          <w:highlight w:val="none"/>
        </w:rPr>
        <w:t>二、机构设置及人员情况</w:t>
      </w:r>
    </w:p>
    <w:p>
      <w:pPr>
        <w:widowControl/>
        <w:spacing w:line="560" w:lineRule="exact"/>
        <w:ind w:firstLine="64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克孜勒苏柯尔克孜自治州驻昌吉干休所</w:t>
      </w:r>
      <w:r>
        <w:rPr>
          <w:rFonts w:hint="eastAsia" w:ascii="仿宋_GB2312" w:hAnsi="黑体" w:eastAsia="仿宋_GB2312" w:cs="宋体"/>
          <w:bCs/>
          <w:kern w:val="0"/>
          <w:sz w:val="32"/>
          <w:szCs w:val="32"/>
          <w:highlight w:val="none"/>
        </w:rPr>
        <w:t>无下属预算单位，下设0个</w:t>
      </w:r>
      <w:r>
        <w:rPr>
          <w:rFonts w:hint="eastAsia" w:ascii="仿宋_GB2312" w:hAnsi="黑体" w:eastAsia="仿宋_GB2312" w:cs="宋体"/>
          <w:bCs/>
          <w:kern w:val="0"/>
          <w:sz w:val="32"/>
          <w:szCs w:val="32"/>
          <w:highlight w:val="none"/>
          <w:lang w:eastAsia="zh-CN"/>
        </w:rPr>
        <w:t>科室</w:t>
      </w:r>
      <w:r>
        <w:rPr>
          <w:rFonts w:hint="eastAsia" w:ascii="仿宋_GB2312" w:hAnsi="黑体" w:eastAsia="仿宋_GB2312" w:cs="宋体"/>
          <w:bCs/>
          <w:kern w:val="0"/>
          <w:sz w:val="32"/>
          <w:szCs w:val="32"/>
          <w:highlight w:val="none"/>
        </w:rPr>
        <w:t>，分别是：</w:t>
      </w:r>
      <w:r>
        <w:rPr>
          <w:rFonts w:hint="eastAsia" w:ascii="仿宋_GB2312" w:hAnsi="宋体" w:eastAsia="仿宋_GB2312" w:cs="宋体"/>
          <w:kern w:val="0"/>
          <w:sz w:val="32"/>
          <w:szCs w:val="32"/>
          <w:highlight w:val="none"/>
        </w:rPr>
        <w:t>无。</w:t>
      </w:r>
    </w:p>
    <w:p>
      <w:pPr>
        <w:widowControl/>
        <w:spacing w:line="560" w:lineRule="exact"/>
        <w:ind w:firstLine="64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克孜勒苏柯尔克孜自治州驻昌吉干休所单位编制数15 ，实有人数15人，其中：在职8人，增加0人</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退休7人，增加0人；离休0人，增加0人。</w:t>
      </w:r>
    </w:p>
    <w:p>
      <w:pPr>
        <w:widowControl/>
        <w:spacing w:line="560" w:lineRule="exact"/>
        <w:jc w:val="left"/>
        <w:rPr>
          <w:rFonts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 xml:space="preserve"> </w:t>
      </w:r>
    </w:p>
    <w:p>
      <w:pPr>
        <w:widowControl/>
        <w:spacing w:line="560" w:lineRule="exact"/>
        <w:jc w:val="left"/>
        <w:rPr>
          <w:rFonts w:ascii="仿宋_GB2312" w:hAnsi="宋体" w:eastAsia="仿宋_GB2312" w:cs="宋体"/>
          <w:b/>
          <w:kern w:val="0"/>
          <w:sz w:val="32"/>
          <w:szCs w:val="32"/>
          <w:highlight w:val="none"/>
        </w:rPr>
      </w:pPr>
    </w:p>
    <w:p>
      <w:pPr>
        <w:widowControl/>
        <w:spacing w:line="560" w:lineRule="exact"/>
        <w:jc w:val="left"/>
        <w:rPr>
          <w:rFonts w:ascii="仿宋_GB2312" w:hAnsi="宋体" w:eastAsia="仿宋_GB2312" w:cs="宋体"/>
          <w:b/>
          <w:kern w:val="0"/>
          <w:sz w:val="32"/>
          <w:szCs w:val="32"/>
          <w:highlight w:val="none"/>
        </w:rPr>
      </w:pPr>
    </w:p>
    <w:p>
      <w:pPr>
        <w:widowControl/>
        <w:spacing w:line="560" w:lineRule="exact"/>
        <w:jc w:val="left"/>
        <w:rPr>
          <w:rFonts w:ascii="仿宋_GB2312" w:hAnsi="宋体" w:eastAsia="仿宋_GB2312" w:cs="宋体"/>
          <w:b/>
          <w:kern w:val="0"/>
          <w:sz w:val="32"/>
          <w:szCs w:val="32"/>
          <w:highlight w:val="none"/>
        </w:rPr>
      </w:pPr>
    </w:p>
    <w:p>
      <w:pPr>
        <w:widowControl/>
        <w:spacing w:line="560" w:lineRule="exact"/>
        <w:jc w:val="left"/>
        <w:rPr>
          <w:rFonts w:ascii="仿宋_GB2312" w:hAnsi="宋体" w:eastAsia="仿宋_GB2312" w:cs="宋体"/>
          <w:b/>
          <w:kern w:val="0"/>
          <w:sz w:val="32"/>
          <w:szCs w:val="32"/>
          <w:highlight w:val="none"/>
        </w:rPr>
      </w:pPr>
    </w:p>
    <w:p>
      <w:pPr>
        <w:widowControl/>
        <w:spacing w:line="560" w:lineRule="exact"/>
        <w:jc w:val="left"/>
        <w:rPr>
          <w:rFonts w:ascii="仿宋_GB2312" w:hAnsi="宋体" w:eastAsia="仿宋_GB2312" w:cs="宋体"/>
          <w:b/>
          <w:kern w:val="0"/>
          <w:sz w:val="32"/>
          <w:szCs w:val="32"/>
          <w:highlight w:val="none"/>
        </w:rPr>
      </w:pPr>
    </w:p>
    <w:p>
      <w:pPr>
        <w:widowControl/>
        <w:spacing w:line="560" w:lineRule="exact"/>
        <w:jc w:val="left"/>
        <w:rPr>
          <w:rFonts w:ascii="仿宋_GB2312" w:hAnsi="宋体" w:eastAsia="仿宋_GB2312" w:cs="宋体"/>
          <w:b/>
          <w:kern w:val="0"/>
          <w:sz w:val="32"/>
          <w:szCs w:val="32"/>
          <w:highlight w:val="none"/>
        </w:rPr>
      </w:pPr>
    </w:p>
    <w:p>
      <w:pPr>
        <w:widowControl/>
        <w:spacing w:line="560" w:lineRule="exact"/>
        <w:jc w:val="left"/>
        <w:rPr>
          <w:rFonts w:ascii="仿宋_GB2312" w:hAnsi="宋体" w:eastAsia="仿宋_GB2312" w:cs="宋体"/>
          <w:b/>
          <w:kern w:val="0"/>
          <w:sz w:val="32"/>
          <w:szCs w:val="32"/>
          <w:highlight w:val="none"/>
        </w:rPr>
      </w:pPr>
    </w:p>
    <w:p>
      <w:pPr>
        <w:widowControl/>
        <w:spacing w:line="560" w:lineRule="exact"/>
        <w:jc w:val="left"/>
        <w:rPr>
          <w:rFonts w:ascii="仿宋_GB2312" w:hAnsi="宋体" w:eastAsia="仿宋_GB2312" w:cs="宋体"/>
          <w:b/>
          <w:kern w:val="0"/>
          <w:sz w:val="32"/>
          <w:szCs w:val="32"/>
          <w:highlight w:val="none"/>
        </w:rPr>
      </w:pPr>
    </w:p>
    <w:p>
      <w:pPr>
        <w:widowControl/>
        <w:spacing w:line="560" w:lineRule="exact"/>
        <w:jc w:val="left"/>
        <w:rPr>
          <w:rFonts w:ascii="仿宋_GB2312" w:hAnsi="宋体" w:eastAsia="仿宋_GB2312" w:cs="宋体"/>
          <w:b/>
          <w:kern w:val="0"/>
          <w:sz w:val="32"/>
          <w:szCs w:val="32"/>
          <w:highlight w:val="none"/>
        </w:rPr>
      </w:pPr>
    </w:p>
    <w:p>
      <w:pPr>
        <w:widowControl/>
        <w:spacing w:line="560" w:lineRule="exact"/>
        <w:jc w:val="left"/>
        <w:rPr>
          <w:rFonts w:ascii="仿宋_GB2312" w:hAnsi="宋体" w:eastAsia="仿宋_GB2312" w:cs="宋体"/>
          <w:b/>
          <w:kern w:val="0"/>
          <w:sz w:val="32"/>
          <w:szCs w:val="32"/>
          <w:highlight w:val="none"/>
        </w:rPr>
      </w:pPr>
    </w:p>
    <w:p>
      <w:pPr>
        <w:widowControl/>
        <w:spacing w:line="560" w:lineRule="exact"/>
        <w:jc w:val="center"/>
        <w:rPr>
          <w:rFonts w:ascii="黑体" w:hAnsi="黑体" w:eastAsia="黑体"/>
          <w:kern w:val="0"/>
          <w:sz w:val="32"/>
          <w:szCs w:val="32"/>
          <w:highlight w:val="none"/>
        </w:rPr>
      </w:pPr>
      <w:r>
        <w:rPr>
          <w:rFonts w:hint="eastAsia" w:ascii="黑体" w:hAnsi="黑体" w:eastAsia="黑体"/>
          <w:kern w:val="0"/>
          <w:sz w:val="32"/>
          <w:szCs w:val="32"/>
          <w:highlight w:val="none"/>
        </w:rPr>
        <w:t>第二部分  2021年部门（单位）预算公开表</w:t>
      </w:r>
    </w:p>
    <w:p>
      <w:pPr>
        <w:widowControl/>
        <w:spacing w:line="280" w:lineRule="exact"/>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表一：</w:t>
      </w:r>
    </w:p>
    <w:p>
      <w:pPr>
        <w:widowControl/>
        <w:spacing w:line="280" w:lineRule="exact"/>
        <w:jc w:val="center"/>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部门（单位）收支总体情况表</w:t>
      </w:r>
    </w:p>
    <w:p>
      <w:pPr>
        <w:widowControl/>
        <w:spacing w:line="280" w:lineRule="exact"/>
        <w:outlineLvl w:val="1"/>
        <w:rPr>
          <w:rFonts w:ascii="仿宋_GB2312" w:hAnsi="宋体" w:eastAsia="仿宋_GB2312"/>
          <w:kern w:val="0"/>
          <w:sz w:val="24"/>
          <w:highlight w:val="none"/>
        </w:rPr>
      </w:pPr>
      <w:r>
        <w:rPr>
          <w:rFonts w:hint="eastAsia" w:ascii="仿宋_GB2312" w:hAnsi="宋体" w:eastAsia="仿宋_GB2312"/>
          <w:kern w:val="0"/>
          <w:sz w:val="24"/>
          <w:highlight w:val="none"/>
        </w:rPr>
        <w:t>编制部门（单位）：克孜勒苏柯尔克孜自治州驻昌吉干休所     单位：万元</w:t>
      </w:r>
    </w:p>
    <w:tbl>
      <w:tblPr>
        <w:tblStyle w:val="10"/>
        <w:tblW w:w="8662" w:type="dxa"/>
        <w:tblInd w:w="93" w:type="dxa"/>
        <w:tblLayout w:type="fixed"/>
        <w:tblCellMar>
          <w:top w:w="0" w:type="dxa"/>
          <w:left w:w="108" w:type="dxa"/>
          <w:bottom w:w="0" w:type="dxa"/>
          <w:right w:w="108" w:type="dxa"/>
        </w:tblCellMar>
      </w:tblPr>
      <w:tblGrid>
        <w:gridCol w:w="2280"/>
        <w:gridCol w:w="1988"/>
        <w:gridCol w:w="2693"/>
        <w:gridCol w:w="1701"/>
      </w:tblGrid>
      <w:tr>
        <w:tblPrEx>
          <w:tblLayout w:type="fixed"/>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vAlign w:val="bottom"/>
          </w:tcPr>
          <w:p>
            <w:pPr>
              <w:widowControl/>
              <w:spacing w:line="280" w:lineRule="exact"/>
              <w:jc w:val="center"/>
              <w:rPr>
                <w:rFonts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收     入</w:t>
            </w:r>
          </w:p>
        </w:tc>
        <w:tc>
          <w:tcPr>
            <w:tcW w:w="4394" w:type="dxa"/>
            <w:gridSpan w:val="2"/>
            <w:tcBorders>
              <w:top w:val="single" w:color="auto" w:sz="4" w:space="0"/>
              <w:left w:val="nil"/>
              <w:bottom w:val="single" w:color="auto" w:sz="4" w:space="0"/>
              <w:right w:val="single" w:color="auto" w:sz="4" w:space="0"/>
            </w:tcBorders>
            <w:vAlign w:val="bottom"/>
          </w:tcPr>
          <w:p>
            <w:pPr>
              <w:widowControl/>
              <w:spacing w:line="280" w:lineRule="exact"/>
              <w:jc w:val="center"/>
              <w:rPr>
                <w:rFonts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支     出</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highlight w:val="none"/>
              </w:rPr>
            </w:pPr>
            <w:r>
              <w:rPr>
                <w:rFonts w:hint="eastAsia" w:ascii="仿宋_GB2312" w:hAnsi="宋体" w:eastAsia="仿宋_GB2312" w:cs="宋体"/>
                <w:b/>
                <w:kern w:val="0"/>
                <w:sz w:val="20"/>
                <w:szCs w:val="20"/>
                <w:highlight w:val="none"/>
              </w:rPr>
              <w:t>项     目</w:t>
            </w:r>
          </w:p>
        </w:tc>
        <w:tc>
          <w:tcPr>
            <w:tcW w:w="1988"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highlight w:val="none"/>
              </w:rPr>
            </w:pPr>
            <w:r>
              <w:rPr>
                <w:rFonts w:hint="eastAsia" w:ascii="仿宋_GB2312" w:hAnsi="宋体" w:eastAsia="仿宋_GB2312" w:cs="宋体"/>
                <w:b/>
                <w:kern w:val="0"/>
                <w:sz w:val="20"/>
                <w:szCs w:val="20"/>
                <w:highlight w:val="none"/>
              </w:rPr>
              <w:t>预算数</w:t>
            </w:r>
          </w:p>
        </w:tc>
        <w:tc>
          <w:tcPr>
            <w:tcW w:w="2693"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highlight w:val="none"/>
              </w:rPr>
            </w:pPr>
            <w:r>
              <w:rPr>
                <w:rFonts w:hint="eastAsia" w:ascii="仿宋_GB2312" w:hAnsi="宋体" w:eastAsia="仿宋_GB2312" w:cs="宋体"/>
                <w:b/>
                <w:kern w:val="0"/>
                <w:sz w:val="20"/>
                <w:szCs w:val="20"/>
                <w:highlight w:val="none"/>
              </w:rPr>
              <w:t>功能分类</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highlight w:val="none"/>
              </w:rPr>
            </w:pPr>
            <w:r>
              <w:rPr>
                <w:rFonts w:hint="eastAsia" w:ascii="仿宋_GB2312" w:hAnsi="宋体" w:eastAsia="仿宋_GB2312" w:cs="宋体"/>
                <w:b/>
                <w:kern w:val="0"/>
                <w:sz w:val="20"/>
                <w:szCs w:val="20"/>
                <w:highlight w:val="none"/>
              </w:rPr>
              <w:t>预算数</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财政拨款（补助）</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152.66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201 一般公共服务支出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xml:space="preserve">    一般公共预算</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152.66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202 外交支出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xml:space="preserve">    政府性基金预算</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203 国防支出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280" w:lineRule="exact"/>
              <w:ind w:firstLine="360" w:firstLineChars="200"/>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国有资本</w:t>
            </w:r>
            <w:r>
              <w:rPr>
                <w:rFonts w:ascii="仿宋_GB2312" w:hAnsi="宋体" w:eastAsia="仿宋_GB2312" w:cs="宋体"/>
                <w:kern w:val="0"/>
                <w:sz w:val="18"/>
                <w:szCs w:val="18"/>
                <w:highlight w:val="none"/>
              </w:rPr>
              <w:t>经营预算</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0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204 公共安全支出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教育收费（财政专户）</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205 教育支出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事业收入</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206 科学技术支出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上级补助</w:t>
            </w:r>
            <w:r>
              <w:rPr>
                <w:rFonts w:ascii="仿宋_GB2312" w:hAnsi="宋体" w:eastAsia="仿宋_GB2312" w:cs="宋体"/>
                <w:kern w:val="0"/>
                <w:sz w:val="18"/>
                <w:szCs w:val="18"/>
                <w:highlight w:val="none"/>
              </w:rPr>
              <w:t>收入</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207 文化旅游体育与传媒支出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事业单位经营收入</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208 社会保障和就业支出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152.66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单位其他资金收入</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 xml:space="preserve">209 </w:t>
            </w:r>
            <w:r>
              <w:rPr>
                <w:rFonts w:hint="eastAsia" w:ascii="仿宋_GB2312" w:hAnsi="宋体" w:eastAsia="仿宋_GB2312" w:cs="宋体"/>
                <w:kern w:val="0"/>
                <w:sz w:val="18"/>
                <w:szCs w:val="18"/>
                <w:highlight w:val="none"/>
              </w:rPr>
              <w:t>社会</w:t>
            </w:r>
            <w:r>
              <w:rPr>
                <w:rFonts w:ascii="仿宋_GB2312" w:hAnsi="宋体" w:eastAsia="仿宋_GB2312" w:cs="宋体"/>
                <w:kern w:val="0"/>
                <w:sz w:val="18"/>
                <w:szCs w:val="18"/>
                <w:highlight w:val="none"/>
              </w:rPr>
              <w:t>保险基金支出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上级</w:t>
            </w:r>
            <w:r>
              <w:rPr>
                <w:rFonts w:ascii="仿宋_GB2312" w:hAnsi="宋体" w:eastAsia="仿宋_GB2312" w:cs="宋体"/>
                <w:kern w:val="0"/>
                <w:sz w:val="18"/>
                <w:szCs w:val="18"/>
                <w:highlight w:val="none"/>
              </w:rPr>
              <w:t>专项收入</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210卫生健康支出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用事业基金弥补收支差额</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211 节能环保支出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212 城乡社区支出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213 农林水支出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214 交通运输支出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215 资源勘探工业信息等支出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216 商业服务业等支出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217 金融支出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219 援助其他地区支出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220 自然资源海洋气象等支出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221 住房保障支出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w:t>
            </w:r>
            <w:r>
              <w:rPr>
                <w:rFonts w:ascii="仿宋_GB2312" w:hAnsi="宋体" w:eastAsia="仿宋_GB2312" w:cs="宋体"/>
                <w:kern w:val="0"/>
                <w:sz w:val="18"/>
                <w:szCs w:val="18"/>
                <w:highlight w:val="none"/>
              </w:rPr>
              <w:t xml:space="preserve">22 </w:t>
            </w:r>
            <w:r>
              <w:rPr>
                <w:rFonts w:hint="eastAsia" w:ascii="仿宋_GB2312" w:hAnsi="宋体" w:eastAsia="仿宋_GB2312" w:cs="宋体"/>
                <w:kern w:val="0"/>
                <w:sz w:val="18"/>
                <w:szCs w:val="18"/>
                <w:highlight w:val="none"/>
              </w:rPr>
              <w:t>粮油</w:t>
            </w:r>
            <w:r>
              <w:rPr>
                <w:rFonts w:ascii="仿宋_GB2312" w:hAnsi="宋体" w:eastAsia="仿宋_GB2312" w:cs="宋体"/>
                <w:kern w:val="0"/>
                <w:sz w:val="18"/>
                <w:szCs w:val="18"/>
                <w:highlight w:val="none"/>
              </w:rPr>
              <w:t>物资管理支出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223 国有资本经营预算支出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224灾害防治及应急管理支出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227 预备费</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229 其他支出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5"/>
                <w:szCs w:val="15"/>
                <w:highlight w:val="none"/>
              </w:rPr>
            </w:pPr>
            <w:r>
              <w:rPr>
                <w:rFonts w:hint="eastAsia" w:ascii="仿宋_GB2312" w:hAnsi="宋体" w:eastAsia="仿宋_GB2312" w:cs="宋体"/>
                <w:kern w:val="0"/>
                <w:sz w:val="18"/>
                <w:szCs w:val="18"/>
                <w:highlight w:val="none"/>
              </w:rPr>
              <w:t>230转移性支出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231 债务还本支出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232 债务付息支出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988"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233 债务发行费用支出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p>
        </w:tc>
        <w:tc>
          <w:tcPr>
            <w:tcW w:w="1988"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p>
        </w:tc>
        <w:tc>
          <w:tcPr>
            <w:tcW w:w="2693" w:type="dxa"/>
            <w:tcBorders>
              <w:top w:val="nil"/>
              <w:left w:val="nil"/>
              <w:bottom w:val="single" w:color="auto" w:sz="4" w:space="0"/>
              <w:right w:val="single" w:color="auto" w:sz="4" w:space="0"/>
            </w:tcBorders>
            <w:vAlign w:val="center"/>
          </w:tcPr>
          <w:p>
            <w:pPr>
              <w:widowControl/>
              <w:spacing w:line="280" w:lineRule="exact"/>
              <w:jc w:val="left"/>
              <w:textAlignment w:val="center"/>
              <w:rPr>
                <w:rFonts w:ascii="宋体" w:hAnsi="宋体" w:cs="宋体"/>
                <w:color w:val="000000"/>
                <w:sz w:val="18"/>
                <w:szCs w:val="18"/>
                <w:highlight w:val="none"/>
              </w:rPr>
            </w:pPr>
            <w:r>
              <w:rPr>
                <w:rFonts w:hint="eastAsia" w:ascii="仿宋_GB2312" w:hAnsi="宋体" w:eastAsia="仿宋_GB2312" w:cs="宋体"/>
                <w:color w:val="000000"/>
                <w:kern w:val="0"/>
                <w:sz w:val="18"/>
                <w:szCs w:val="18"/>
                <w:highlight w:val="none"/>
              </w:rPr>
              <w:t>234 抗疫特别国债还本支出</w:t>
            </w:r>
          </w:p>
        </w:tc>
        <w:tc>
          <w:tcPr>
            <w:tcW w:w="1701"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vAlign w:val="center"/>
          </w:tcPr>
          <w:p>
            <w:pPr>
              <w:widowControl/>
              <w:spacing w:line="280" w:lineRule="exact"/>
              <w:jc w:val="left"/>
              <w:rPr>
                <w:rFonts w:ascii="仿宋_GB2312" w:hAnsi="宋体" w:eastAsia="仿宋_GB2312" w:cs="宋体"/>
                <w:kern w:val="0"/>
                <w:sz w:val="20"/>
                <w:szCs w:val="20"/>
                <w:highlight w:val="none"/>
              </w:rPr>
            </w:pPr>
          </w:p>
        </w:tc>
        <w:tc>
          <w:tcPr>
            <w:tcW w:w="1988"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p>
        </w:tc>
        <w:tc>
          <w:tcPr>
            <w:tcW w:w="2693" w:type="dxa"/>
            <w:tcBorders>
              <w:top w:val="nil"/>
              <w:left w:val="nil"/>
              <w:bottom w:val="single" w:color="auto" w:sz="4" w:space="0"/>
              <w:right w:val="single" w:color="auto" w:sz="4" w:space="0"/>
            </w:tcBorders>
            <w:vAlign w:val="center"/>
          </w:tcPr>
          <w:p>
            <w:pPr>
              <w:widowControl/>
              <w:spacing w:line="280" w:lineRule="exact"/>
              <w:jc w:val="left"/>
              <w:textAlignment w:val="center"/>
              <w:rPr>
                <w:rFonts w:ascii="仿宋_GB2312" w:hAnsi="宋体" w:eastAsia="仿宋_GB2312" w:cs="宋体"/>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p>
        </w:tc>
      </w:tr>
      <w:tr>
        <w:tblPrEx>
          <w:tblLayout w:type="fixed"/>
          <w:tblCellMar>
            <w:top w:w="0" w:type="dxa"/>
            <w:left w:w="108" w:type="dxa"/>
            <w:bottom w:w="0" w:type="dxa"/>
            <w:right w:w="108" w:type="dxa"/>
          </w:tblCellMar>
        </w:tblPrEx>
        <w:trPr>
          <w:trHeight w:val="365" w:hRule="atLeast"/>
        </w:trPr>
        <w:tc>
          <w:tcPr>
            <w:tcW w:w="2280" w:type="dxa"/>
            <w:tcBorders>
              <w:top w:val="nil"/>
              <w:left w:val="single" w:color="auto" w:sz="4" w:space="0"/>
              <w:bottom w:val="single" w:color="auto" w:sz="4" w:space="0"/>
              <w:right w:val="nil"/>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20"/>
                <w:szCs w:val="20"/>
                <w:highlight w:val="none"/>
              </w:rPr>
              <w:t>收  入  总  计</w:t>
            </w:r>
          </w:p>
        </w:tc>
        <w:tc>
          <w:tcPr>
            <w:tcW w:w="1988"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152.66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支  出  总  计</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152.66　</w:t>
            </w:r>
          </w:p>
        </w:tc>
      </w:tr>
    </w:tbl>
    <w:p>
      <w:pPr>
        <w:widowControl/>
        <w:jc w:val="left"/>
        <w:outlineLvl w:val="1"/>
        <w:rPr>
          <w:rFonts w:ascii="仿宋_GB2312" w:hAnsi="宋体" w:eastAsia="仿宋_GB2312"/>
          <w:b/>
          <w:kern w:val="0"/>
          <w:sz w:val="32"/>
          <w:szCs w:val="32"/>
          <w:highlight w:val="none"/>
        </w:rPr>
      </w:pPr>
    </w:p>
    <w:p>
      <w:pPr>
        <w:widowControl/>
        <w:jc w:val="left"/>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表二：</w:t>
      </w:r>
    </w:p>
    <w:p>
      <w:pPr>
        <w:widowControl/>
        <w:jc w:val="center"/>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部门（单位）收入总体情况表</w:t>
      </w:r>
    </w:p>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编制部门（单位）：克孜勒苏柯尔克孜自治州驻昌吉干休所     单位：万元</w:t>
      </w:r>
    </w:p>
    <w:tbl>
      <w:tblPr>
        <w:tblStyle w:val="10"/>
        <w:tblW w:w="10651" w:type="dxa"/>
        <w:tblInd w:w="-450" w:type="dxa"/>
        <w:tblLayout w:type="fixed"/>
        <w:tblCellMar>
          <w:top w:w="0" w:type="dxa"/>
          <w:left w:w="108" w:type="dxa"/>
          <w:bottom w:w="0" w:type="dxa"/>
          <w:right w:w="108" w:type="dxa"/>
        </w:tblCellMar>
      </w:tblPr>
      <w:tblGrid>
        <w:gridCol w:w="331"/>
        <w:gridCol w:w="331"/>
        <w:gridCol w:w="331"/>
        <w:gridCol w:w="1295"/>
        <w:gridCol w:w="992"/>
        <w:gridCol w:w="851"/>
        <w:gridCol w:w="850"/>
        <w:gridCol w:w="709"/>
        <w:gridCol w:w="709"/>
        <w:gridCol w:w="567"/>
        <w:gridCol w:w="567"/>
        <w:gridCol w:w="567"/>
        <w:gridCol w:w="567"/>
        <w:gridCol w:w="425"/>
        <w:gridCol w:w="709"/>
        <w:gridCol w:w="850"/>
      </w:tblGrid>
      <w:tr>
        <w:tblPrEx>
          <w:tblLayout w:type="fixed"/>
          <w:tblCellMar>
            <w:top w:w="0" w:type="dxa"/>
            <w:left w:w="108" w:type="dxa"/>
            <w:bottom w:w="0" w:type="dxa"/>
            <w:right w:w="108" w:type="dxa"/>
          </w:tblCellMar>
        </w:tblPrEx>
        <w:trPr>
          <w:trHeight w:val="2671" w:hRule="atLeast"/>
        </w:trPr>
        <w:tc>
          <w:tcPr>
            <w:tcW w:w="99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color w:val="000000"/>
                <w:sz w:val="20"/>
                <w:szCs w:val="20"/>
                <w:highlight w:val="none"/>
              </w:rPr>
            </w:pPr>
            <w:r>
              <w:rPr>
                <w:rFonts w:hint="eastAsia" w:ascii="仿宋_GB2312" w:eastAsia="仿宋_GB2312"/>
                <w:b/>
                <w:color w:val="000000"/>
                <w:sz w:val="20"/>
                <w:szCs w:val="20"/>
                <w:highlight w:val="none"/>
              </w:rPr>
              <w:t>功能分类科目编码</w:t>
            </w:r>
          </w:p>
        </w:tc>
        <w:tc>
          <w:tcPr>
            <w:tcW w:w="1295"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highlight w:val="none"/>
              </w:rPr>
            </w:pPr>
            <w:r>
              <w:rPr>
                <w:rFonts w:hint="eastAsia" w:ascii="仿宋_GB2312" w:eastAsia="仿宋_GB2312"/>
                <w:b/>
                <w:color w:val="000000"/>
                <w:sz w:val="20"/>
                <w:szCs w:val="20"/>
                <w:highlight w:val="none"/>
              </w:rPr>
              <w:t>功能分类科目名称</w:t>
            </w:r>
          </w:p>
        </w:tc>
        <w:tc>
          <w:tcPr>
            <w:tcW w:w="992"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highlight w:val="none"/>
              </w:rPr>
            </w:pPr>
            <w:r>
              <w:rPr>
                <w:rFonts w:hint="eastAsia" w:ascii="仿宋_GB2312" w:eastAsia="仿宋_GB2312"/>
                <w:b/>
                <w:color w:val="000000"/>
                <w:sz w:val="20"/>
                <w:szCs w:val="20"/>
                <w:highlight w:val="none"/>
              </w:rPr>
              <w:t>总  计</w:t>
            </w:r>
          </w:p>
        </w:tc>
        <w:tc>
          <w:tcPr>
            <w:tcW w:w="851"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highlight w:val="none"/>
              </w:rPr>
            </w:pPr>
            <w:r>
              <w:rPr>
                <w:rFonts w:hint="eastAsia" w:ascii="仿宋_GB2312" w:eastAsia="仿宋_GB2312"/>
                <w:b/>
                <w:color w:val="000000"/>
                <w:sz w:val="20"/>
                <w:szCs w:val="20"/>
                <w:highlight w:val="none"/>
              </w:rPr>
              <w:t>一般公共预算拨款</w:t>
            </w:r>
          </w:p>
        </w:tc>
        <w:tc>
          <w:tcPr>
            <w:tcW w:w="850"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highlight w:val="none"/>
              </w:rPr>
            </w:pPr>
            <w:r>
              <w:rPr>
                <w:rFonts w:hint="eastAsia" w:ascii="仿宋_GB2312" w:eastAsia="仿宋_GB2312"/>
                <w:b/>
                <w:color w:val="000000"/>
                <w:sz w:val="20"/>
                <w:szCs w:val="20"/>
                <w:highlight w:val="none"/>
              </w:rPr>
              <w:t>政府性基金预算拨款</w:t>
            </w:r>
          </w:p>
        </w:tc>
        <w:tc>
          <w:tcPr>
            <w:tcW w:w="709"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highlight w:val="none"/>
              </w:rPr>
            </w:pPr>
            <w:r>
              <w:rPr>
                <w:rFonts w:hint="eastAsia" w:ascii="仿宋_GB2312" w:eastAsia="仿宋_GB2312"/>
                <w:b/>
                <w:color w:val="000000"/>
                <w:sz w:val="20"/>
                <w:szCs w:val="20"/>
                <w:highlight w:val="none"/>
              </w:rPr>
              <w:t>财政专户（教育收费）</w:t>
            </w:r>
          </w:p>
        </w:tc>
        <w:tc>
          <w:tcPr>
            <w:tcW w:w="709" w:type="dxa"/>
            <w:tcBorders>
              <w:top w:val="single" w:color="auto" w:sz="4" w:space="0"/>
              <w:left w:val="single" w:color="auto" w:sz="4" w:space="0"/>
              <w:bottom w:val="single" w:color="000000" w:sz="4" w:space="0"/>
              <w:right w:val="single" w:color="auto" w:sz="4" w:space="0"/>
            </w:tcBorders>
          </w:tcPr>
          <w:p>
            <w:pPr>
              <w:jc w:val="center"/>
              <w:rPr>
                <w:rFonts w:ascii="仿宋_GB2312" w:eastAsia="仿宋_GB2312"/>
                <w:b/>
                <w:color w:val="000000"/>
                <w:sz w:val="20"/>
                <w:szCs w:val="20"/>
                <w:highlight w:val="none"/>
              </w:rPr>
            </w:pPr>
          </w:p>
          <w:p>
            <w:pPr>
              <w:jc w:val="center"/>
              <w:rPr>
                <w:rFonts w:ascii="仿宋_GB2312" w:eastAsia="仿宋_GB2312"/>
                <w:b/>
                <w:color w:val="000000"/>
                <w:sz w:val="20"/>
                <w:szCs w:val="20"/>
                <w:highlight w:val="none"/>
              </w:rPr>
            </w:pPr>
          </w:p>
          <w:p>
            <w:pPr>
              <w:jc w:val="center"/>
              <w:rPr>
                <w:rFonts w:ascii="仿宋_GB2312" w:eastAsia="仿宋_GB2312"/>
                <w:b/>
                <w:color w:val="000000"/>
                <w:sz w:val="20"/>
                <w:szCs w:val="20"/>
                <w:highlight w:val="none"/>
              </w:rPr>
            </w:pPr>
          </w:p>
          <w:p>
            <w:pPr>
              <w:jc w:val="center"/>
              <w:rPr>
                <w:rFonts w:ascii="仿宋_GB2312" w:eastAsia="仿宋_GB2312"/>
                <w:b/>
                <w:color w:val="000000"/>
                <w:sz w:val="20"/>
                <w:szCs w:val="20"/>
                <w:highlight w:val="none"/>
              </w:rPr>
            </w:pPr>
            <w:r>
              <w:rPr>
                <w:rFonts w:hint="eastAsia" w:ascii="仿宋_GB2312" w:eastAsia="仿宋_GB2312"/>
                <w:b/>
                <w:color w:val="000000"/>
                <w:sz w:val="20"/>
                <w:szCs w:val="20"/>
                <w:highlight w:val="none"/>
              </w:rPr>
              <w:t>国有资本</w:t>
            </w:r>
            <w:r>
              <w:rPr>
                <w:rFonts w:ascii="仿宋_GB2312" w:eastAsia="仿宋_GB2312"/>
                <w:b/>
                <w:color w:val="000000"/>
                <w:sz w:val="20"/>
                <w:szCs w:val="20"/>
                <w:highlight w:val="none"/>
              </w:rPr>
              <w:t>经营预算</w:t>
            </w:r>
          </w:p>
        </w:tc>
        <w:tc>
          <w:tcPr>
            <w:tcW w:w="567"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highlight w:val="none"/>
              </w:rPr>
            </w:pPr>
            <w:r>
              <w:rPr>
                <w:rFonts w:hint="eastAsia" w:ascii="仿宋_GB2312" w:eastAsia="仿宋_GB2312"/>
                <w:b/>
                <w:color w:val="000000"/>
                <w:sz w:val="20"/>
                <w:szCs w:val="20"/>
                <w:highlight w:val="none"/>
              </w:rPr>
              <w:t>事业收入</w:t>
            </w:r>
          </w:p>
        </w:tc>
        <w:tc>
          <w:tcPr>
            <w:tcW w:w="567" w:type="dxa"/>
            <w:tcBorders>
              <w:top w:val="single" w:color="auto" w:sz="4" w:space="0"/>
              <w:left w:val="single" w:color="auto" w:sz="4" w:space="0"/>
              <w:bottom w:val="single" w:color="000000" w:sz="4" w:space="0"/>
              <w:right w:val="single" w:color="auto" w:sz="4" w:space="0"/>
            </w:tcBorders>
          </w:tcPr>
          <w:p>
            <w:pPr>
              <w:rPr>
                <w:rFonts w:ascii="仿宋_GB2312" w:eastAsia="仿宋_GB2312"/>
                <w:b/>
                <w:color w:val="000000"/>
                <w:sz w:val="20"/>
                <w:szCs w:val="20"/>
                <w:highlight w:val="none"/>
              </w:rPr>
            </w:pPr>
          </w:p>
          <w:p>
            <w:pPr>
              <w:rPr>
                <w:rFonts w:ascii="仿宋_GB2312" w:eastAsia="仿宋_GB2312"/>
                <w:b/>
                <w:color w:val="000000"/>
                <w:sz w:val="20"/>
                <w:szCs w:val="20"/>
                <w:highlight w:val="none"/>
              </w:rPr>
            </w:pPr>
          </w:p>
          <w:p>
            <w:pPr>
              <w:rPr>
                <w:rFonts w:ascii="仿宋_GB2312" w:eastAsia="仿宋_GB2312"/>
                <w:b/>
                <w:color w:val="000000"/>
                <w:sz w:val="20"/>
                <w:szCs w:val="20"/>
                <w:highlight w:val="none"/>
              </w:rPr>
            </w:pPr>
            <w:r>
              <w:rPr>
                <w:rFonts w:hint="eastAsia" w:ascii="仿宋_GB2312" w:eastAsia="仿宋_GB2312"/>
                <w:b/>
                <w:color w:val="000000"/>
                <w:sz w:val="20"/>
                <w:szCs w:val="20"/>
                <w:highlight w:val="none"/>
              </w:rPr>
              <w:t>上</w:t>
            </w:r>
          </w:p>
          <w:p>
            <w:pPr>
              <w:rPr>
                <w:rFonts w:ascii="仿宋_GB2312" w:eastAsia="仿宋_GB2312"/>
                <w:b/>
                <w:color w:val="000000"/>
                <w:sz w:val="20"/>
                <w:szCs w:val="20"/>
                <w:highlight w:val="none"/>
              </w:rPr>
            </w:pPr>
            <w:r>
              <w:rPr>
                <w:rFonts w:hint="eastAsia" w:ascii="仿宋_GB2312" w:eastAsia="仿宋_GB2312"/>
                <w:b/>
                <w:color w:val="000000"/>
                <w:sz w:val="20"/>
                <w:szCs w:val="20"/>
                <w:highlight w:val="none"/>
              </w:rPr>
              <w:t>级</w:t>
            </w:r>
          </w:p>
          <w:p>
            <w:pPr>
              <w:rPr>
                <w:rFonts w:ascii="仿宋_GB2312" w:eastAsia="仿宋_GB2312"/>
                <w:b/>
                <w:color w:val="000000"/>
                <w:sz w:val="20"/>
                <w:szCs w:val="20"/>
                <w:highlight w:val="none"/>
              </w:rPr>
            </w:pPr>
            <w:r>
              <w:rPr>
                <w:rFonts w:hint="eastAsia" w:ascii="仿宋_GB2312" w:eastAsia="仿宋_GB2312"/>
                <w:b/>
                <w:color w:val="000000"/>
                <w:sz w:val="20"/>
                <w:szCs w:val="20"/>
                <w:highlight w:val="none"/>
              </w:rPr>
              <w:t>补助</w:t>
            </w:r>
          </w:p>
          <w:p>
            <w:pPr>
              <w:rPr>
                <w:rFonts w:ascii="仿宋_GB2312" w:eastAsia="仿宋_GB2312"/>
                <w:b/>
                <w:color w:val="000000"/>
                <w:sz w:val="20"/>
                <w:szCs w:val="20"/>
                <w:highlight w:val="none"/>
              </w:rPr>
            </w:pPr>
            <w:r>
              <w:rPr>
                <w:rFonts w:hint="eastAsia" w:ascii="仿宋_GB2312" w:eastAsia="仿宋_GB2312"/>
                <w:b/>
                <w:color w:val="000000"/>
                <w:sz w:val="20"/>
                <w:szCs w:val="20"/>
                <w:highlight w:val="none"/>
              </w:rPr>
              <w:t>收</w:t>
            </w:r>
          </w:p>
          <w:p>
            <w:pPr>
              <w:rPr>
                <w:rFonts w:ascii="仿宋_GB2312" w:eastAsia="仿宋_GB2312"/>
                <w:b/>
                <w:color w:val="000000"/>
                <w:sz w:val="20"/>
                <w:szCs w:val="20"/>
                <w:highlight w:val="none"/>
              </w:rPr>
            </w:pPr>
            <w:r>
              <w:rPr>
                <w:rFonts w:hint="eastAsia" w:ascii="仿宋_GB2312" w:eastAsia="仿宋_GB2312"/>
                <w:b/>
                <w:color w:val="000000"/>
                <w:sz w:val="20"/>
                <w:szCs w:val="20"/>
                <w:highlight w:val="none"/>
              </w:rPr>
              <w:t>入</w:t>
            </w:r>
          </w:p>
        </w:tc>
        <w:tc>
          <w:tcPr>
            <w:tcW w:w="567"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highlight w:val="none"/>
              </w:rPr>
            </w:pPr>
            <w:r>
              <w:rPr>
                <w:rFonts w:hint="eastAsia" w:ascii="仿宋_GB2312" w:eastAsia="仿宋_GB2312"/>
                <w:b/>
                <w:color w:val="000000"/>
                <w:sz w:val="20"/>
                <w:szCs w:val="20"/>
                <w:highlight w:val="none"/>
              </w:rPr>
              <w:t>事业单位经营收入</w:t>
            </w:r>
          </w:p>
        </w:tc>
        <w:tc>
          <w:tcPr>
            <w:tcW w:w="567"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highlight w:val="none"/>
              </w:rPr>
            </w:pPr>
            <w:r>
              <w:rPr>
                <w:rFonts w:hint="eastAsia" w:ascii="仿宋_GB2312" w:eastAsia="仿宋_GB2312"/>
                <w:b/>
                <w:color w:val="000000"/>
                <w:sz w:val="20"/>
                <w:szCs w:val="20"/>
                <w:highlight w:val="none"/>
              </w:rPr>
              <w:t>单位其他资金收入</w:t>
            </w:r>
          </w:p>
        </w:tc>
        <w:tc>
          <w:tcPr>
            <w:tcW w:w="425"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highlight w:val="none"/>
              </w:rPr>
            </w:pPr>
            <w:r>
              <w:rPr>
                <w:rFonts w:hint="eastAsia" w:ascii="仿宋_GB2312" w:eastAsia="仿宋_GB2312"/>
                <w:b/>
                <w:color w:val="000000"/>
                <w:sz w:val="20"/>
                <w:szCs w:val="20"/>
                <w:highlight w:val="none"/>
              </w:rPr>
              <w:t>上级专项收入</w:t>
            </w:r>
          </w:p>
        </w:tc>
        <w:tc>
          <w:tcPr>
            <w:tcW w:w="709"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highlight w:val="none"/>
              </w:rPr>
            </w:pPr>
            <w:r>
              <w:rPr>
                <w:rFonts w:hint="eastAsia" w:ascii="仿宋_GB2312" w:eastAsia="仿宋_GB2312"/>
                <w:b/>
                <w:color w:val="000000"/>
                <w:sz w:val="20"/>
                <w:szCs w:val="20"/>
                <w:highlight w:val="none"/>
              </w:rPr>
              <w:t>用事业基金弥补收支差额</w:t>
            </w:r>
          </w:p>
        </w:tc>
        <w:tc>
          <w:tcPr>
            <w:tcW w:w="850"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highlight w:val="none"/>
              </w:rPr>
            </w:pPr>
            <w:r>
              <w:rPr>
                <w:rFonts w:hint="eastAsia" w:ascii="仿宋_GB2312" w:eastAsia="仿宋_GB2312"/>
                <w:b/>
                <w:color w:val="000000"/>
                <w:sz w:val="20"/>
                <w:szCs w:val="20"/>
                <w:highlight w:val="none"/>
              </w:rPr>
              <w:t>单位上年结余（不包含国库集中支付额度</w:t>
            </w: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208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05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99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 w:hAnsi="仿宋" w:eastAsia="仿宋" w:cs="宋体"/>
                <w:color w:val="000000"/>
                <w:kern w:val="0"/>
                <w:sz w:val="18"/>
                <w:szCs w:val="18"/>
                <w:highlight w:val="none"/>
              </w:rPr>
              <w:t>其他行政事业单位养老支出</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24.33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24.33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0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208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05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03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 w:hAnsi="仿宋" w:eastAsia="仿宋" w:cs="宋体"/>
                <w:color w:val="000000"/>
                <w:kern w:val="0"/>
                <w:sz w:val="18"/>
                <w:szCs w:val="18"/>
                <w:highlight w:val="none"/>
              </w:rPr>
              <w:t>离退休人员管理机构</w:t>
            </w: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128.33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128.33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465"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811"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r>
        <w:tblPrEx>
          <w:tblLayout w:type="fixed"/>
          <w:tblCellMar>
            <w:top w:w="0" w:type="dxa"/>
            <w:left w:w="108" w:type="dxa"/>
            <w:bottom w:w="0" w:type="dxa"/>
            <w:right w:w="108" w:type="dxa"/>
          </w:tblCellMar>
        </w:tblPrEx>
        <w:trPr>
          <w:trHeight w:val="681" w:hRule="atLeast"/>
        </w:trPr>
        <w:tc>
          <w:tcPr>
            <w:tcW w:w="331"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33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129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highlight w:val="none"/>
              </w:rPr>
            </w:pPr>
            <w:r>
              <w:rPr>
                <w:rFonts w:hint="eastAsia" w:ascii="仿宋_GB2312" w:eastAsia="仿宋_GB2312"/>
                <w:b/>
                <w:bCs/>
                <w:color w:val="000000"/>
                <w:sz w:val="20"/>
                <w:szCs w:val="20"/>
                <w:highlight w:val="none"/>
              </w:rPr>
              <w:t>合  计</w:t>
            </w:r>
            <w:r>
              <w:rPr>
                <w:rFonts w:hint="eastAsia" w:ascii="仿宋_GB2312" w:eastAsia="仿宋_GB2312"/>
                <w:color w:val="000000"/>
                <w:sz w:val="20"/>
                <w:szCs w:val="20"/>
                <w:highlight w:val="none"/>
              </w:rPr>
              <w:t>　</w:t>
            </w:r>
          </w:p>
        </w:tc>
        <w:tc>
          <w:tcPr>
            <w:tcW w:w="99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152.66　</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152.66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0　</w:t>
            </w:r>
          </w:p>
        </w:tc>
        <w:tc>
          <w:tcPr>
            <w:tcW w:w="567" w:type="dxa"/>
            <w:tcBorders>
              <w:top w:val="nil"/>
              <w:left w:val="nil"/>
              <w:bottom w:val="single" w:color="auto" w:sz="4" w:space="0"/>
              <w:right w:val="nil"/>
            </w:tcBorders>
          </w:tcPr>
          <w:p>
            <w:pPr>
              <w:jc w:val="right"/>
              <w:rPr>
                <w:rFonts w:ascii="仿宋_GB2312" w:eastAsia="仿宋_GB2312"/>
                <w:color w:val="000000"/>
                <w:sz w:val="20"/>
                <w:szCs w:val="20"/>
                <w:highlight w:val="none"/>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highlight w:val="none"/>
              </w:rPr>
            </w:pPr>
            <w:r>
              <w:rPr>
                <w:rFonts w:hint="eastAsia" w:ascii="仿宋_GB2312" w:eastAsia="仿宋_GB2312"/>
                <w:color w:val="000000"/>
                <w:sz w:val="20"/>
                <w:szCs w:val="20"/>
                <w:highlight w:val="none"/>
              </w:rPr>
              <w:t>　</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highlight w:val="none"/>
              </w:rPr>
            </w:pPr>
          </w:p>
        </w:tc>
      </w:tr>
    </w:tbl>
    <w:p>
      <w:pPr>
        <w:widowControl/>
        <w:spacing w:line="280" w:lineRule="exact"/>
        <w:jc w:val="left"/>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表三：</w:t>
      </w:r>
    </w:p>
    <w:p>
      <w:pPr>
        <w:widowControl/>
        <w:spacing w:line="280" w:lineRule="exact"/>
        <w:jc w:val="center"/>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部门（单位）支出总体情况表</w:t>
      </w:r>
    </w:p>
    <w:p>
      <w:pPr>
        <w:widowControl/>
        <w:spacing w:line="280" w:lineRule="exact"/>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编制部门（单位）：克孜勒苏柯尔克孜自治州驻昌吉干休所  单位：万元</w:t>
      </w:r>
    </w:p>
    <w:tbl>
      <w:tblPr>
        <w:tblStyle w:val="10"/>
        <w:tblW w:w="9420" w:type="dxa"/>
        <w:tblInd w:w="-240" w:type="dxa"/>
        <w:tblLayout w:type="fixed"/>
        <w:tblCellMar>
          <w:top w:w="0" w:type="dxa"/>
          <w:left w:w="108" w:type="dxa"/>
          <w:bottom w:w="0" w:type="dxa"/>
          <w:right w:w="108" w:type="dxa"/>
        </w:tblCellMar>
      </w:tblPr>
      <w:tblGrid>
        <w:gridCol w:w="401"/>
        <w:gridCol w:w="400"/>
        <w:gridCol w:w="400"/>
        <w:gridCol w:w="2604"/>
        <w:gridCol w:w="1855"/>
        <w:gridCol w:w="1856"/>
        <w:gridCol w:w="1904"/>
      </w:tblGrid>
      <w:tr>
        <w:tblPrEx>
          <w:tblLayout w:type="fixed"/>
          <w:tblCellMar>
            <w:top w:w="0" w:type="dxa"/>
            <w:left w:w="108" w:type="dxa"/>
            <w:bottom w:w="0" w:type="dxa"/>
            <w:right w:w="108" w:type="dxa"/>
          </w:tblCellMar>
        </w:tblPrEx>
        <w:trPr>
          <w:trHeight w:val="345" w:hRule="atLeast"/>
        </w:trPr>
        <w:tc>
          <w:tcPr>
            <w:tcW w:w="3805"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项    目</w:t>
            </w:r>
          </w:p>
        </w:tc>
        <w:tc>
          <w:tcPr>
            <w:tcW w:w="5615" w:type="dxa"/>
            <w:gridSpan w:val="3"/>
            <w:tcBorders>
              <w:top w:val="single" w:color="auto" w:sz="4" w:space="0"/>
              <w:left w:val="nil"/>
              <w:bottom w:val="single" w:color="auto" w:sz="4" w:space="0"/>
              <w:right w:val="single" w:color="000000" w:sz="4" w:space="0"/>
            </w:tcBorders>
            <w:vAlign w:val="center"/>
          </w:tcPr>
          <w:p>
            <w:pPr>
              <w:widowControl/>
              <w:spacing w:line="280" w:lineRule="exact"/>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支出预算</w:t>
            </w:r>
          </w:p>
        </w:tc>
      </w:tr>
      <w:tr>
        <w:tblPrEx>
          <w:tblLayout w:type="fixed"/>
          <w:tblCellMar>
            <w:top w:w="0" w:type="dxa"/>
            <w:left w:w="108" w:type="dxa"/>
            <w:bottom w:w="0" w:type="dxa"/>
            <w:right w:w="108" w:type="dxa"/>
          </w:tblCellMar>
        </w:tblPrEx>
        <w:trPr>
          <w:trHeight w:val="480" w:hRule="atLeast"/>
        </w:trPr>
        <w:tc>
          <w:tcPr>
            <w:tcW w:w="120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功能分类科目编码</w:t>
            </w:r>
          </w:p>
        </w:tc>
        <w:tc>
          <w:tcPr>
            <w:tcW w:w="260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功能分类科目名称</w:t>
            </w:r>
          </w:p>
        </w:tc>
        <w:tc>
          <w:tcPr>
            <w:tcW w:w="185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合  计</w:t>
            </w:r>
          </w:p>
        </w:tc>
        <w:tc>
          <w:tcPr>
            <w:tcW w:w="18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基本支出</w:t>
            </w:r>
          </w:p>
        </w:tc>
        <w:tc>
          <w:tcPr>
            <w:tcW w:w="190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项目支出</w:t>
            </w:r>
          </w:p>
        </w:tc>
      </w:tr>
      <w:tr>
        <w:tblPrEx>
          <w:tblLayout w:type="fixed"/>
          <w:tblCellMar>
            <w:top w:w="0" w:type="dxa"/>
            <w:left w:w="108" w:type="dxa"/>
            <w:bottom w:w="0" w:type="dxa"/>
            <w:right w:w="108" w:type="dxa"/>
          </w:tblCellMar>
        </w:tblPrEx>
        <w:trPr>
          <w:trHeight w:val="270"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类</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款</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项</w:t>
            </w:r>
          </w:p>
        </w:tc>
        <w:tc>
          <w:tcPr>
            <w:tcW w:w="260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highlight w:val="none"/>
              </w:rPr>
            </w:pPr>
          </w:p>
        </w:tc>
        <w:tc>
          <w:tcPr>
            <w:tcW w:w="185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highlight w:val="none"/>
              </w:rPr>
            </w:pPr>
          </w:p>
        </w:tc>
        <w:tc>
          <w:tcPr>
            <w:tcW w:w="18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highlight w:val="none"/>
              </w:rPr>
            </w:pPr>
          </w:p>
        </w:tc>
        <w:tc>
          <w:tcPr>
            <w:tcW w:w="190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highlight w:val="none"/>
              </w:rPr>
            </w:pP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208</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05</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99</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仿宋" w:hAnsi="仿宋" w:eastAsia="仿宋"/>
                <w:color w:val="000000"/>
                <w:sz w:val="18"/>
                <w:szCs w:val="18"/>
                <w:highlight w:val="none"/>
              </w:rPr>
              <w:t>其他行政事业单位养老支出</w:t>
            </w: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24.33</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24.33　</w:t>
            </w: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208</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05</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03</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仿宋" w:hAnsi="仿宋" w:eastAsia="仿宋" w:cs="宋体"/>
                <w:color w:val="000000"/>
                <w:kern w:val="0"/>
                <w:sz w:val="18"/>
                <w:szCs w:val="18"/>
                <w:highlight w:val="none"/>
              </w:rPr>
              <w:t>离退休人员管理机构</w:t>
            </w:r>
            <w:r>
              <w:rPr>
                <w:rFonts w:hint="eastAsia" w:ascii="仿宋_GB2312" w:eastAsia="仿宋_GB2312"/>
                <w:color w:val="000000"/>
                <w:sz w:val="20"/>
                <w:szCs w:val="20"/>
                <w:highlight w:val="none"/>
              </w:rPr>
              <w:t>　</w:t>
            </w: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128.33</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128.33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highlight w:val="none"/>
              </w:rPr>
            </w:pPr>
            <w:r>
              <w:rPr>
                <w:rFonts w:hint="eastAsia" w:ascii="宋体" w:hAnsi="宋体" w:cs="宋体"/>
                <w:b/>
                <w:bCs/>
                <w:color w:val="000000"/>
                <w:kern w:val="0"/>
                <w:sz w:val="16"/>
                <w:szCs w:val="16"/>
                <w:highlight w:val="none"/>
              </w:rPr>
              <w:t>　</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　</w:t>
            </w:r>
          </w:p>
        </w:tc>
      </w:tr>
      <w:tr>
        <w:tblPrEx>
          <w:tblLayout w:type="fixed"/>
          <w:tblCellMar>
            <w:top w:w="0" w:type="dxa"/>
            <w:left w:w="108" w:type="dxa"/>
            <w:bottom w:w="0" w:type="dxa"/>
            <w:right w:w="108" w:type="dxa"/>
          </w:tblCellMar>
        </w:tblPrEx>
        <w:trPr>
          <w:trHeight w:val="579" w:hRule="atLeast"/>
        </w:trPr>
        <w:tc>
          <w:tcPr>
            <w:tcW w:w="401"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40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260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2"/>
                <w:szCs w:val="22"/>
                <w:highlight w:val="none"/>
              </w:rPr>
            </w:pPr>
            <w:r>
              <w:rPr>
                <w:rFonts w:hint="eastAsia" w:ascii="宋体" w:hAnsi="宋体" w:cs="宋体"/>
                <w:b/>
                <w:bCs/>
                <w:color w:val="000000"/>
                <w:kern w:val="0"/>
                <w:sz w:val="22"/>
                <w:szCs w:val="22"/>
                <w:highlight w:val="none"/>
              </w:rPr>
              <w:t>合  计</w:t>
            </w:r>
          </w:p>
        </w:tc>
        <w:tc>
          <w:tcPr>
            <w:tcW w:w="1855"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152.66</w:t>
            </w:r>
          </w:p>
        </w:tc>
        <w:tc>
          <w:tcPr>
            <w:tcW w:w="1856"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128.33</w:t>
            </w:r>
          </w:p>
        </w:tc>
        <w:tc>
          <w:tcPr>
            <w:tcW w:w="1904"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24.33</w:t>
            </w:r>
          </w:p>
        </w:tc>
      </w:tr>
    </w:tbl>
    <w:p>
      <w:pPr>
        <w:widowControl/>
        <w:spacing w:beforeLines="50" w:line="280" w:lineRule="exact"/>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表四：</w:t>
      </w:r>
    </w:p>
    <w:p>
      <w:pPr>
        <w:widowControl/>
        <w:spacing w:beforeLines="50" w:line="280" w:lineRule="exact"/>
        <w:jc w:val="center"/>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财政拨款收支预算总体情况表</w:t>
      </w:r>
    </w:p>
    <w:p>
      <w:pPr>
        <w:widowControl/>
        <w:spacing w:beforeLines="50" w:line="280" w:lineRule="exact"/>
        <w:outlineLvl w:val="1"/>
        <w:rPr>
          <w:rFonts w:ascii="仿宋_GB2312" w:hAnsi="宋体" w:eastAsia="仿宋_GB2312"/>
          <w:kern w:val="0"/>
          <w:szCs w:val="21"/>
          <w:highlight w:val="none"/>
        </w:rPr>
      </w:pPr>
      <w:r>
        <w:rPr>
          <w:rFonts w:hint="eastAsia" w:ascii="仿宋_GB2312" w:hAnsi="宋体" w:eastAsia="仿宋_GB2312"/>
          <w:kern w:val="0"/>
          <w:szCs w:val="21"/>
          <w:highlight w:val="none"/>
        </w:rPr>
        <w:t>编制部门（单位）：</w:t>
      </w:r>
      <w:r>
        <w:rPr>
          <w:rFonts w:hint="eastAsia" w:ascii="仿宋_GB2312" w:hAnsi="宋体" w:eastAsia="仿宋_GB2312"/>
          <w:kern w:val="0"/>
          <w:sz w:val="24"/>
          <w:highlight w:val="none"/>
        </w:rPr>
        <w:t>克孜勒苏柯尔克孜自治州驻昌吉干休所</w:t>
      </w:r>
      <w:r>
        <w:rPr>
          <w:rFonts w:hint="eastAsia" w:ascii="仿宋_GB2312" w:hAnsi="宋体" w:eastAsia="仿宋_GB2312"/>
          <w:kern w:val="0"/>
          <w:szCs w:val="21"/>
          <w:highlight w:val="none"/>
        </w:rPr>
        <w:t xml:space="preserve">           单位：万元</w:t>
      </w:r>
    </w:p>
    <w:tbl>
      <w:tblPr>
        <w:tblStyle w:val="10"/>
        <w:tblpPr w:leftFromText="180" w:rightFromText="180" w:vertAnchor="text" w:tblpY="1"/>
        <w:tblOverlap w:val="never"/>
        <w:tblW w:w="9449" w:type="dxa"/>
        <w:tblInd w:w="0" w:type="dxa"/>
        <w:tblLayout w:type="fixed"/>
        <w:tblCellMar>
          <w:top w:w="0" w:type="dxa"/>
          <w:left w:w="108" w:type="dxa"/>
          <w:bottom w:w="0" w:type="dxa"/>
          <w:right w:w="108" w:type="dxa"/>
        </w:tblCellMar>
      </w:tblPr>
      <w:tblGrid>
        <w:gridCol w:w="1795"/>
        <w:gridCol w:w="1055"/>
        <w:gridCol w:w="2580"/>
        <w:gridCol w:w="901"/>
        <w:gridCol w:w="850"/>
        <w:gridCol w:w="1134"/>
        <w:gridCol w:w="1134"/>
      </w:tblGrid>
      <w:tr>
        <w:tblPrEx>
          <w:tblLayout w:type="fixed"/>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财政拨款收入</w:t>
            </w:r>
          </w:p>
        </w:tc>
        <w:tc>
          <w:tcPr>
            <w:tcW w:w="5465"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财政拨款支出</w:t>
            </w:r>
          </w:p>
        </w:tc>
        <w:tc>
          <w:tcPr>
            <w:tcW w:w="1134" w:type="dxa"/>
            <w:tcBorders>
              <w:top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highlight w:val="none"/>
              </w:rPr>
            </w:pPr>
          </w:p>
        </w:tc>
      </w:tr>
      <w:tr>
        <w:tblPrEx>
          <w:tblLayout w:type="fixed"/>
          <w:tblCellMar>
            <w:top w:w="0" w:type="dxa"/>
            <w:left w:w="108" w:type="dxa"/>
            <w:bottom w:w="0" w:type="dxa"/>
            <w:right w:w="108" w:type="dxa"/>
          </w:tblCellMar>
        </w:tblPrEx>
        <w:trPr>
          <w:trHeight w:val="465" w:hRule="atLeas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highlight w:val="none"/>
              </w:rPr>
            </w:pPr>
            <w:r>
              <w:rPr>
                <w:rFonts w:hint="eastAsia" w:ascii="仿宋_GB2312" w:hAnsi="宋体" w:eastAsia="仿宋_GB2312" w:cs="宋体"/>
                <w:b/>
                <w:kern w:val="0"/>
                <w:sz w:val="20"/>
                <w:szCs w:val="20"/>
                <w:highlight w:val="none"/>
              </w:rPr>
              <w:t>项    目</w:t>
            </w:r>
          </w:p>
        </w:tc>
        <w:tc>
          <w:tcPr>
            <w:tcW w:w="105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highlight w:val="none"/>
              </w:rPr>
            </w:pPr>
            <w:r>
              <w:rPr>
                <w:rFonts w:hint="eastAsia" w:ascii="仿宋_GB2312" w:hAnsi="宋体" w:eastAsia="仿宋_GB2312" w:cs="宋体"/>
                <w:b/>
                <w:kern w:val="0"/>
                <w:sz w:val="20"/>
                <w:szCs w:val="20"/>
                <w:highlight w:val="none"/>
              </w:rPr>
              <w:t>合  计</w:t>
            </w:r>
          </w:p>
        </w:tc>
        <w:tc>
          <w:tcPr>
            <w:tcW w:w="258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highlight w:val="none"/>
              </w:rPr>
            </w:pPr>
            <w:r>
              <w:rPr>
                <w:rFonts w:hint="eastAsia" w:ascii="仿宋_GB2312" w:hAnsi="宋体" w:eastAsia="仿宋_GB2312" w:cs="宋体"/>
                <w:b/>
                <w:kern w:val="0"/>
                <w:sz w:val="20"/>
                <w:szCs w:val="20"/>
                <w:highlight w:val="none"/>
              </w:rPr>
              <w:t>功  能  分  类</w:t>
            </w:r>
          </w:p>
        </w:tc>
        <w:tc>
          <w:tcPr>
            <w:tcW w:w="901"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highlight w:val="none"/>
              </w:rPr>
            </w:pPr>
            <w:r>
              <w:rPr>
                <w:rFonts w:hint="eastAsia" w:ascii="仿宋_GB2312" w:hAnsi="宋体" w:eastAsia="仿宋_GB2312" w:cs="宋体"/>
                <w:b/>
                <w:kern w:val="0"/>
                <w:sz w:val="20"/>
                <w:szCs w:val="20"/>
                <w:highlight w:val="none"/>
              </w:rPr>
              <w:t>合 计</w:t>
            </w:r>
          </w:p>
        </w:tc>
        <w:tc>
          <w:tcPr>
            <w:tcW w:w="85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highlight w:val="none"/>
              </w:rPr>
            </w:pPr>
            <w:r>
              <w:rPr>
                <w:rFonts w:hint="eastAsia" w:ascii="仿宋_GB2312" w:hAnsi="宋体" w:eastAsia="仿宋_GB2312" w:cs="宋体"/>
                <w:b/>
                <w:kern w:val="0"/>
                <w:sz w:val="20"/>
                <w:szCs w:val="20"/>
                <w:highlight w:val="none"/>
              </w:rPr>
              <w:t>一般公共预算</w:t>
            </w:r>
          </w:p>
        </w:tc>
        <w:tc>
          <w:tcPr>
            <w:tcW w:w="113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highlight w:val="none"/>
              </w:rPr>
            </w:pPr>
            <w:r>
              <w:rPr>
                <w:rFonts w:hint="eastAsia" w:ascii="仿宋_GB2312" w:hAnsi="宋体" w:eastAsia="仿宋_GB2312" w:cs="宋体"/>
                <w:b/>
                <w:kern w:val="0"/>
                <w:sz w:val="20"/>
                <w:szCs w:val="20"/>
                <w:highlight w:val="none"/>
              </w:rPr>
              <w:t>政府性基金预算</w:t>
            </w:r>
          </w:p>
        </w:tc>
        <w:tc>
          <w:tcPr>
            <w:tcW w:w="1134" w:type="dxa"/>
            <w:tcBorders>
              <w:top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highlight w:val="none"/>
              </w:rPr>
            </w:pPr>
            <w:r>
              <w:rPr>
                <w:rFonts w:hint="eastAsia" w:ascii="仿宋_GB2312" w:hAnsi="宋体" w:eastAsia="仿宋_GB2312" w:cs="宋体"/>
                <w:b/>
                <w:kern w:val="0"/>
                <w:sz w:val="20"/>
                <w:szCs w:val="20"/>
                <w:highlight w:val="none"/>
              </w:rPr>
              <w:t>国有</w:t>
            </w:r>
            <w:r>
              <w:rPr>
                <w:rFonts w:ascii="仿宋_GB2312" w:hAnsi="宋体" w:eastAsia="仿宋_GB2312" w:cs="宋体"/>
                <w:b/>
                <w:kern w:val="0"/>
                <w:sz w:val="20"/>
                <w:szCs w:val="20"/>
                <w:highlight w:val="none"/>
              </w:rPr>
              <w:t>资本经营预算</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5"/>
                <w:szCs w:val="15"/>
                <w:highlight w:val="none"/>
              </w:rPr>
            </w:pPr>
            <w:r>
              <w:rPr>
                <w:rFonts w:hint="eastAsia" w:ascii="仿宋_GB2312" w:hAnsi="宋体" w:eastAsia="仿宋_GB2312" w:cs="宋体"/>
                <w:kern w:val="0"/>
                <w:sz w:val="15"/>
                <w:szCs w:val="15"/>
                <w:highlight w:val="none"/>
              </w:rPr>
              <w:t>一、财政拨款（补助）</w:t>
            </w:r>
          </w:p>
        </w:tc>
        <w:tc>
          <w:tcPr>
            <w:tcW w:w="105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152.66　</w:t>
            </w:r>
          </w:p>
        </w:tc>
        <w:tc>
          <w:tcPr>
            <w:tcW w:w="2580"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201 一般公共服务支出</w:t>
            </w:r>
          </w:p>
        </w:tc>
        <w:tc>
          <w:tcPr>
            <w:tcW w:w="901" w:type="dxa"/>
            <w:tcBorders>
              <w:top w:val="single" w:color="auto" w:sz="4" w:space="0"/>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single" w:color="auto" w:sz="4" w:space="0"/>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highlight w:val="none"/>
              </w:rPr>
            </w:pP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一般公共预算</w:t>
            </w:r>
          </w:p>
        </w:tc>
        <w:tc>
          <w:tcPr>
            <w:tcW w:w="105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152.66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202 外交支出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政府性基金预算</w:t>
            </w:r>
          </w:p>
        </w:tc>
        <w:tc>
          <w:tcPr>
            <w:tcW w:w="105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203 国防支出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国有资本</w:t>
            </w:r>
            <w:r>
              <w:rPr>
                <w:rFonts w:ascii="仿宋_GB2312" w:hAnsi="宋体" w:eastAsia="仿宋_GB2312" w:cs="宋体"/>
                <w:kern w:val="0"/>
                <w:sz w:val="18"/>
                <w:szCs w:val="18"/>
                <w:highlight w:val="none"/>
              </w:rPr>
              <w:t>经营预算</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0</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204 公共安全支出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205 教育支出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206 科学技术支出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207 文化旅游体育与传媒支出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208 社会保障和就业支出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152.66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152.66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0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209 社会保险基金支出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210 医疗卫生</w:t>
            </w:r>
            <w:r>
              <w:rPr>
                <w:rFonts w:ascii="仿宋_GB2312" w:hAnsi="宋体" w:eastAsia="仿宋_GB2312" w:cs="宋体"/>
                <w:kern w:val="0"/>
                <w:sz w:val="18"/>
                <w:szCs w:val="18"/>
                <w:highlight w:val="none"/>
              </w:rPr>
              <w:t>与计划生育支出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5"/>
                <w:szCs w:val="15"/>
                <w:highlight w:val="none"/>
              </w:rPr>
            </w:pPr>
            <w:r>
              <w:rPr>
                <w:rFonts w:hint="eastAsia" w:ascii="仿宋_GB2312" w:hAnsi="宋体" w:eastAsia="仿宋_GB2312" w:cs="宋体"/>
                <w:kern w:val="0"/>
                <w:sz w:val="18"/>
                <w:szCs w:val="18"/>
                <w:highlight w:val="none"/>
              </w:rPr>
              <w:t>211 节能环保支出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212 城乡社区支出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213 农林水支出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214 交通运输支出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215 资源勘探工业信息等支出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216 商业服务业等支出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217 金融支出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219 援助其他地区支出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220 自然资源海洋气象等支出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221 住房保障支出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222 粮油物资储备支出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223 国有资本经营预算支出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224灾害防治及应急管理支出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5"/>
                <w:szCs w:val="15"/>
                <w:highlight w:val="none"/>
              </w:rPr>
            </w:pPr>
            <w:r>
              <w:rPr>
                <w:rFonts w:hint="eastAsia" w:ascii="仿宋_GB2312" w:hAnsi="宋体" w:eastAsia="仿宋_GB2312" w:cs="宋体"/>
                <w:kern w:val="0"/>
                <w:sz w:val="18"/>
                <w:szCs w:val="18"/>
                <w:highlight w:val="none"/>
              </w:rPr>
              <w:t>227 预备费</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229 其他支出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230转移性支出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231 债务还本支出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232 债务付息支出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233 债务发行费用支出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234 抗疫特别国债还本支出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p>
        </w:tc>
        <w:tc>
          <w:tcPr>
            <w:tcW w:w="1055" w:type="dxa"/>
            <w:tcBorders>
              <w:top w:val="nil"/>
              <w:left w:val="nil"/>
              <w:bottom w:val="single" w:color="auto" w:sz="4" w:space="0"/>
              <w:right w:val="single" w:color="auto" w:sz="4" w:space="0"/>
            </w:tcBorders>
            <w:vAlign w:val="bottom"/>
          </w:tcPr>
          <w:p>
            <w:pPr>
              <w:widowControl/>
              <w:spacing w:line="280" w:lineRule="exact"/>
              <w:jc w:val="left"/>
              <w:rPr>
                <w:rFonts w:ascii="仿宋_GB2312" w:hAnsi="宋体" w:eastAsia="仿宋_GB2312" w:cs="宋体"/>
                <w:color w:val="000000"/>
                <w:kern w:val="0"/>
                <w:sz w:val="22"/>
                <w:szCs w:val="22"/>
                <w:highlight w:val="none"/>
              </w:rPr>
            </w:pP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highlight w:val="none"/>
              </w:rPr>
            </w:pP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收  入  总  计</w:t>
            </w:r>
          </w:p>
        </w:tc>
        <w:tc>
          <w:tcPr>
            <w:tcW w:w="105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2"/>
                <w:szCs w:val="22"/>
                <w:highlight w:val="none"/>
              </w:rPr>
            </w:pPr>
            <w:r>
              <w:rPr>
                <w:rFonts w:hint="eastAsia" w:ascii="仿宋_GB2312" w:hAnsi="宋体" w:eastAsia="仿宋_GB2312" w:cs="宋体"/>
                <w:color w:val="000000"/>
                <w:kern w:val="0"/>
                <w:sz w:val="22"/>
                <w:szCs w:val="22"/>
                <w:highlight w:val="none"/>
              </w:rPr>
              <w:t>　</w:t>
            </w:r>
          </w:p>
        </w:tc>
        <w:tc>
          <w:tcPr>
            <w:tcW w:w="2580"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支  出  总  计</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color w:val="000000"/>
                <w:kern w:val="0"/>
                <w:sz w:val="22"/>
                <w:szCs w:val="22"/>
                <w:highlight w:val="none"/>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color w:val="000000"/>
                <w:kern w:val="0"/>
                <w:sz w:val="22"/>
                <w:szCs w:val="22"/>
                <w:highlight w:val="none"/>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hAnsi="宋体" w:cs="宋体"/>
                <w:kern w:val="0"/>
                <w:sz w:val="18"/>
                <w:szCs w:val="18"/>
                <w:highlight w:val="none"/>
              </w:rPr>
            </w:pPr>
          </w:p>
        </w:tc>
      </w:tr>
    </w:tbl>
    <w:p>
      <w:pPr>
        <w:widowControl/>
        <w:outlineLvl w:val="1"/>
        <w:rPr>
          <w:rFonts w:ascii="仿宋_GB2312" w:hAnsi="宋体" w:eastAsia="仿宋_GB2312"/>
          <w:b/>
          <w:kern w:val="0"/>
          <w:sz w:val="28"/>
          <w:szCs w:val="32"/>
          <w:highlight w:val="none"/>
        </w:rPr>
      </w:pPr>
      <w:r>
        <w:rPr>
          <w:rFonts w:ascii="仿宋_GB2312" w:hAnsi="宋体" w:eastAsia="仿宋_GB2312"/>
          <w:b/>
          <w:kern w:val="0"/>
          <w:sz w:val="28"/>
          <w:szCs w:val="32"/>
          <w:highlight w:val="none"/>
        </w:rPr>
        <w:br w:type="textWrapping" w:clear="all"/>
      </w:r>
    </w:p>
    <w:p>
      <w:pPr>
        <w:widowControl/>
        <w:jc w:val="left"/>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表五：</w:t>
      </w:r>
    </w:p>
    <w:tbl>
      <w:tblPr>
        <w:tblStyle w:val="10"/>
        <w:tblW w:w="9214" w:type="dxa"/>
        <w:tblInd w:w="-34" w:type="dxa"/>
        <w:tblLayout w:type="fixed"/>
        <w:tblCellMar>
          <w:top w:w="0" w:type="dxa"/>
          <w:left w:w="108" w:type="dxa"/>
          <w:bottom w:w="0" w:type="dxa"/>
          <w:right w:w="108" w:type="dxa"/>
        </w:tblCellMar>
      </w:tblPr>
      <w:tblGrid>
        <w:gridCol w:w="568"/>
        <w:gridCol w:w="492"/>
        <w:gridCol w:w="417"/>
        <w:gridCol w:w="2510"/>
        <w:gridCol w:w="660"/>
        <w:gridCol w:w="1024"/>
        <w:gridCol w:w="216"/>
        <w:gridCol w:w="1626"/>
        <w:gridCol w:w="1701"/>
      </w:tblGrid>
      <w:tr>
        <w:tblPrEx>
          <w:tblLayout w:type="fixed"/>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vAlign w:val="center"/>
          </w:tcPr>
          <w:p>
            <w:pPr>
              <w:widowControl/>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一般公共预算支出情况表</w:t>
            </w:r>
          </w:p>
        </w:tc>
      </w:tr>
      <w:tr>
        <w:tblPrEx>
          <w:tblLayout w:type="fixed"/>
          <w:tblCellMar>
            <w:top w:w="0" w:type="dxa"/>
            <w:left w:w="108" w:type="dxa"/>
            <w:bottom w:w="0" w:type="dxa"/>
            <w:right w:w="108" w:type="dxa"/>
          </w:tblCellMar>
        </w:tblPrEx>
        <w:trPr>
          <w:trHeight w:val="285" w:hRule="atLeast"/>
        </w:trPr>
        <w:tc>
          <w:tcPr>
            <w:tcW w:w="3987"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编制部门（单位）：</w:t>
            </w:r>
            <w:r>
              <w:rPr>
                <w:rFonts w:hint="eastAsia" w:ascii="仿宋_GB2312" w:hAnsi="宋体" w:eastAsia="仿宋_GB2312"/>
                <w:kern w:val="0"/>
                <w:sz w:val="24"/>
                <w:highlight w:val="none"/>
              </w:rPr>
              <w:t>克孜勒苏柯尔克孜自治州驻昌吉干休所</w:t>
            </w:r>
          </w:p>
        </w:tc>
        <w:tc>
          <w:tcPr>
            <w:tcW w:w="660" w:type="dxa"/>
            <w:tcBorders>
              <w:top w:val="nil"/>
              <w:left w:val="nil"/>
              <w:bottom w:val="nil"/>
              <w:right w:val="nil"/>
            </w:tcBorders>
            <w:vAlign w:val="center"/>
          </w:tcPr>
          <w:p>
            <w:pPr>
              <w:widowControl/>
              <w:jc w:val="left"/>
              <w:rPr>
                <w:rFonts w:ascii="仿宋_GB2312" w:hAnsi="宋体" w:eastAsia="仿宋_GB2312" w:cs="宋体"/>
                <w:color w:val="000000"/>
                <w:kern w:val="0"/>
                <w:sz w:val="24"/>
                <w:highlight w:val="none"/>
              </w:rPr>
            </w:pPr>
          </w:p>
        </w:tc>
        <w:tc>
          <w:tcPr>
            <w:tcW w:w="1240"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highlight w:val="none"/>
              </w:rPr>
            </w:pPr>
          </w:p>
        </w:tc>
        <w:tc>
          <w:tcPr>
            <w:tcW w:w="3327" w:type="dxa"/>
            <w:gridSpan w:val="2"/>
            <w:tcBorders>
              <w:top w:val="nil"/>
              <w:left w:val="nil"/>
              <w:bottom w:val="nil"/>
              <w:right w:val="nil"/>
            </w:tcBorders>
            <w:vAlign w:val="center"/>
          </w:tcPr>
          <w:p>
            <w:pPr>
              <w:widowControl/>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单位：万元</w:t>
            </w:r>
          </w:p>
        </w:tc>
      </w:tr>
      <w:tr>
        <w:tblPrEx>
          <w:tblLayout w:type="fixed"/>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2"/>
                <w:szCs w:val="22"/>
                <w:highlight w:val="none"/>
              </w:rPr>
            </w:pPr>
            <w:r>
              <w:rPr>
                <w:rFonts w:hint="eastAsia" w:ascii="仿宋_GB2312" w:hAnsi="宋体" w:eastAsia="仿宋_GB2312" w:cs="宋体"/>
                <w:b/>
                <w:bCs/>
                <w:color w:val="000000"/>
                <w:kern w:val="0"/>
                <w:sz w:val="22"/>
                <w:szCs w:val="22"/>
                <w:highlight w:val="none"/>
              </w:rPr>
              <w:t>项   目</w:t>
            </w:r>
          </w:p>
        </w:tc>
        <w:tc>
          <w:tcPr>
            <w:tcW w:w="5227"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2"/>
                <w:szCs w:val="22"/>
                <w:highlight w:val="none"/>
              </w:rPr>
            </w:pPr>
            <w:r>
              <w:rPr>
                <w:rFonts w:hint="eastAsia" w:ascii="仿宋_GB2312" w:hAnsi="宋体" w:eastAsia="仿宋_GB2312" w:cs="宋体"/>
                <w:b/>
                <w:bCs/>
                <w:color w:val="000000"/>
                <w:kern w:val="0"/>
                <w:sz w:val="22"/>
                <w:szCs w:val="22"/>
                <w:highlight w:val="none"/>
              </w:rPr>
              <w:t>一般公共预算支出</w:t>
            </w:r>
          </w:p>
        </w:tc>
      </w:tr>
      <w:tr>
        <w:tblPrEx>
          <w:tblLayout w:type="fixed"/>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功能分类科目编码</w:t>
            </w:r>
          </w:p>
        </w:tc>
        <w:tc>
          <w:tcPr>
            <w:tcW w:w="25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功能分类科目名称</w:t>
            </w:r>
          </w:p>
        </w:tc>
        <w:tc>
          <w:tcPr>
            <w:tcW w:w="1684"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合  计</w:t>
            </w:r>
          </w:p>
        </w:tc>
        <w:tc>
          <w:tcPr>
            <w:tcW w:w="1842"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基本支出</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项目支出</w:t>
            </w:r>
          </w:p>
        </w:tc>
      </w:tr>
      <w:tr>
        <w:tblPrEx>
          <w:tblLayout w:type="fixed"/>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类</w:t>
            </w:r>
          </w:p>
        </w:tc>
        <w:tc>
          <w:tcPr>
            <w:tcW w:w="49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款</w:t>
            </w:r>
          </w:p>
        </w:tc>
        <w:tc>
          <w:tcPr>
            <w:tcW w:w="41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项</w:t>
            </w:r>
          </w:p>
        </w:tc>
        <w:tc>
          <w:tcPr>
            <w:tcW w:w="25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highlight w:val="none"/>
              </w:rPr>
            </w:pPr>
          </w:p>
        </w:tc>
        <w:tc>
          <w:tcPr>
            <w:tcW w:w="16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highlight w:val="none"/>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highlight w:val="none"/>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highlight w:val="none"/>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highlight w:val="none"/>
              </w:rPr>
            </w:pPr>
            <w:r>
              <w:rPr>
                <w:rFonts w:hint="eastAsia" w:ascii="仿宋_GB2312" w:hAnsi="宋体" w:eastAsia="仿宋_GB2312" w:cs="宋体"/>
                <w:b/>
                <w:color w:val="000000"/>
                <w:kern w:val="0"/>
                <w:sz w:val="20"/>
                <w:szCs w:val="20"/>
                <w:highlight w:val="none"/>
              </w:rPr>
              <w:t>208</w:t>
            </w: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highlight w:val="none"/>
              </w:rPr>
            </w:pPr>
            <w:r>
              <w:rPr>
                <w:rFonts w:hint="eastAsia" w:ascii="仿宋_GB2312" w:hAnsi="宋体" w:eastAsia="仿宋_GB2312" w:cs="宋体"/>
                <w:b/>
                <w:color w:val="000000"/>
                <w:kern w:val="0"/>
                <w:sz w:val="20"/>
                <w:szCs w:val="20"/>
                <w:highlight w:val="none"/>
              </w:rPr>
              <w:t>05</w:t>
            </w:r>
          </w:p>
        </w:tc>
        <w:tc>
          <w:tcPr>
            <w:tcW w:w="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highlight w:val="none"/>
              </w:rPr>
            </w:pPr>
            <w:r>
              <w:rPr>
                <w:rFonts w:hint="eastAsia" w:ascii="仿宋_GB2312" w:hAnsi="宋体" w:eastAsia="仿宋_GB2312" w:cs="宋体"/>
                <w:b/>
                <w:color w:val="000000"/>
                <w:kern w:val="0"/>
                <w:sz w:val="20"/>
                <w:szCs w:val="20"/>
                <w:highlight w:val="none"/>
              </w:rPr>
              <w:t>99</w:t>
            </w:r>
          </w:p>
        </w:tc>
        <w:tc>
          <w:tcPr>
            <w:tcW w:w="251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highlight w:val="none"/>
              </w:rPr>
            </w:pPr>
            <w:r>
              <w:rPr>
                <w:rFonts w:hint="eastAsia" w:ascii="仿宋" w:hAnsi="仿宋" w:eastAsia="仿宋"/>
                <w:color w:val="000000"/>
                <w:sz w:val="18"/>
                <w:szCs w:val="18"/>
                <w:highlight w:val="none"/>
              </w:rPr>
              <w:t>其他行政事业单位养老支出</w:t>
            </w:r>
          </w:p>
        </w:tc>
        <w:tc>
          <w:tcPr>
            <w:tcW w:w="1684"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highlight w:val="none"/>
              </w:rPr>
            </w:pPr>
            <w:r>
              <w:rPr>
                <w:rFonts w:hint="eastAsia" w:ascii="仿宋_GB2312" w:hAnsi="宋体" w:eastAsia="仿宋_GB2312" w:cs="宋体"/>
                <w:b/>
                <w:color w:val="000000"/>
                <w:kern w:val="0"/>
                <w:sz w:val="20"/>
                <w:szCs w:val="20"/>
                <w:highlight w:val="none"/>
              </w:rPr>
              <w:t>　24.33</w:t>
            </w:r>
          </w:p>
        </w:tc>
        <w:tc>
          <w:tcPr>
            <w:tcW w:w="1842"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highlight w:val="none"/>
              </w:rPr>
            </w:pPr>
            <w:r>
              <w:rPr>
                <w:rFonts w:hint="eastAsia" w:ascii="仿宋_GB2312" w:hAnsi="宋体" w:eastAsia="仿宋_GB2312" w:cs="宋体"/>
                <w:b/>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color w:val="000000"/>
                <w:kern w:val="0"/>
                <w:sz w:val="20"/>
                <w:szCs w:val="20"/>
                <w:highlight w:val="none"/>
              </w:rPr>
            </w:pPr>
            <w:r>
              <w:rPr>
                <w:rFonts w:hint="eastAsia" w:ascii="仿宋_GB2312" w:hAnsi="宋体" w:eastAsia="仿宋_GB2312" w:cs="宋体"/>
                <w:b/>
                <w:color w:val="000000"/>
                <w:kern w:val="0"/>
                <w:sz w:val="20"/>
                <w:szCs w:val="20"/>
                <w:highlight w:val="none"/>
              </w:rPr>
              <w:t>　24.33</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208</w:t>
            </w:r>
          </w:p>
        </w:tc>
        <w:tc>
          <w:tcPr>
            <w:tcW w:w="4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05</w:t>
            </w:r>
          </w:p>
        </w:tc>
        <w:tc>
          <w:tcPr>
            <w:tcW w:w="41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03</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仿宋" w:hAnsi="仿宋" w:eastAsia="仿宋" w:cs="宋体"/>
                <w:color w:val="000000"/>
                <w:kern w:val="0"/>
                <w:sz w:val="18"/>
                <w:szCs w:val="18"/>
                <w:highlight w:val="none"/>
              </w:rPr>
              <w:t>离退休人员管理机构</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128.33</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128.33</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4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25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4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b/>
                <w:bCs/>
                <w:color w:val="000000"/>
                <w:kern w:val="0"/>
                <w:sz w:val="20"/>
                <w:szCs w:val="20"/>
                <w:highlight w:val="none"/>
              </w:rPr>
              <w:t>合  计</w:t>
            </w:r>
          </w:p>
        </w:tc>
        <w:tc>
          <w:tcPr>
            <w:tcW w:w="16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152.66</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128.33</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24.33</w:t>
            </w:r>
          </w:p>
        </w:tc>
      </w:tr>
    </w:tbl>
    <w:p>
      <w:pPr>
        <w:widowControl/>
        <w:outlineLvl w:val="1"/>
        <w:rPr>
          <w:rFonts w:ascii="仿宋_GB2312" w:hAnsi="宋体" w:eastAsia="仿宋_GB2312"/>
          <w:b/>
          <w:kern w:val="0"/>
          <w:sz w:val="28"/>
          <w:szCs w:val="32"/>
          <w:highlight w:val="none"/>
        </w:rPr>
      </w:pPr>
    </w:p>
    <w:p>
      <w:pPr>
        <w:widowControl/>
        <w:outlineLvl w:val="1"/>
        <w:rPr>
          <w:rFonts w:ascii="仿宋_GB2312" w:hAnsi="宋体" w:eastAsia="仿宋_GB2312"/>
          <w:b/>
          <w:kern w:val="0"/>
          <w:sz w:val="28"/>
          <w:szCs w:val="32"/>
          <w:highlight w:val="none"/>
        </w:rPr>
      </w:pPr>
    </w:p>
    <w:p>
      <w:pPr>
        <w:widowControl/>
        <w:outlineLvl w:val="1"/>
        <w:rPr>
          <w:rFonts w:ascii="仿宋_GB2312" w:hAnsi="宋体" w:eastAsia="仿宋_GB2312"/>
          <w:b/>
          <w:kern w:val="0"/>
          <w:sz w:val="28"/>
          <w:szCs w:val="32"/>
          <w:highlight w:val="none"/>
        </w:rPr>
      </w:pPr>
    </w:p>
    <w:p>
      <w:pPr>
        <w:widowControl/>
        <w:outlineLvl w:val="1"/>
        <w:rPr>
          <w:rFonts w:ascii="仿宋_GB2312" w:hAnsi="宋体" w:eastAsia="仿宋_GB2312"/>
          <w:b/>
          <w:kern w:val="0"/>
          <w:sz w:val="28"/>
          <w:szCs w:val="32"/>
          <w:highlight w:val="none"/>
        </w:rPr>
      </w:pPr>
    </w:p>
    <w:p>
      <w:pPr>
        <w:widowControl/>
        <w:jc w:val="left"/>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表六：</w:t>
      </w:r>
    </w:p>
    <w:tbl>
      <w:tblPr>
        <w:tblStyle w:val="10"/>
        <w:tblW w:w="9328" w:type="dxa"/>
        <w:tblInd w:w="-148" w:type="dxa"/>
        <w:tblLayout w:type="fixed"/>
        <w:tblCellMar>
          <w:top w:w="0" w:type="dxa"/>
          <w:left w:w="108" w:type="dxa"/>
          <w:bottom w:w="0" w:type="dxa"/>
          <w:right w:w="108" w:type="dxa"/>
        </w:tblCellMar>
      </w:tblPr>
      <w:tblGrid>
        <w:gridCol w:w="757"/>
        <w:gridCol w:w="775"/>
        <w:gridCol w:w="2693"/>
        <w:gridCol w:w="995"/>
        <w:gridCol w:w="706"/>
        <w:gridCol w:w="976"/>
        <w:gridCol w:w="725"/>
        <w:gridCol w:w="1701"/>
      </w:tblGrid>
      <w:tr>
        <w:tblPrEx>
          <w:tblLayout w:type="fixed"/>
          <w:tblCellMar>
            <w:top w:w="0" w:type="dxa"/>
            <w:left w:w="108" w:type="dxa"/>
            <w:bottom w:w="0" w:type="dxa"/>
            <w:right w:w="108" w:type="dxa"/>
          </w:tblCellMar>
        </w:tblPrEx>
        <w:trPr>
          <w:trHeight w:val="375" w:hRule="atLeast"/>
        </w:trPr>
        <w:tc>
          <w:tcPr>
            <w:tcW w:w="9328" w:type="dxa"/>
            <w:gridSpan w:val="8"/>
            <w:tcBorders>
              <w:top w:val="nil"/>
              <w:left w:val="nil"/>
              <w:bottom w:val="nil"/>
              <w:right w:val="nil"/>
            </w:tcBorders>
            <w:vAlign w:val="center"/>
          </w:tcPr>
          <w:p>
            <w:pPr>
              <w:widowControl/>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一般公共预算基本支出情况表</w:t>
            </w:r>
          </w:p>
        </w:tc>
      </w:tr>
      <w:tr>
        <w:tblPrEx>
          <w:tblLayout w:type="fixed"/>
          <w:tblCellMar>
            <w:top w:w="0" w:type="dxa"/>
            <w:left w:w="108" w:type="dxa"/>
            <w:bottom w:w="0" w:type="dxa"/>
            <w:right w:w="108" w:type="dxa"/>
          </w:tblCellMar>
        </w:tblPrEx>
        <w:trPr>
          <w:trHeight w:val="405" w:hRule="atLeast"/>
        </w:trPr>
        <w:tc>
          <w:tcPr>
            <w:tcW w:w="4225" w:type="dxa"/>
            <w:gridSpan w:val="3"/>
            <w:tcBorders>
              <w:top w:val="nil"/>
              <w:left w:val="nil"/>
              <w:bottom w:val="nil"/>
              <w:right w:val="nil"/>
            </w:tcBorders>
            <w:vAlign w:val="center"/>
          </w:tcPr>
          <w:p>
            <w:pPr>
              <w:widowControl/>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编制部门（单位）：</w:t>
            </w:r>
            <w:r>
              <w:rPr>
                <w:rFonts w:hint="eastAsia" w:ascii="仿宋_GB2312" w:hAnsi="宋体" w:eastAsia="仿宋_GB2312"/>
                <w:kern w:val="0"/>
                <w:sz w:val="24"/>
                <w:highlight w:val="none"/>
              </w:rPr>
              <w:t>克孜勒苏柯尔克孜自治州驻昌吉干休所</w:t>
            </w:r>
          </w:p>
        </w:tc>
        <w:tc>
          <w:tcPr>
            <w:tcW w:w="995" w:type="dxa"/>
            <w:tcBorders>
              <w:top w:val="nil"/>
              <w:left w:val="nil"/>
              <w:bottom w:val="nil"/>
              <w:right w:val="nil"/>
            </w:tcBorders>
            <w:vAlign w:val="center"/>
          </w:tcPr>
          <w:p>
            <w:pPr>
              <w:widowControl/>
              <w:jc w:val="left"/>
              <w:rPr>
                <w:rFonts w:ascii="仿宋_GB2312" w:hAnsi="宋体" w:eastAsia="仿宋_GB2312" w:cs="宋体"/>
                <w:color w:val="000000"/>
                <w:kern w:val="0"/>
                <w:sz w:val="24"/>
                <w:highlight w:val="none"/>
              </w:rPr>
            </w:pPr>
          </w:p>
        </w:tc>
        <w:tc>
          <w:tcPr>
            <w:tcW w:w="1682"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highlight w:val="none"/>
              </w:rPr>
            </w:pPr>
          </w:p>
        </w:tc>
        <w:tc>
          <w:tcPr>
            <w:tcW w:w="2426" w:type="dxa"/>
            <w:gridSpan w:val="2"/>
            <w:tcBorders>
              <w:top w:val="nil"/>
              <w:left w:val="nil"/>
              <w:bottom w:val="nil"/>
              <w:right w:val="nil"/>
            </w:tcBorders>
            <w:vAlign w:val="center"/>
          </w:tcPr>
          <w:p>
            <w:pPr>
              <w:widowControl/>
              <w:ind w:firstLine="720" w:firstLineChars="300"/>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单位：万元</w:t>
            </w:r>
          </w:p>
        </w:tc>
      </w:tr>
      <w:tr>
        <w:tblPrEx>
          <w:tblLayout w:type="fixed"/>
          <w:tblCellMar>
            <w:top w:w="0" w:type="dxa"/>
            <w:left w:w="108" w:type="dxa"/>
            <w:bottom w:w="0" w:type="dxa"/>
            <w:right w:w="108" w:type="dxa"/>
          </w:tblCellMar>
        </w:tblPrEx>
        <w:trPr>
          <w:trHeight w:val="390" w:hRule="atLeast"/>
        </w:trPr>
        <w:tc>
          <w:tcPr>
            <w:tcW w:w="422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Cs w:val="21"/>
                <w:highlight w:val="none"/>
              </w:rPr>
            </w:pPr>
            <w:r>
              <w:rPr>
                <w:rFonts w:hint="eastAsia" w:ascii="仿宋_GB2312" w:hAnsi="宋体" w:eastAsia="仿宋_GB2312" w:cs="宋体"/>
                <w:b/>
                <w:bCs/>
                <w:color w:val="000000"/>
                <w:kern w:val="0"/>
                <w:szCs w:val="21"/>
                <w:highlight w:val="none"/>
              </w:rPr>
              <w:t>项目</w:t>
            </w:r>
          </w:p>
        </w:tc>
        <w:tc>
          <w:tcPr>
            <w:tcW w:w="5103"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Cs w:val="21"/>
                <w:highlight w:val="none"/>
              </w:rPr>
            </w:pPr>
            <w:r>
              <w:rPr>
                <w:rFonts w:hint="eastAsia" w:ascii="仿宋_GB2312" w:hAnsi="宋体" w:eastAsia="仿宋_GB2312" w:cs="宋体"/>
                <w:b/>
                <w:bCs/>
                <w:color w:val="000000"/>
                <w:kern w:val="0"/>
                <w:szCs w:val="21"/>
                <w:highlight w:val="none"/>
              </w:rPr>
              <w:t>一般公共预算基本支出</w:t>
            </w:r>
          </w:p>
        </w:tc>
      </w:tr>
      <w:tr>
        <w:tblPrEx>
          <w:tblLayout w:type="fixed"/>
          <w:tblCellMar>
            <w:top w:w="0" w:type="dxa"/>
            <w:left w:w="108" w:type="dxa"/>
            <w:bottom w:w="0" w:type="dxa"/>
            <w:right w:w="108" w:type="dxa"/>
          </w:tblCellMar>
        </w:tblPrEx>
        <w:trPr>
          <w:trHeight w:val="495" w:hRule="atLeast"/>
        </w:trPr>
        <w:tc>
          <w:tcPr>
            <w:tcW w:w="1532" w:type="dxa"/>
            <w:gridSpan w:val="2"/>
            <w:tcBorders>
              <w:top w:val="single" w:color="auto" w:sz="4" w:space="0"/>
              <w:left w:val="single" w:color="auto" w:sz="4" w:space="0"/>
              <w:bottom w:val="single" w:color="auto" w:sz="4" w:space="0"/>
              <w:right w:val="nil"/>
            </w:tcBorders>
            <w:vAlign w:val="center"/>
          </w:tcPr>
          <w:p>
            <w:pPr>
              <w:widowControl/>
              <w:jc w:val="center"/>
              <w:rPr>
                <w:rFonts w:ascii="仿宋_GB2312" w:hAnsi="宋体" w:eastAsia="仿宋_GB2312" w:cs="宋体"/>
                <w:b/>
                <w:bCs/>
                <w:color w:val="000000"/>
                <w:kern w:val="0"/>
                <w:szCs w:val="21"/>
                <w:highlight w:val="none"/>
              </w:rPr>
            </w:pPr>
            <w:r>
              <w:rPr>
                <w:rFonts w:hint="eastAsia" w:ascii="仿宋_GB2312" w:hAnsi="宋体" w:eastAsia="仿宋_GB2312" w:cs="宋体"/>
                <w:b/>
                <w:bCs/>
                <w:color w:val="000000"/>
                <w:kern w:val="0"/>
                <w:szCs w:val="21"/>
                <w:highlight w:val="none"/>
              </w:rPr>
              <w:t>经济分类科目编码</w:t>
            </w:r>
          </w:p>
        </w:tc>
        <w:tc>
          <w:tcPr>
            <w:tcW w:w="269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highlight w:val="none"/>
              </w:rPr>
            </w:pPr>
            <w:r>
              <w:rPr>
                <w:rFonts w:hint="eastAsia" w:ascii="仿宋_GB2312" w:hAnsi="宋体" w:eastAsia="仿宋_GB2312" w:cs="宋体"/>
                <w:b/>
                <w:bCs/>
                <w:color w:val="000000"/>
                <w:kern w:val="0"/>
                <w:szCs w:val="21"/>
                <w:highlight w:val="none"/>
              </w:rPr>
              <w:t>经济分类科目名称</w:t>
            </w:r>
          </w:p>
        </w:tc>
        <w:tc>
          <w:tcPr>
            <w:tcW w:w="170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highlight w:val="none"/>
              </w:rPr>
            </w:pPr>
            <w:r>
              <w:rPr>
                <w:rFonts w:hint="eastAsia" w:ascii="仿宋_GB2312" w:hAnsi="宋体" w:eastAsia="仿宋_GB2312" w:cs="宋体"/>
                <w:b/>
                <w:bCs/>
                <w:color w:val="000000"/>
                <w:kern w:val="0"/>
                <w:szCs w:val="21"/>
                <w:highlight w:val="none"/>
              </w:rPr>
              <w:t>合  计</w:t>
            </w:r>
          </w:p>
        </w:tc>
        <w:tc>
          <w:tcPr>
            <w:tcW w:w="170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highlight w:val="none"/>
              </w:rPr>
            </w:pPr>
            <w:r>
              <w:rPr>
                <w:rFonts w:hint="eastAsia" w:ascii="仿宋_GB2312" w:hAnsi="宋体" w:eastAsia="仿宋_GB2312" w:cs="宋体"/>
                <w:b/>
                <w:bCs/>
                <w:color w:val="000000"/>
                <w:kern w:val="0"/>
                <w:szCs w:val="21"/>
                <w:highlight w:val="none"/>
              </w:rPr>
              <w:t>人员经费</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highlight w:val="none"/>
              </w:rPr>
            </w:pPr>
            <w:r>
              <w:rPr>
                <w:rFonts w:hint="eastAsia" w:ascii="仿宋_GB2312" w:hAnsi="宋体" w:eastAsia="仿宋_GB2312" w:cs="宋体"/>
                <w:b/>
                <w:bCs/>
                <w:color w:val="000000"/>
                <w:kern w:val="0"/>
                <w:szCs w:val="21"/>
                <w:highlight w:val="none"/>
              </w:rPr>
              <w:t>公用经费</w:t>
            </w:r>
          </w:p>
        </w:tc>
      </w:tr>
      <w:tr>
        <w:tblPrEx>
          <w:tblLayout w:type="fixed"/>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类</w:t>
            </w:r>
          </w:p>
        </w:tc>
        <w:tc>
          <w:tcPr>
            <w:tcW w:w="7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款</w:t>
            </w:r>
          </w:p>
        </w:tc>
        <w:tc>
          <w:tcPr>
            <w:tcW w:w="26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highlight w:val="none"/>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highlight w:val="none"/>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highlight w:val="none"/>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highlight w:val="none"/>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right"/>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302</w:t>
            </w:r>
          </w:p>
        </w:tc>
        <w:tc>
          <w:tcPr>
            <w:tcW w:w="7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30211</w:t>
            </w:r>
          </w:p>
        </w:tc>
        <w:tc>
          <w:tcPr>
            <w:tcW w:w="26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差旅费</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1</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1</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right"/>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302</w:t>
            </w:r>
          </w:p>
        </w:tc>
        <w:tc>
          <w:tcPr>
            <w:tcW w:w="7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30228</w:t>
            </w:r>
          </w:p>
        </w:tc>
        <w:tc>
          <w:tcPr>
            <w:tcW w:w="26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工会经费</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0.5</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0.5</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302</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30229</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福利费</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0.9</w:t>
            </w:r>
          </w:p>
        </w:tc>
        <w:tc>
          <w:tcPr>
            <w:tcW w:w="1701" w:type="dxa"/>
            <w:gridSpan w:val="2"/>
            <w:tcBorders>
              <w:top w:val="nil"/>
              <w:left w:val="nil"/>
              <w:bottom w:val="single" w:color="auto" w:sz="4" w:space="0"/>
              <w:right w:val="single" w:color="auto" w:sz="4" w:space="0"/>
            </w:tcBorders>
            <w:vAlign w:val="center"/>
          </w:tcPr>
          <w:p>
            <w:pPr>
              <w:widowControl/>
              <w:ind w:right="147" w:rightChars="70"/>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0.9</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302</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30242</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办公用品及设备采购</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0.85</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0.85</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301</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30102</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津贴补贴</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42.77</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42.77</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303</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30302</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退休费</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4.99</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4.99</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301</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30101</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基本工资</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36</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36</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302</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30201</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办公费</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1</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1</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302</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30205</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水费</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0.5</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0.5</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302</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30231</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公务用车运行维护费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2.2</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2.2</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301</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30113</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住房公积金</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8.27</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8.27</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302</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30208</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取暖费</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2.51</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2.51</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301</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30103</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奖金</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301</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30112</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其他社会保障缴费</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9.64</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9.64</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302</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30206</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电费</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1.25</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1.25</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302</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30213</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维修(护)费</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0.38</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0.38</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301</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30108</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机关事业单位基本养老保险缴费</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11.51</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11.51</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303</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30309</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奖励金</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0.67</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0.67</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302</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30217</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公务接待费</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0.38</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0.38</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6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7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6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b/>
                <w:bCs/>
                <w:color w:val="000000"/>
                <w:kern w:val="0"/>
                <w:sz w:val="20"/>
                <w:szCs w:val="20"/>
                <w:highlight w:val="none"/>
              </w:rPr>
              <w:t>合  计</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128.32</w:t>
            </w:r>
          </w:p>
        </w:tc>
        <w:tc>
          <w:tcPr>
            <w:tcW w:w="1701"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116.85</w:t>
            </w:r>
          </w:p>
        </w:tc>
        <w:tc>
          <w:tcPr>
            <w:tcW w:w="170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r>
    </w:tbl>
    <w:p>
      <w:pPr>
        <w:widowControl/>
        <w:jc w:val="left"/>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表七：</w:t>
      </w:r>
    </w:p>
    <w:tbl>
      <w:tblPr>
        <w:tblStyle w:val="10"/>
        <w:tblW w:w="9540" w:type="dxa"/>
        <w:tblInd w:w="-360" w:type="dxa"/>
        <w:tblLayout w:type="fixed"/>
        <w:tblCellMar>
          <w:top w:w="0" w:type="dxa"/>
          <w:left w:w="108" w:type="dxa"/>
          <w:bottom w:w="0" w:type="dxa"/>
          <w:right w:w="108" w:type="dxa"/>
        </w:tblCellMar>
      </w:tblPr>
      <w:tblGrid>
        <w:gridCol w:w="8"/>
        <w:gridCol w:w="389"/>
        <w:gridCol w:w="397"/>
        <w:gridCol w:w="397"/>
        <w:gridCol w:w="1120"/>
        <w:gridCol w:w="1187"/>
        <w:gridCol w:w="750"/>
        <w:gridCol w:w="110"/>
        <w:gridCol w:w="459"/>
        <w:gridCol w:w="536"/>
        <w:gridCol w:w="652"/>
        <w:gridCol w:w="652"/>
        <w:gridCol w:w="378"/>
        <w:gridCol w:w="200"/>
        <w:gridCol w:w="419"/>
        <w:gridCol w:w="578"/>
        <w:gridCol w:w="420"/>
        <w:gridCol w:w="420"/>
        <w:gridCol w:w="389"/>
        <w:gridCol w:w="79"/>
      </w:tblGrid>
      <w:tr>
        <w:tblPrEx>
          <w:tblLayout w:type="fixed"/>
          <w:tblCellMar>
            <w:top w:w="0" w:type="dxa"/>
            <w:left w:w="108" w:type="dxa"/>
            <w:bottom w:w="0" w:type="dxa"/>
            <w:right w:w="108" w:type="dxa"/>
          </w:tblCellMar>
        </w:tblPrEx>
        <w:trPr>
          <w:gridBefore w:val="1"/>
          <w:gridAfter w:val="1"/>
          <w:wBefore w:w="8" w:type="dxa"/>
          <w:wAfter w:w="79" w:type="dxa"/>
          <w:trHeight w:val="375" w:hRule="atLeast"/>
        </w:trPr>
        <w:tc>
          <w:tcPr>
            <w:tcW w:w="9453" w:type="dxa"/>
            <w:gridSpan w:val="18"/>
            <w:tcBorders>
              <w:top w:val="nil"/>
              <w:left w:val="nil"/>
              <w:bottom w:val="nil"/>
              <w:right w:val="nil"/>
            </w:tcBorders>
            <w:vAlign w:val="center"/>
          </w:tcPr>
          <w:p>
            <w:pPr>
              <w:widowControl/>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一般公共预算项目支出情况表</w:t>
            </w:r>
          </w:p>
        </w:tc>
      </w:tr>
      <w:tr>
        <w:tblPrEx>
          <w:tblLayout w:type="fixed"/>
          <w:tblCellMar>
            <w:top w:w="0" w:type="dxa"/>
            <w:left w:w="108" w:type="dxa"/>
            <w:bottom w:w="0" w:type="dxa"/>
            <w:right w:w="108" w:type="dxa"/>
          </w:tblCellMar>
        </w:tblPrEx>
        <w:trPr>
          <w:gridBefore w:val="1"/>
          <w:gridAfter w:val="1"/>
          <w:wBefore w:w="8" w:type="dxa"/>
          <w:wAfter w:w="79" w:type="dxa"/>
          <w:trHeight w:val="405" w:hRule="atLeast"/>
        </w:trPr>
        <w:tc>
          <w:tcPr>
            <w:tcW w:w="4350" w:type="dxa"/>
            <w:gridSpan w:val="7"/>
            <w:tcBorders>
              <w:top w:val="nil"/>
              <w:left w:val="nil"/>
              <w:bottom w:val="nil"/>
              <w:right w:val="nil"/>
            </w:tcBorders>
            <w:vAlign w:val="center"/>
          </w:tcPr>
          <w:p>
            <w:pPr>
              <w:widowControl/>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编制部门（单位）：</w:t>
            </w:r>
            <w:r>
              <w:rPr>
                <w:rFonts w:hint="eastAsia" w:ascii="仿宋_GB2312" w:hAnsi="宋体" w:eastAsia="仿宋_GB2312"/>
                <w:kern w:val="0"/>
                <w:sz w:val="24"/>
                <w:highlight w:val="none"/>
              </w:rPr>
              <w:t>克孜勒苏柯尔克孜自治州驻昌吉干休所</w:t>
            </w:r>
          </w:p>
        </w:tc>
        <w:tc>
          <w:tcPr>
            <w:tcW w:w="995"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highlight w:val="none"/>
              </w:rPr>
            </w:pPr>
          </w:p>
        </w:tc>
        <w:tc>
          <w:tcPr>
            <w:tcW w:w="1682" w:type="dxa"/>
            <w:gridSpan w:val="3"/>
            <w:tcBorders>
              <w:top w:val="nil"/>
              <w:left w:val="nil"/>
              <w:bottom w:val="nil"/>
              <w:right w:val="nil"/>
            </w:tcBorders>
            <w:vAlign w:val="center"/>
          </w:tcPr>
          <w:p>
            <w:pPr>
              <w:widowControl/>
              <w:jc w:val="left"/>
              <w:rPr>
                <w:rFonts w:ascii="仿宋_GB2312" w:hAnsi="宋体" w:eastAsia="仿宋_GB2312" w:cs="宋体"/>
                <w:color w:val="000000"/>
                <w:kern w:val="0"/>
                <w:sz w:val="24"/>
                <w:highlight w:val="none"/>
              </w:rPr>
            </w:pPr>
          </w:p>
        </w:tc>
        <w:tc>
          <w:tcPr>
            <w:tcW w:w="2426" w:type="dxa"/>
            <w:gridSpan w:val="6"/>
            <w:tcBorders>
              <w:top w:val="nil"/>
              <w:left w:val="nil"/>
              <w:bottom w:val="nil"/>
              <w:right w:val="nil"/>
            </w:tcBorders>
            <w:vAlign w:val="center"/>
          </w:tcPr>
          <w:p>
            <w:pPr>
              <w:widowControl/>
              <w:ind w:firstLine="960" w:firstLineChars="400"/>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91" w:type="dxa"/>
            <w:gridSpan w:val="4"/>
            <w:vAlign w:val="center"/>
          </w:tcPr>
          <w:p>
            <w:pPr>
              <w:widowControl/>
              <w:jc w:val="center"/>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科 目 编 码</w:t>
            </w:r>
          </w:p>
        </w:tc>
        <w:tc>
          <w:tcPr>
            <w:tcW w:w="1120" w:type="dxa"/>
            <w:vMerge w:val="restart"/>
            <w:vAlign w:val="center"/>
          </w:tcPr>
          <w:p>
            <w:pPr>
              <w:widowControl/>
              <w:jc w:val="center"/>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科目</w:t>
            </w:r>
          </w:p>
        </w:tc>
        <w:tc>
          <w:tcPr>
            <w:tcW w:w="1187" w:type="dxa"/>
            <w:vMerge w:val="restart"/>
            <w:vAlign w:val="center"/>
          </w:tcPr>
          <w:p>
            <w:pPr>
              <w:jc w:val="center"/>
              <w:rPr>
                <w:rFonts w:ascii="Calibri" w:hAnsi="Calibri"/>
                <w:sz w:val="24"/>
                <w:highlight w:val="none"/>
              </w:rPr>
            </w:pPr>
            <w:r>
              <w:rPr>
                <w:rFonts w:hint="eastAsia" w:ascii="仿宋_GB2312" w:hAnsi="宋体" w:eastAsia="仿宋_GB2312"/>
                <w:b/>
                <w:kern w:val="0"/>
                <w:sz w:val="24"/>
                <w:highlight w:val="none"/>
              </w:rPr>
              <w:t>项目名称</w:t>
            </w:r>
          </w:p>
        </w:tc>
        <w:tc>
          <w:tcPr>
            <w:tcW w:w="750" w:type="dxa"/>
            <w:vMerge w:val="restart"/>
            <w:vAlign w:val="center"/>
          </w:tcPr>
          <w:p>
            <w:pPr>
              <w:widowControl/>
              <w:jc w:val="center"/>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项目支出合计</w:t>
            </w:r>
          </w:p>
        </w:tc>
        <w:tc>
          <w:tcPr>
            <w:tcW w:w="569" w:type="dxa"/>
            <w:gridSpan w:val="2"/>
            <w:vMerge w:val="restart"/>
            <w:vAlign w:val="center"/>
          </w:tcPr>
          <w:p>
            <w:pPr>
              <w:widowControl/>
              <w:jc w:val="center"/>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工资福利支出</w:t>
            </w:r>
          </w:p>
        </w:tc>
        <w:tc>
          <w:tcPr>
            <w:tcW w:w="536" w:type="dxa"/>
            <w:vMerge w:val="restart"/>
            <w:vAlign w:val="center"/>
          </w:tcPr>
          <w:p>
            <w:pPr>
              <w:widowControl/>
              <w:jc w:val="center"/>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商品和服务支出</w:t>
            </w:r>
          </w:p>
        </w:tc>
        <w:tc>
          <w:tcPr>
            <w:tcW w:w="652" w:type="dxa"/>
            <w:vMerge w:val="restart"/>
            <w:vAlign w:val="center"/>
          </w:tcPr>
          <w:p>
            <w:pPr>
              <w:widowControl/>
              <w:jc w:val="center"/>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对个人和家庭的补助</w:t>
            </w:r>
          </w:p>
        </w:tc>
        <w:tc>
          <w:tcPr>
            <w:tcW w:w="652" w:type="dxa"/>
            <w:vMerge w:val="restart"/>
            <w:vAlign w:val="center"/>
          </w:tcPr>
          <w:p>
            <w:pPr>
              <w:widowControl/>
              <w:jc w:val="center"/>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债务利息及费用支出</w:t>
            </w:r>
          </w:p>
        </w:tc>
        <w:tc>
          <w:tcPr>
            <w:tcW w:w="578" w:type="dxa"/>
            <w:gridSpan w:val="2"/>
            <w:vMerge w:val="restart"/>
            <w:vAlign w:val="center"/>
          </w:tcPr>
          <w:p>
            <w:pPr>
              <w:widowControl/>
              <w:jc w:val="center"/>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资本性支出（基本建设）</w:t>
            </w:r>
          </w:p>
        </w:tc>
        <w:tc>
          <w:tcPr>
            <w:tcW w:w="419" w:type="dxa"/>
            <w:vMerge w:val="restart"/>
            <w:vAlign w:val="center"/>
          </w:tcPr>
          <w:p>
            <w:pPr>
              <w:widowControl/>
              <w:jc w:val="center"/>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资本性支出</w:t>
            </w:r>
          </w:p>
        </w:tc>
        <w:tc>
          <w:tcPr>
            <w:tcW w:w="578" w:type="dxa"/>
            <w:vMerge w:val="restart"/>
            <w:vAlign w:val="center"/>
          </w:tcPr>
          <w:p>
            <w:pPr>
              <w:widowControl/>
              <w:jc w:val="center"/>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对企业补助（基本建设）</w:t>
            </w:r>
          </w:p>
        </w:tc>
        <w:tc>
          <w:tcPr>
            <w:tcW w:w="420" w:type="dxa"/>
            <w:vMerge w:val="restart"/>
            <w:vAlign w:val="center"/>
          </w:tcPr>
          <w:p>
            <w:pPr>
              <w:widowControl/>
              <w:jc w:val="center"/>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对企业补助</w:t>
            </w:r>
          </w:p>
        </w:tc>
        <w:tc>
          <w:tcPr>
            <w:tcW w:w="420" w:type="dxa"/>
            <w:vMerge w:val="restart"/>
            <w:vAlign w:val="center"/>
          </w:tcPr>
          <w:p>
            <w:pPr>
              <w:widowControl/>
              <w:jc w:val="center"/>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对社会保障基金补助</w:t>
            </w:r>
          </w:p>
        </w:tc>
        <w:tc>
          <w:tcPr>
            <w:tcW w:w="468" w:type="dxa"/>
            <w:gridSpan w:val="2"/>
            <w:vMerge w:val="restart"/>
            <w:vAlign w:val="center"/>
          </w:tcPr>
          <w:p>
            <w:pPr>
              <w:widowControl/>
              <w:jc w:val="center"/>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trPr>
        <w:tc>
          <w:tcPr>
            <w:tcW w:w="397" w:type="dxa"/>
            <w:gridSpan w:val="2"/>
            <w:tcBorders>
              <w:bottom w:val="single" w:color="auto" w:sz="4" w:space="0"/>
            </w:tcBorders>
            <w:vAlign w:val="center"/>
          </w:tcPr>
          <w:p>
            <w:pPr>
              <w:widowControl/>
              <w:jc w:val="left"/>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类</w:t>
            </w:r>
          </w:p>
        </w:tc>
        <w:tc>
          <w:tcPr>
            <w:tcW w:w="397" w:type="dxa"/>
            <w:tcBorders>
              <w:bottom w:val="single" w:color="auto" w:sz="4" w:space="0"/>
            </w:tcBorders>
            <w:vAlign w:val="center"/>
          </w:tcPr>
          <w:p>
            <w:pPr>
              <w:widowControl/>
              <w:jc w:val="left"/>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款</w:t>
            </w:r>
          </w:p>
        </w:tc>
        <w:tc>
          <w:tcPr>
            <w:tcW w:w="397" w:type="dxa"/>
            <w:tcBorders>
              <w:bottom w:val="single" w:color="auto" w:sz="4" w:space="0"/>
            </w:tcBorders>
            <w:vAlign w:val="center"/>
          </w:tcPr>
          <w:p>
            <w:pPr>
              <w:widowControl/>
              <w:jc w:val="left"/>
              <w:outlineLvl w:val="1"/>
              <w:rPr>
                <w:rFonts w:ascii="仿宋_GB2312" w:hAnsi="宋体" w:eastAsia="仿宋_GB2312"/>
                <w:b/>
                <w:kern w:val="0"/>
                <w:sz w:val="18"/>
                <w:szCs w:val="18"/>
                <w:highlight w:val="none"/>
              </w:rPr>
            </w:pPr>
            <w:r>
              <w:rPr>
                <w:rFonts w:hint="eastAsia" w:ascii="仿宋_GB2312" w:hAnsi="宋体" w:eastAsia="仿宋_GB2312"/>
                <w:b/>
                <w:kern w:val="0"/>
                <w:sz w:val="18"/>
                <w:szCs w:val="18"/>
                <w:highlight w:val="none"/>
              </w:rPr>
              <w:t>项</w:t>
            </w:r>
          </w:p>
        </w:tc>
        <w:tc>
          <w:tcPr>
            <w:tcW w:w="1120" w:type="dxa"/>
            <w:vMerge w:val="continue"/>
            <w:tcBorders>
              <w:bottom w:val="single" w:color="auto" w:sz="4" w:space="0"/>
            </w:tcBorders>
            <w:vAlign w:val="center"/>
          </w:tcPr>
          <w:p>
            <w:pPr>
              <w:widowControl/>
              <w:jc w:val="left"/>
              <w:outlineLvl w:val="1"/>
              <w:rPr>
                <w:rFonts w:ascii="仿宋_GB2312" w:hAnsi="宋体" w:eastAsia="仿宋_GB2312"/>
                <w:b/>
                <w:kern w:val="0"/>
                <w:sz w:val="18"/>
                <w:szCs w:val="18"/>
                <w:highlight w:val="none"/>
              </w:rPr>
            </w:pPr>
          </w:p>
        </w:tc>
        <w:tc>
          <w:tcPr>
            <w:tcW w:w="1187" w:type="dxa"/>
            <w:vMerge w:val="continue"/>
            <w:tcBorders>
              <w:bottom w:val="single" w:color="auto" w:sz="4" w:space="0"/>
            </w:tcBorders>
          </w:tcPr>
          <w:p>
            <w:pPr>
              <w:widowControl/>
              <w:jc w:val="left"/>
              <w:outlineLvl w:val="1"/>
              <w:rPr>
                <w:rFonts w:ascii="仿宋_GB2312" w:hAnsi="宋体" w:eastAsia="仿宋_GB2312"/>
                <w:b/>
                <w:kern w:val="0"/>
                <w:sz w:val="18"/>
                <w:szCs w:val="18"/>
                <w:highlight w:val="none"/>
              </w:rPr>
            </w:pPr>
          </w:p>
        </w:tc>
        <w:tc>
          <w:tcPr>
            <w:tcW w:w="750" w:type="dxa"/>
            <w:vMerge w:val="continue"/>
            <w:tcBorders>
              <w:bottom w:val="single" w:color="auto" w:sz="4" w:space="0"/>
            </w:tcBorders>
          </w:tcPr>
          <w:p>
            <w:pPr>
              <w:widowControl/>
              <w:jc w:val="left"/>
              <w:outlineLvl w:val="1"/>
              <w:rPr>
                <w:rFonts w:ascii="仿宋_GB2312" w:hAnsi="宋体" w:eastAsia="仿宋_GB2312"/>
                <w:b/>
                <w:kern w:val="0"/>
                <w:sz w:val="18"/>
                <w:szCs w:val="18"/>
                <w:highlight w:val="none"/>
              </w:rPr>
            </w:pPr>
          </w:p>
        </w:tc>
        <w:tc>
          <w:tcPr>
            <w:tcW w:w="569" w:type="dxa"/>
            <w:gridSpan w:val="2"/>
            <w:vMerge w:val="continue"/>
            <w:tcBorders>
              <w:bottom w:val="single" w:color="auto" w:sz="4" w:space="0"/>
            </w:tcBorders>
          </w:tcPr>
          <w:p>
            <w:pPr>
              <w:widowControl/>
              <w:jc w:val="left"/>
              <w:outlineLvl w:val="1"/>
              <w:rPr>
                <w:rFonts w:ascii="仿宋_GB2312" w:hAnsi="宋体" w:eastAsia="仿宋_GB2312"/>
                <w:b/>
                <w:kern w:val="0"/>
                <w:sz w:val="18"/>
                <w:szCs w:val="18"/>
                <w:highlight w:val="none"/>
              </w:rPr>
            </w:pPr>
          </w:p>
        </w:tc>
        <w:tc>
          <w:tcPr>
            <w:tcW w:w="536" w:type="dxa"/>
            <w:vMerge w:val="continue"/>
            <w:tcBorders>
              <w:bottom w:val="single" w:color="auto" w:sz="4" w:space="0"/>
            </w:tcBorders>
          </w:tcPr>
          <w:p>
            <w:pPr>
              <w:widowControl/>
              <w:jc w:val="left"/>
              <w:outlineLvl w:val="1"/>
              <w:rPr>
                <w:rFonts w:ascii="仿宋_GB2312" w:hAnsi="宋体" w:eastAsia="仿宋_GB2312"/>
                <w:b/>
                <w:kern w:val="0"/>
                <w:sz w:val="18"/>
                <w:szCs w:val="18"/>
                <w:highlight w:val="none"/>
              </w:rPr>
            </w:pPr>
          </w:p>
        </w:tc>
        <w:tc>
          <w:tcPr>
            <w:tcW w:w="652" w:type="dxa"/>
            <w:vMerge w:val="continue"/>
            <w:tcBorders>
              <w:bottom w:val="single" w:color="auto" w:sz="4" w:space="0"/>
            </w:tcBorders>
          </w:tcPr>
          <w:p>
            <w:pPr>
              <w:widowControl/>
              <w:jc w:val="left"/>
              <w:outlineLvl w:val="1"/>
              <w:rPr>
                <w:rFonts w:ascii="仿宋_GB2312" w:hAnsi="宋体" w:eastAsia="仿宋_GB2312"/>
                <w:b/>
                <w:kern w:val="0"/>
                <w:sz w:val="18"/>
                <w:szCs w:val="18"/>
                <w:highlight w:val="none"/>
              </w:rPr>
            </w:pPr>
          </w:p>
        </w:tc>
        <w:tc>
          <w:tcPr>
            <w:tcW w:w="652" w:type="dxa"/>
            <w:vMerge w:val="continue"/>
            <w:tcBorders>
              <w:bottom w:val="single" w:color="auto" w:sz="4" w:space="0"/>
            </w:tcBorders>
          </w:tcPr>
          <w:p>
            <w:pPr>
              <w:widowControl/>
              <w:jc w:val="left"/>
              <w:outlineLvl w:val="1"/>
              <w:rPr>
                <w:rFonts w:ascii="仿宋_GB2312" w:hAnsi="宋体" w:eastAsia="仿宋_GB2312"/>
                <w:b/>
                <w:kern w:val="0"/>
                <w:sz w:val="18"/>
                <w:szCs w:val="18"/>
                <w:highlight w:val="none"/>
              </w:rPr>
            </w:pPr>
          </w:p>
        </w:tc>
        <w:tc>
          <w:tcPr>
            <w:tcW w:w="578" w:type="dxa"/>
            <w:gridSpan w:val="2"/>
            <w:vMerge w:val="continue"/>
            <w:tcBorders>
              <w:bottom w:val="single" w:color="auto" w:sz="4" w:space="0"/>
            </w:tcBorders>
          </w:tcPr>
          <w:p>
            <w:pPr>
              <w:widowControl/>
              <w:jc w:val="left"/>
              <w:outlineLvl w:val="1"/>
              <w:rPr>
                <w:rFonts w:ascii="仿宋_GB2312" w:hAnsi="宋体" w:eastAsia="仿宋_GB2312"/>
                <w:b/>
                <w:kern w:val="0"/>
                <w:sz w:val="18"/>
                <w:szCs w:val="18"/>
                <w:highlight w:val="none"/>
              </w:rPr>
            </w:pPr>
          </w:p>
        </w:tc>
        <w:tc>
          <w:tcPr>
            <w:tcW w:w="419" w:type="dxa"/>
            <w:vMerge w:val="continue"/>
            <w:tcBorders>
              <w:bottom w:val="single" w:color="auto" w:sz="4" w:space="0"/>
            </w:tcBorders>
          </w:tcPr>
          <w:p>
            <w:pPr>
              <w:widowControl/>
              <w:jc w:val="left"/>
              <w:outlineLvl w:val="1"/>
              <w:rPr>
                <w:rFonts w:ascii="仿宋_GB2312" w:hAnsi="宋体" w:eastAsia="仿宋_GB2312"/>
                <w:b/>
                <w:kern w:val="0"/>
                <w:sz w:val="18"/>
                <w:szCs w:val="18"/>
                <w:highlight w:val="none"/>
              </w:rPr>
            </w:pPr>
          </w:p>
        </w:tc>
        <w:tc>
          <w:tcPr>
            <w:tcW w:w="578" w:type="dxa"/>
            <w:vMerge w:val="continue"/>
            <w:tcBorders>
              <w:bottom w:val="single" w:color="auto" w:sz="4" w:space="0"/>
            </w:tcBorders>
          </w:tcPr>
          <w:p>
            <w:pPr>
              <w:widowControl/>
              <w:jc w:val="left"/>
              <w:outlineLvl w:val="1"/>
              <w:rPr>
                <w:rFonts w:ascii="仿宋_GB2312" w:hAnsi="宋体" w:eastAsia="仿宋_GB2312"/>
                <w:b/>
                <w:kern w:val="0"/>
                <w:sz w:val="18"/>
                <w:szCs w:val="18"/>
                <w:highlight w:val="none"/>
              </w:rPr>
            </w:pPr>
          </w:p>
        </w:tc>
        <w:tc>
          <w:tcPr>
            <w:tcW w:w="420" w:type="dxa"/>
            <w:vMerge w:val="continue"/>
            <w:tcBorders>
              <w:bottom w:val="single" w:color="auto" w:sz="4" w:space="0"/>
            </w:tcBorders>
          </w:tcPr>
          <w:p>
            <w:pPr>
              <w:widowControl/>
              <w:jc w:val="left"/>
              <w:outlineLvl w:val="1"/>
              <w:rPr>
                <w:rFonts w:ascii="仿宋_GB2312" w:hAnsi="宋体" w:eastAsia="仿宋_GB2312"/>
                <w:b/>
                <w:kern w:val="0"/>
                <w:sz w:val="18"/>
                <w:szCs w:val="18"/>
                <w:highlight w:val="none"/>
              </w:rPr>
            </w:pPr>
          </w:p>
        </w:tc>
        <w:tc>
          <w:tcPr>
            <w:tcW w:w="420" w:type="dxa"/>
            <w:vMerge w:val="continue"/>
            <w:tcBorders>
              <w:bottom w:val="single" w:color="auto" w:sz="4" w:space="0"/>
            </w:tcBorders>
          </w:tcPr>
          <w:p>
            <w:pPr>
              <w:widowControl/>
              <w:jc w:val="left"/>
              <w:outlineLvl w:val="1"/>
              <w:rPr>
                <w:rFonts w:ascii="仿宋_GB2312" w:hAnsi="宋体" w:eastAsia="仿宋_GB2312"/>
                <w:b/>
                <w:kern w:val="0"/>
                <w:sz w:val="18"/>
                <w:szCs w:val="18"/>
                <w:highlight w:val="none"/>
              </w:rPr>
            </w:pPr>
          </w:p>
        </w:tc>
        <w:tc>
          <w:tcPr>
            <w:tcW w:w="468" w:type="dxa"/>
            <w:gridSpan w:val="2"/>
            <w:vMerge w:val="continue"/>
            <w:tcBorders>
              <w:bottom w:val="single" w:color="auto" w:sz="4" w:space="0"/>
            </w:tcBorders>
          </w:tcPr>
          <w:p>
            <w:pPr>
              <w:widowControl/>
              <w:jc w:val="left"/>
              <w:outlineLvl w:val="1"/>
              <w:rPr>
                <w:rFonts w:ascii="仿宋_GB2312" w:hAnsi="宋体" w:eastAsia="仿宋_GB2312"/>
                <w:b/>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208</w:t>
            </w:r>
          </w:p>
        </w:tc>
        <w:tc>
          <w:tcPr>
            <w:tcW w:w="39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05　</w:t>
            </w:r>
          </w:p>
        </w:tc>
        <w:tc>
          <w:tcPr>
            <w:tcW w:w="39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99</w:t>
            </w:r>
          </w:p>
        </w:tc>
        <w:tc>
          <w:tcPr>
            <w:tcW w:w="11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其他行政事业单位养老支出</w:t>
            </w:r>
          </w:p>
        </w:tc>
        <w:tc>
          <w:tcPr>
            <w:tcW w:w="118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聘用人员工资</w:t>
            </w:r>
          </w:p>
        </w:tc>
        <w:tc>
          <w:tcPr>
            <w:tcW w:w="75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19.2</w:t>
            </w:r>
          </w:p>
        </w:tc>
        <w:tc>
          <w:tcPr>
            <w:tcW w:w="569"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36"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652"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19.2</w:t>
            </w:r>
          </w:p>
        </w:tc>
        <w:tc>
          <w:tcPr>
            <w:tcW w:w="652"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78"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19"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78"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68"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208</w:t>
            </w:r>
          </w:p>
        </w:tc>
        <w:tc>
          <w:tcPr>
            <w:tcW w:w="39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05　</w:t>
            </w:r>
          </w:p>
        </w:tc>
        <w:tc>
          <w:tcPr>
            <w:tcW w:w="39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99</w:t>
            </w:r>
          </w:p>
        </w:tc>
        <w:tc>
          <w:tcPr>
            <w:tcW w:w="11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其他行政事业单位养老支出</w:t>
            </w:r>
          </w:p>
        </w:tc>
        <w:tc>
          <w:tcPr>
            <w:tcW w:w="118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场馆运行费</w:t>
            </w:r>
          </w:p>
        </w:tc>
        <w:tc>
          <w:tcPr>
            <w:tcW w:w="75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4.05</w:t>
            </w:r>
          </w:p>
        </w:tc>
        <w:tc>
          <w:tcPr>
            <w:tcW w:w="569"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36"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4.05</w:t>
            </w:r>
          </w:p>
        </w:tc>
        <w:tc>
          <w:tcPr>
            <w:tcW w:w="652"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652"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78"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19"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78"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68"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208</w:t>
            </w:r>
          </w:p>
        </w:tc>
        <w:tc>
          <w:tcPr>
            <w:tcW w:w="39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05　</w:t>
            </w:r>
          </w:p>
        </w:tc>
        <w:tc>
          <w:tcPr>
            <w:tcW w:w="39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99　</w:t>
            </w:r>
          </w:p>
        </w:tc>
        <w:tc>
          <w:tcPr>
            <w:tcW w:w="11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其他行政事业单位养老支出</w:t>
            </w:r>
          </w:p>
        </w:tc>
        <w:tc>
          <w:tcPr>
            <w:tcW w:w="118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离退休党组织书记工作补贴</w:t>
            </w:r>
          </w:p>
        </w:tc>
        <w:tc>
          <w:tcPr>
            <w:tcW w:w="75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1.08</w:t>
            </w:r>
          </w:p>
        </w:tc>
        <w:tc>
          <w:tcPr>
            <w:tcW w:w="569"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36"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652"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1.08</w:t>
            </w:r>
          </w:p>
        </w:tc>
        <w:tc>
          <w:tcPr>
            <w:tcW w:w="652"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78"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19"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78"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68"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39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39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11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118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75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69"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36"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652"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652"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78"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19"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78"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68"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39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39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11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1187"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75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69"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36"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652"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652"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78"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19"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578"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20"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c>
          <w:tcPr>
            <w:tcW w:w="468" w:type="dxa"/>
            <w:gridSpan w:val="2"/>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397" w:type="dxa"/>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397" w:type="dxa"/>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1120" w:type="dxa"/>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1187" w:type="dxa"/>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750" w:type="dxa"/>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569" w:type="dxa"/>
            <w:gridSpan w:val="2"/>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536" w:type="dxa"/>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652" w:type="dxa"/>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652" w:type="dxa"/>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578" w:type="dxa"/>
            <w:gridSpan w:val="2"/>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419" w:type="dxa"/>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578" w:type="dxa"/>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420" w:type="dxa"/>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420" w:type="dxa"/>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c>
          <w:tcPr>
            <w:tcW w:w="468" w:type="dxa"/>
            <w:gridSpan w:val="2"/>
          </w:tcPr>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9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9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1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18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75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69"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36"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68"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9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9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1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18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75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69"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36"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68"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9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9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1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18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75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69"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36"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68"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32"/>
                <w:szCs w:val="32"/>
                <w:highlight w:val="none"/>
              </w:rPr>
            </w:pPr>
          </w:p>
        </w:tc>
        <w:tc>
          <w:tcPr>
            <w:tcW w:w="397" w:type="dxa"/>
          </w:tcPr>
          <w:p>
            <w:pPr>
              <w:widowControl/>
              <w:jc w:val="left"/>
              <w:outlineLvl w:val="1"/>
              <w:rPr>
                <w:rFonts w:ascii="仿宋_GB2312" w:hAnsi="宋体" w:eastAsia="仿宋_GB2312"/>
                <w:kern w:val="0"/>
                <w:sz w:val="32"/>
                <w:szCs w:val="32"/>
                <w:highlight w:val="none"/>
              </w:rPr>
            </w:pPr>
          </w:p>
        </w:tc>
        <w:tc>
          <w:tcPr>
            <w:tcW w:w="397" w:type="dxa"/>
          </w:tcPr>
          <w:p>
            <w:pPr>
              <w:widowControl/>
              <w:jc w:val="left"/>
              <w:outlineLvl w:val="1"/>
              <w:rPr>
                <w:rFonts w:ascii="仿宋_GB2312" w:hAnsi="宋体" w:eastAsia="仿宋_GB2312"/>
                <w:kern w:val="0"/>
                <w:sz w:val="32"/>
                <w:szCs w:val="32"/>
                <w:highlight w:val="none"/>
              </w:rPr>
            </w:pPr>
          </w:p>
        </w:tc>
        <w:tc>
          <w:tcPr>
            <w:tcW w:w="1120" w:type="dxa"/>
          </w:tcPr>
          <w:p>
            <w:pPr>
              <w:widowControl/>
              <w:jc w:val="left"/>
              <w:outlineLvl w:val="1"/>
              <w:rPr>
                <w:rFonts w:ascii="仿宋_GB2312" w:hAnsi="宋体" w:eastAsia="仿宋_GB2312"/>
                <w:kern w:val="0"/>
                <w:sz w:val="32"/>
                <w:szCs w:val="32"/>
                <w:highlight w:val="none"/>
              </w:rPr>
            </w:pPr>
          </w:p>
        </w:tc>
        <w:tc>
          <w:tcPr>
            <w:tcW w:w="1187" w:type="dxa"/>
          </w:tcPr>
          <w:p>
            <w:pPr>
              <w:widowControl/>
              <w:jc w:val="left"/>
              <w:outlineLvl w:val="1"/>
              <w:rPr>
                <w:rFonts w:ascii="仿宋_GB2312" w:hAnsi="宋体" w:eastAsia="仿宋_GB2312"/>
                <w:kern w:val="0"/>
                <w:sz w:val="32"/>
                <w:szCs w:val="32"/>
                <w:highlight w:val="none"/>
              </w:rPr>
            </w:pPr>
          </w:p>
        </w:tc>
        <w:tc>
          <w:tcPr>
            <w:tcW w:w="750" w:type="dxa"/>
          </w:tcPr>
          <w:p>
            <w:pPr>
              <w:widowControl/>
              <w:jc w:val="left"/>
              <w:outlineLvl w:val="1"/>
              <w:rPr>
                <w:rFonts w:ascii="仿宋_GB2312" w:hAnsi="宋体" w:eastAsia="仿宋_GB2312"/>
                <w:kern w:val="0"/>
                <w:sz w:val="32"/>
                <w:szCs w:val="32"/>
                <w:highlight w:val="none"/>
              </w:rPr>
            </w:pPr>
          </w:p>
        </w:tc>
        <w:tc>
          <w:tcPr>
            <w:tcW w:w="569" w:type="dxa"/>
            <w:gridSpan w:val="2"/>
          </w:tcPr>
          <w:p>
            <w:pPr>
              <w:widowControl/>
              <w:jc w:val="left"/>
              <w:outlineLvl w:val="1"/>
              <w:rPr>
                <w:rFonts w:ascii="仿宋_GB2312" w:hAnsi="宋体" w:eastAsia="仿宋_GB2312"/>
                <w:kern w:val="0"/>
                <w:sz w:val="32"/>
                <w:szCs w:val="32"/>
                <w:highlight w:val="none"/>
              </w:rPr>
            </w:pPr>
          </w:p>
        </w:tc>
        <w:tc>
          <w:tcPr>
            <w:tcW w:w="536" w:type="dxa"/>
          </w:tcPr>
          <w:p>
            <w:pPr>
              <w:widowControl/>
              <w:jc w:val="left"/>
              <w:outlineLvl w:val="1"/>
              <w:rPr>
                <w:rFonts w:ascii="仿宋_GB2312" w:hAnsi="宋体" w:eastAsia="仿宋_GB2312"/>
                <w:kern w:val="0"/>
                <w:sz w:val="32"/>
                <w:szCs w:val="32"/>
                <w:highlight w:val="none"/>
              </w:rPr>
            </w:pPr>
          </w:p>
        </w:tc>
        <w:tc>
          <w:tcPr>
            <w:tcW w:w="652" w:type="dxa"/>
          </w:tcPr>
          <w:p>
            <w:pPr>
              <w:widowControl/>
              <w:jc w:val="left"/>
              <w:outlineLvl w:val="1"/>
              <w:rPr>
                <w:rFonts w:ascii="仿宋_GB2312" w:hAnsi="宋体" w:eastAsia="仿宋_GB2312"/>
                <w:kern w:val="0"/>
                <w:sz w:val="32"/>
                <w:szCs w:val="32"/>
                <w:highlight w:val="none"/>
              </w:rPr>
            </w:pPr>
          </w:p>
        </w:tc>
        <w:tc>
          <w:tcPr>
            <w:tcW w:w="652" w:type="dxa"/>
          </w:tcPr>
          <w:p>
            <w:pPr>
              <w:widowControl/>
              <w:jc w:val="left"/>
              <w:outlineLvl w:val="1"/>
              <w:rPr>
                <w:rFonts w:ascii="仿宋_GB2312" w:hAnsi="宋体" w:eastAsia="仿宋_GB2312"/>
                <w:kern w:val="0"/>
                <w:sz w:val="32"/>
                <w:szCs w:val="32"/>
                <w:highlight w:val="none"/>
              </w:rPr>
            </w:pPr>
          </w:p>
        </w:tc>
        <w:tc>
          <w:tcPr>
            <w:tcW w:w="578" w:type="dxa"/>
            <w:gridSpan w:val="2"/>
          </w:tcPr>
          <w:p>
            <w:pPr>
              <w:widowControl/>
              <w:jc w:val="left"/>
              <w:outlineLvl w:val="1"/>
              <w:rPr>
                <w:rFonts w:ascii="仿宋_GB2312" w:hAnsi="宋体" w:eastAsia="仿宋_GB2312"/>
                <w:kern w:val="0"/>
                <w:sz w:val="32"/>
                <w:szCs w:val="32"/>
                <w:highlight w:val="none"/>
              </w:rPr>
            </w:pPr>
          </w:p>
        </w:tc>
        <w:tc>
          <w:tcPr>
            <w:tcW w:w="419" w:type="dxa"/>
          </w:tcPr>
          <w:p>
            <w:pPr>
              <w:widowControl/>
              <w:jc w:val="left"/>
              <w:outlineLvl w:val="1"/>
              <w:rPr>
                <w:rFonts w:ascii="仿宋_GB2312" w:hAnsi="宋体" w:eastAsia="仿宋_GB2312"/>
                <w:kern w:val="0"/>
                <w:sz w:val="32"/>
                <w:szCs w:val="32"/>
                <w:highlight w:val="none"/>
              </w:rPr>
            </w:pPr>
          </w:p>
        </w:tc>
        <w:tc>
          <w:tcPr>
            <w:tcW w:w="578" w:type="dxa"/>
          </w:tcPr>
          <w:p>
            <w:pPr>
              <w:widowControl/>
              <w:jc w:val="left"/>
              <w:outlineLvl w:val="1"/>
              <w:rPr>
                <w:rFonts w:ascii="仿宋_GB2312" w:hAnsi="宋体" w:eastAsia="仿宋_GB2312"/>
                <w:kern w:val="0"/>
                <w:sz w:val="32"/>
                <w:szCs w:val="32"/>
                <w:highlight w:val="none"/>
              </w:rPr>
            </w:pPr>
          </w:p>
        </w:tc>
        <w:tc>
          <w:tcPr>
            <w:tcW w:w="420" w:type="dxa"/>
          </w:tcPr>
          <w:p>
            <w:pPr>
              <w:widowControl/>
              <w:jc w:val="left"/>
              <w:outlineLvl w:val="1"/>
              <w:rPr>
                <w:rFonts w:ascii="仿宋_GB2312" w:hAnsi="宋体" w:eastAsia="仿宋_GB2312"/>
                <w:kern w:val="0"/>
                <w:sz w:val="32"/>
                <w:szCs w:val="32"/>
                <w:highlight w:val="none"/>
              </w:rPr>
            </w:pPr>
          </w:p>
        </w:tc>
        <w:tc>
          <w:tcPr>
            <w:tcW w:w="420" w:type="dxa"/>
          </w:tcPr>
          <w:p>
            <w:pPr>
              <w:widowControl/>
              <w:jc w:val="left"/>
              <w:outlineLvl w:val="1"/>
              <w:rPr>
                <w:rFonts w:ascii="仿宋_GB2312" w:hAnsi="宋体" w:eastAsia="仿宋_GB2312"/>
                <w:kern w:val="0"/>
                <w:sz w:val="32"/>
                <w:szCs w:val="32"/>
                <w:highlight w:val="none"/>
              </w:rPr>
            </w:pPr>
          </w:p>
        </w:tc>
        <w:tc>
          <w:tcPr>
            <w:tcW w:w="468" w:type="dxa"/>
            <w:gridSpan w:val="2"/>
          </w:tcPr>
          <w:p>
            <w:pPr>
              <w:widowControl/>
              <w:jc w:val="left"/>
              <w:outlineLvl w:val="1"/>
              <w:rPr>
                <w:rFonts w:ascii="仿宋_GB2312" w:hAnsi="宋体" w:eastAsia="仿宋_GB2312"/>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9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9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1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18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75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69"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36"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68"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9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9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1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18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75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69"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36"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652"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68"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9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397"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1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1187" w:type="dxa"/>
            <w:vAlign w:val="center"/>
          </w:tcPr>
          <w:p>
            <w:pPr>
              <w:widowControl/>
              <w:jc w:val="center"/>
              <w:outlineLvl w:val="1"/>
              <w:rPr>
                <w:rFonts w:ascii="仿宋_GB2312" w:hAnsi="宋体" w:eastAsia="仿宋_GB2312"/>
                <w:kern w:val="0"/>
                <w:sz w:val="32"/>
                <w:szCs w:val="32"/>
                <w:highlight w:val="none"/>
              </w:rPr>
            </w:pPr>
            <w:r>
              <w:rPr>
                <w:rFonts w:hint="eastAsia" w:ascii="仿宋_GB2312" w:hAnsi="宋体" w:eastAsia="仿宋_GB2312"/>
                <w:b/>
                <w:bCs/>
                <w:kern w:val="0"/>
                <w:szCs w:val="21"/>
                <w:highlight w:val="none"/>
              </w:rPr>
              <w:t>合 计</w:t>
            </w:r>
          </w:p>
        </w:tc>
        <w:tc>
          <w:tcPr>
            <w:tcW w:w="750" w:type="dxa"/>
            <w:vAlign w:val="center"/>
          </w:tcPr>
          <w:p>
            <w:pPr>
              <w:widowControl/>
              <w:jc w:val="center"/>
              <w:outlineLvl w:val="1"/>
              <w:rPr>
                <w:rFonts w:ascii="仿宋_GB2312" w:hAnsi="宋体" w:eastAsia="仿宋_GB2312"/>
                <w:kern w:val="0"/>
                <w:szCs w:val="21"/>
                <w:highlight w:val="none"/>
              </w:rPr>
            </w:pPr>
            <w:r>
              <w:rPr>
                <w:rFonts w:hint="eastAsia" w:ascii="仿宋_GB2312" w:hAnsi="宋体" w:eastAsia="仿宋_GB2312"/>
                <w:kern w:val="0"/>
                <w:szCs w:val="21"/>
                <w:highlight w:val="none"/>
              </w:rPr>
              <w:t>24.33</w:t>
            </w:r>
          </w:p>
        </w:tc>
        <w:tc>
          <w:tcPr>
            <w:tcW w:w="569"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36" w:type="dxa"/>
          </w:tcPr>
          <w:p>
            <w:pPr>
              <w:widowControl/>
              <w:jc w:val="center"/>
              <w:outlineLvl w:val="1"/>
              <w:rPr>
                <w:rFonts w:ascii="仿宋_GB2312" w:hAnsi="宋体" w:eastAsia="仿宋_GB2312"/>
                <w:kern w:val="0"/>
                <w:szCs w:val="21"/>
                <w:highlight w:val="none"/>
              </w:rPr>
            </w:pPr>
            <w:r>
              <w:rPr>
                <w:rFonts w:hint="eastAsia" w:ascii="仿宋_GB2312" w:hAnsi="宋体" w:eastAsia="仿宋_GB2312"/>
                <w:kern w:val="0"/>
                <w:szCs w:val="21"/>
                <w:highlight w:val="none"/>
              </w:rPr>
              <w:t>4.05</w:t>
            </w:r>
          </w:p>
        </w:tc>
        <w:tc>
          <w:tcPr>
            <w:tcW w:w="652" w:type="dxa"/>
          </w:tcPr>
          <w:p>
            <w:pPr>
              <w:widowControl/>
              <w:jc w:val="left"/>
              <w:outlineLvl w:val="1"/>
              <w:rPr>
                <w:rFonts w:ascii="仿宋_GB2312" w:hAnsi="宋体" w:eastAsia="仿宋_GB2312"/>
                <w:kern w:val="0"/>
                <w:sz w:val="20"/>
                <w:szCs w:val="20"/>
                <w:highlight w:val="none"/>
              </w:rPr>
            </w:pPr>
            <w:r>
              <w:rPr>
                <w:rFonts w:hint="eastAsia" w:ascii="仿宋_GB2312" w:hAnsi="宋体" w:eastAsia="仿宋_GB2312"/>
                <w:kern w:val="0"/>
                <w:sz w:val="32"/>
                <w:szCs w:val="32"/>
                <w:highlight w:val="none"/>
              </w:rPr>
              <w:t>　</w:t>
            </w:r>
            <w:r>
              <w:rPr>
                <w:rFonts w:hint="eastAsia" w:ascii="仿宋_GB2312" w:hAnsi="宋体" w:eastAsia="仿宋_GB2312"/>
                <w:kern w:val="0"/>
                <w:sz w:val="20"/>
                <w:szCs w:val="20"/>
                <w:highlight w:val="none"/>
              </w:rPr>
              <w:t>20.28</w:t>
            </w:r>
          </w:p>
        </w:tc>
        <w:tc>
          <w:tcPr>
            <w:tcW w:w="652"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19"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578"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20" w:type="dxa"/>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c>
          <w:tcPr>
            <w:tcW w:w="468" w:type="dxa"/>
            <w:gridSpan w:val="2"/>
          </w:tcPr>
          <w:p>
            <w:pPr>
              <w:widowControl/>
              <w:jc w:val="lef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w:t>
            </w:r>
          </w:p>
        </w:tc>
      </w:tr>
    </w:tbl>
    <w:p>
      <w:pPr>
        <w:widowControl/>
        <w:jc w:val="left"/>
        <w:outlineLvl w:val="1"/>
        <w:rPr>
          <w:rFonts w:ascii="仿宋_GB2312" w:hAnsi="宋体" w:eastAsia="仿宋_GB2312"/>
          <w:b/>
          <w:kern w:val="0"/>
          <w:sz w:val="28"/>
          <w:szCs w:val="32"/>
          <w:highlight w:val="none"/>
        </w:rPr>
      </w:pPr>
    </w:p>
    <w:p>
      <w:pPr>
        <w:widowControl/>
        <w:jc w:val="left"/>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表八：</w:t>
      </w:r>
    </w:p>
    <w:p>
      <w:pPr>
        <w:widowControl/>
        <w:jc w:val="center"/>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一般公共预算“三公”经费支出情况表</w:t>
      </w:r>
    </w:p>
    <w:p>
      <w:pPr>
        <w:widowControl/>
        <w:jc w:val="center"/>
        <w:outlineLvl w:val="1"/>
        <w:rPr>
          <w:rFonts w:ascii="仿宋_GB2312" w:hAnsi="宋体" w:eastAsia="仿宋_GB2312"/>
          <w:b/>
          <w:kern w:val="0"/>
          <w:sz w:val="32"/>
          <w:szCs w:val="32"/>
          <w:highlight w:val="none"/>
        </w:rPr>
      </w:pPr>
    </w:p>
    <w:p>
      <w:pPr>
        <w:widowControl/>
        <w:jc w:val="left"/>
        <w:outlineLvl w:val="1"/>
        <w:rPr>
          <w:rFonts w:ascii="仿宋_GB2312" w:hAnsi="宋体" w:eastAsia="仿宋_GB2312"/>
          <w:kern w:val="0"/>
          <w:sz w:val="24"/>
          <w:highlight w:val="none"/>
        </w:rPr>
      </w:pPr>
      <w:r>
        <w:rPr>
          <w:rFonts w:hint="eastAsia" w:ascii="仿宋_GB2312" w:hAnsi="宋体" w:eastAsia="仿宋_GB2312"/>
          <w:kern w:val="0"/>
          <w:sz w:val="24"/>
          <w:highlight w:val="none"/>
        </w:rPr>
        <w:t>编制部门（单位）：  克孜勒苏柯尔克孜自治州驻昌吉干休所         单位：万元</w:t>
      </w:r>
    </w:p>
    <w:tbl>
      <w:tblPr>
        <w:tblStyle w:val="10"/>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tblPrEx>
          <w:tblLayout w:type="fixed"/>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highlight w:val="none"/>
              </w:rPr>
            </w:pPr>
            <w:r>
              <w:rPr>
                <w:rFonts w:hint="eastAsia" w:ascii="仿宋_GB2312" w:hAnsi="宋体" w:eastAsia="仿宋_GB2312" w:cs="宋体"/>
                <w:b/>
                <w:bCs/>
                <w:color w:val="000000"/>
                <w:kern w:val="0"/>
                <w:sz w:val="22"/>
                <w:szCs w:val="22"/>
                <w:highlight w:val="none"/>
              </w:rPr>
              <w:t>合  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highlight w:val="none"/>
              </w:rPr>
            </w:pPr>
            <w:r>
              <w:rPr>
                <w:rFonts w:hint="eastAsia" w:ascii="仿宋_GB2312" w:hAnsi="宋体" w:eastAsia="仿宋_GB2312" w:cs="宋体"/>
                <w:b/>
                <w:bCs/>
                <w:color w:val="000000"/>
                <w:kern w:val="0"/>
                <w:sz w:val="22"/>
                <w:szCs w:val="22"/>
                <w:highlight w:val="none"/>
              </w:rPr>
              <w:t>因公出国（境）费</w:t>
            </w:r>
          </w:p>
        </w:tc>
        <w:tc>
          <w:tcPr>
            <w:tcW w:w="4536"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highlight w:val="none"/>
              </w:rPr>
            </w:pPr>
            <w:r>
              <w:rPr>
                <w:rFonts w:hint="eastAsia" w:ascii="仿宋_GB2312" w:hAnsi="宋体" w:eastAsia="仿宋_GB2312" w:cs="宋体"/>
                <w:b/>
                <w:bCs/>
                <w:color w:val="000000"/>
                <w:kern w:val="0"/>
                <w:sz w:val="22"/>
                <w:szCs w:val="22"/>
                <w:highlight w:val="none"/>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公务接待费</w:t>
            </w:r>
          </w:p>
        </w:tc>
      </w:tr>
      <w:tr>
        <w:tblPrEx>
          <w:tblLayout w:type="fixed"/>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highlight w:val="none"/>
              </w:rPr>
            </w:pPr>
            <w:r>
              <w:rPr>
                <w:rFonts w:hint="eastAsia" w:ascii="仿宋_GB2312" w:hAnsi="宋体" w:eastAsia="仿宋_GB2312" w:cs="宋体"/>
                <w:b/>
                <w:bCs/>
                <w:color w:val="000000"/>
                <w:kern w:val="0"/>
                <w:sz w:val="22"/>
                <w:szCs w:val="22"/>
                <w:highlight w:val="none"/>
              </w:rPr>
              <w:t>合计</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highlight w:val="none"/>
              </w:rPr>
            </w:pPr>
            <w:r>
              <w:rPr>
                <w:rFonts w:hint="eastAsia" w:ascii="仿宋_GB2312" w:hAnsi="宋体" w:eastAsia="仿宋_GB2312" w:cs="宋体"/>
                <w:b/>
                <w:bCs/>
                <w:color w:val="000000"/>
                <w:kern w:val="0"/>
                <w:sz w:val="22"/>
                <w:szCs w:val="22"/>
                <w:highlight w:val="none"/>
              </w:rPr>
              <w:t>合  计</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highlight w:val="none"/>
              </w:rPr>
            </w:pPr>
            <w:r>
              <w:rPr>
                <w:rFonts w:hint="eastAsia" w:ascii="仿宋_GB2312" w:hAnsi="宋体" w:eastAsia="仿宋_GB2312" w:cs="宋体"/>
                <w:b/>
                <w:bCs/>
                <w:color w:val="000000"/>
                <w:kern w:val="0"/>
                <w:sz w:val="22"/>
                <w:szCs w:val="22"/>
                <w:highlight w:val="none"/>
              </w:rPr>
              <w:t>公务用车购置费</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highlight w:val="none"/>
              </w:rPr>
            </w:pPr>
            <w:r>
              <w:rPr>
                <w:rFonts w:hint="eastAsia" w:ascii="仿宋_GB2312" w:hAnsi="宋体" w:eastAsia="仿宋_GB2312" w:cs="宋体"/>
                <w:b/>
                <w:bCs/>
                <w:color w:val="000000"/>
                <w:kern w:val="0"/>
                <w:sz w:val="22"/>
                <w:szCs w:val="22"/>
                <w:highlight w:val="none"/>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highlight w:val="none"/>
              </w:rPr>
            </w:pPr>
          </w:p>
        </w:tc>
      </w:tr>
      <w:tr>
        <w:tblPrEx>
          <w:tblLayout w:type="fixed"/>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2.58</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2.58</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2.2</w:t>
            </w:r>
          </w:p>
        </w:tc>
        <w:tc>
          <w:tcPr>
            <w:tcW w:w="17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0.38</w:t>
            </w:r>
          </w:p>
        </w:tc>
      </w:tr>
      <w:tr>
        <w:tblPrEx>
          <w:tblLayout w:type="fixed"/>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7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r>
      <w:tr>
        <w:tblPrEx>
          <w:tblLayout w:type="fixed"/>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7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r>
      <w:tr>
        <w:tblPrEx>
          <w:tblLayout w:type="fixed"/>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7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r>
      <w:tr>
        <w:tblPrEx>
          <w:tblLayout w:type="fixed"/>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7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r>
    </w:tbl>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outlineLvl w:val="1"/>
        <w:rPr>
          <w:rFonts w:ascii="仿宋_GB2312" w:hAnsi="宋体" w:eastAsia="仿宋_GB2312"/>
          <w:kern w:val="0"/>
          <w:sz w:val="32"/>
          <w:szCs w:val="32"/>
          <w:highlight w:val="none"/>
        </w:rPr>
      </w:pPr>
    </w:p>
    <w:p>
      <w:pPr>
        <w:widowControl/>
        <w:spacing w:line="280" w:lineRule="exact"/>
        <w:jc w:val="left"/>
        <w:outlineLvl w:val="1"/>
        <w:rPr>
          <w:rFonts w:ascii="仿宋_GB2312" w:hAnsi="宋体" w:eastAsia="仿宋_GB2312"/>
          <w:b/>
          <w:kern w:val="0"/>
          <w:sz w:val="32"/>
          <w:szCs w:val="32"/>
          <w:highlight w:val="none"/>
        </w:rPr>
      </w:pPr>
    </w:p>
    <w:p>
      <w:pPr>
        <w:widowControl/>
        <w:spacing w:line="280" w:lineRule="exact"/>
        <w:jc w:val="left"/>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表九：</w:t>
      </w:r>
    </w:p>
    <w:p>
      <w:pPr>
        <w:widowControl/>
        <w:spacing w:line="280" w:lineRule="exact"/>
        <w:jc w:val="center"/>
        <w:outlineLvl w:val="1"/>
        <w:rPr>
          <w:rFonts w:ascii="仿宋_GB2312" w:hAnsi="宋体" w:eastAsia="仿宋_GB2312"/>
          <w:b/>
          <w:kern w:val="0"/>
          <w:sz w:val="32"/>
          <w:szCs w:val="32"/>
          <w:highlight w:val="none"/>
        </w:rPr>
      </w:pPr>
      <w:r>
        <w:rPr>
          <w:rFonts w:hint="eastAsia" w:ascii="仿宋_GB2312" w:hAnsi="宋体" w:eastAsia="仿宋_GB2312"/>
          <w:b/>
          <w:kern w:val="0"/>
          <w:sz w:val="32"/>
          <w:szCs w:val="32"/>
          <w:highlight w:val="none"/>
        </w:rPr>
        <w:t>政府性基金预算支出情况表</w:t>
      </w:r>
    </w:p>
    <w:p>
      <w:pPr>
        <w:widowControl/>
        <w:spacing w:line="280" w:lineRule="exact"/>
        <w:outlineLvl w:val="1"/>
        <w:rPr>
          <w:rFonts w:ascii="仿宋_GB2312" w:hAnsi="宋体" w:eastAsia="仿宋_GB2312"/>
          <w:kern w:val="0"/>
          <w:sz w:val="24"/>
          <w:highlight w:val="none"/>
        </w:rPr>
      </w:pPr>
      <w:r>
        <w:rPr>
          <w:rFonts w:hint="eastAsia" w:ascii="仿宋_GB2312" w:hAnsi="宋体" w:eastAsia="仿宋_GB2312"/>
          <w:kern w:val="0"/>
          <w:sz w:val="24"/>
          <w:highlight w:val="none"/>
        </w:rPr>
        <w:t>编制部门（单位）：克孜勒苏柯尔克孜自治州驻昌吉干休所  单位：万元</w:t>
      </w:r>
    </w:p>
    <w:tbl>
      <w:tblPr>
        <w:tblStyle w:val="10"/>
        <w:tblW w:w="9214" w:type="dxa"/>
        <w:tblInd w:w="-34" w:type="dxa"/>
        <w:tblLayout w:type="fixed"/>
        <w:tblCellMar>
          <w:top w:w="0" w:type="dxa"/>
          <w:left w:w="108" w:type="dxa"/>
          <w:bottom w:w="0" w:type="dxa"/>
          <w:right w:w="108" w:type="dxa"/>
        </w:tblCellMar>
      </w:tblPr>
      <w:tblGrid>
        <w:gridCol w:w="585"/>
        <w:gridCol w:w="457"/>
        <w:gridCol w:w="699"/>
        <w:gridCol w:w="2544"/>
        <w:gridCol w:w="1669"/>
        <w:gridCol w:w="1701"/>
        <w:gridCol w:w="1559"/>
      </w:tblGrid>
      <w:tr>
        <w:tblPrEx>
          <w:tblLayout w:type="fixed"/>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highlight w:val="none"/>
              </w:rPr>
            </w:pPr>
            <w:r>
              <w:rPr>
                <w:rFonts w:hint="eastAsia" w:ascii="仿宋_GB2312" w:hAnsi="宋体" w:eastAsia="仿宋_GB2312" w:cs="宋体"/>
                <w:b/>
                <w:bCs/>
                <w:color w:val="000000"/>
                <w:kern w:val="0"/>
                <w:sz w:val="24"/>
                <w:highlight w:val="none"/>
              </w:rPr>
              <w:t>项  目</w:t>
            </w:r>
          </w:p>
        </w:tc>
        <w:tc>
          <w:tcPr>
            <w:tcW w:w="4929"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highlight w:val="none"/>
              </w:rPr>
            </w:pPr>
            <w:r>
              <w:rPr>
                <w:rFonts w:hint="eastAsia" w:ascii="仿宋_GB2312" w:hAnsi="宋体" w:eastAsia="仿宋_GB2312" w:cs="宋体"/>
                <w:b/>
                <w:bCs/>
                <w:color w:val="000000"/>
                <w:kern w:val="0"/>
                <w:sz w:val="24"/>
                <w:highlight w:val="none"/>
              </w:rPr>
              <w:t>政府性基金预算支出</w:t>
            </w:r>
          </w:p>
        </w:tc>
      </w:tr>
      <w:tr>
        <w:tblPrEx>
          <w:tblLayout w:type="fixed"/>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highlight w:val="none"/>
              </w:rPr>
            </w:pPr>
            <w:r>
              <w:rPr>
                <w:rFonts w:hint="eastAsia" w:ascii="仿宋_GB2312" w:hAnsi="宋体" w:eastAsia="仿宋_GB2312" w:cs="宋体"/>
                <w:b/>
                <w:bCs/>
                <w:color w:val="000000"/>
                <w:kern w:val="0"/>
                <w:sz w:val="18"/>
                <w:szCs w:val="18"/>
                <w:highlight w:val="none"/>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highlight w:val="none"/>
              </w:rPr>
            </w:pPr>
            <w:r>
              <w:rPr>
                <w:rFonts w:hint="eastAsia" w:ascii="仿宋_GB2312" w:hAnsi="宋体" w:eastAsia="仿宋_GB2312" w:cs="宋体"/>
                <w:b/>
                <w:bCs/>
                <w:color w:val="000000"/>
                <w:kern w:val="0"/>
                <w:sz w:val="24"/>
                <w:highlight w:val="none"/>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highlight w:val="none"/>
              </w:rPr>
            </w:pPr>
            <w:r>
              <w:rPr>
                <w:rFonts w:hint="eastAsia" w:ascii="仿宋_GB2312" w:hAnsi="宋体" w:eastAsia="仿宋_GB2312" w:cs="宋体"/>
                <w:b/>
                <w:bCs/>
                <w:color w:val="000000"/>
                <w:kern w:val="0"/>
                <w:sz w:val="24"/>
                <w:highlight w:val="none"/>
              </w:rPr>
              <w:t>合 计</w:t>
            </w:r>
          </w:p>
        </w:tc>
        <w:tc>
          <w:tcPr>
            <w:tcW w:w="1701"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highlight w:val="none"/>
              </w:rPr>
            </w:pPr>
            <w:r>
              <w:rPr>
                <w:rFonts w:hint="eastAsia" w:ascii="仿宋_GB2312" w:hAnsi="宋体" w:eastAsia="仿宋_GB2312" w:cs="宋体"/>
                <w:b/>
                <w:bCs/>
                <w:color w:val="000000"/>
                <w:kern w:val="0"/>
                <w:sz w:val="24"/>
                <w:highlight w:val="none"/>
              </w:rPr>
              <w:t>基本支出</w:t>
            </w: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highlight w:val="none"/>
              </w:rPr>
            </w:pPr>
            <w:r>
              <w:rPr>
                <w:rFonts w:hint="eastAsia" w:ascii="仿宋_GB2312" w:hAnsi="宋体" w:eastAsia="仿宋_GB2312" w:cs="宋体"/>
                <w:b/>
                <w:bCs/>
                <w:color w:val="000000"/>
                <w:kern w:val="0"/>
                <w:sz w:val="24"/>
                <w:highlight w:val="none"/>
              </w:rPr>
              <w:t>项目支出</w:t>
            </w:r>
          </w:p>
        </w:tc>
      </w:tr>
      <w:tr>
        <w:tblPrEx>
          <w:tblLayout w:type="fixed"/>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highlight w:val="none"/>
              </w:rPr>
            </w:pPr>
            <w:r>
              <w:rPr>
                <w:rFonts w:hint="eastAsia" w:ascii="仿宋_GB2312" w:hAnsi="宋体" w:eastAsia="仿宋_GB2312" w:cs="宋体"/>
                <w:b/>
                <w:bCs/>
                <w:color w:val="000000"/>
                <w:kern w:val="0"/>
                <w:sz w:val="24"/>
                <w:highlight w:val="none"/>
              </w:rPr>
              <w:t>类</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highlight w:val="none"/>
              </w:rPr>
            </w:pPr>
            <w:r>
              <w:rPr>
                <w:rFonts w:hint="eastAsia" w:ascii="仿宋_GB2312" w:hAnsi="宋体" w:eastAsia="仿宋_GB2312" w:cs="宋体"/>
                <w:b/>
                <w:bCs/>
                <w:color w:val="000000"/>
                <w:kern w:val="0"/>
                <w:sz w:val="24"/>
                <w:highlight w:val="none"/>
              </w:rPr>
              <w:t>款</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highlight w:val="none"/>
              </w:rPr>
            </w:pPr>
            <w:r>
              <w:rPr>
                <w:rFonts w:hint="eastAsia" w:ascii="仿宋_GB2312" w:hAnsi="宋体" w:eastAsia="仿宋_GB2312" w:cs="宋体"/>
                <w:b/>
                <w:bCs/>
                <w:color w:val="000000"/>
                <w:kern w:val="0"/>
                <w:sz w:val="24"/>
                <w:highlight w:val="none"/>
              </w:rPr>
              <w:t>项</w:t>
            </w:r>
          </w:p>
        </w:tc>
        <w:tc>
          <w:tcPr>
            <w:tcW w:w="254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highlight w:val="none"/>
              </w:rPr>
            </w:pPr>
          </w:p>
        </w:tc>
        <w:tc>
          <w:tcPr>
            <w:tcW w:w="166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highlight w:val="none"/>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highlight w:val="none"/>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highlight w:val="none"/>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457"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highlight w:val="none"/>
              </w:rPr>
            </w:pPr>
            <w:r>
              <w:rPr>
                <w:rFonts w:hint="eastAsia" w:ascii="仿宋_GB2312" w:hAnsi="宋体" w:eastAsia="仿宋_GB2312" w:cs="宋体"/>
                <w:b/>
                <w:bCs/>
                <w:color w:val="000000"/>
                <w:kern w:val="0"/>
                <w:sz w:val="24"/>
                <w:highlight w:val="none"/>
              </w:rPr>
              <w:t>合  计</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bl>
    <w:p>
      <w:pPr>
        <w:widowControl/>
        <w:spacing w:line="280" w:lineRule="exact"/>
        <w:outlineLvl w:val="1"/>
        <w:rPr>
          <w:rFonts w:ascii="仿宋_GB2312" w:hAnsi="宋体" w:eastAsia="仿宋_GB2312"/>
          <w:b/>
          <w:kern w:val="0"/>
          <w:sz w:val="28"/>
          <w:szCs w:val="32"/>
          <w:highlight w:val="none"/>
        </w:rPr>
      </w:pPr>
      <w:r>
        <w:rPr>
          <w:rFonts w:hint="eastAsia" w:ascii="仿宋_GB2312" w:hAnsi="宋体" w:eastAsia="仿宋_GB2312"/>
          <w:b/>
          <w:kern w:val="0"/>
          <w:sz w:val="28"/>
          <w:szCs w:val="32"/>
          <w:highlight w:val="none"/>
        </w:rPr>
        <w:t>备注：无内容应公开空表并说明情况。</w:t>
      </w:r>
    </w:p>
    <w:p>
      <w:pPr>
        <w:widowControl/>
        <w:spacing w:line="280" w:lineRule="exact"/>
        <w:jc w:val="left"/>
        <w:outlineLvl w:val="1"/>
        <w:rPr>
          <w:rFonts w:ascii="仿宋_GB2312" w:hAnsi="宋体" w:eastAsia="仿宋_GB2312"/>
          <w:kern w:val="0"/>
          <w:sz w:val="32"/>
          <w:szCs w:val="32"/>
          <w:highlight w:val="none"/>
        </w:rPr>
        <w:sectPr>
          <w:footerReference r:id="rId3" w:type="default"/>
          <w:footerReference r:id="rId4" w:type="even"/>
          <w:pgSz w:w="11906" w:h="16838"/>
          <w:pgMar w:top="2098" w:right="1418" w:bottom="1928" w:left="1588" w:header="851" w:footer="992" w:gutter="0"/>
          <w:pgNumType w:fmt="numberInDash"/>
          <w:cols w:space="720" w:num="1"/>
          <w:docGrid w:linePitch="312" w:charSpace="0"/>
        </w:sectPr>
      </w:pPr>
    </w:p>
    <w:p>
      <w:pPr>
        <w:spacing w:line="560" w:lineRule="exact"/>
        <w:jc w:val="center"/>
        <w:rPr>
          <w:rFonts w:ascii="黑体" w:hAnsi="黑体" w:eastAsia="黑体"/>
          <w:kern w:val="0"/>
          <w:sz w:val="32"/>
          <w:szCs w:val="32"/>
          <w:highlight w:val="none"/>
        </w:rPr>
      </w:pPr>
      <w:r>
        <w:rPr>
          <w:rFonts w:hint="eastAsia" w:ascii="黑体" w:hAnsi="黑体" w:eastAsia="黑体"/>
          <w:kern w:val="0"/>
          <w:sz w:val="32"/>
          <w:szCs w:val="32"/>
          <w:highlight w:val="none"/>
        </w:rPr>
        <w:t>第三部分  2021年部门（单位）预算情况说明</w:t>
      </w:r>
    </w:p>
    <w:p>
      <w:pPr>
        <w:spacing w:line="560" w:lineRule="exact"/>
        <w:ind w:firstLine="640" w:firstLineChars="200"/>
        <w:rPr>
          <w:rFonts w:ascii="黑体" w:hAnsi="宋体" w:eastAsia="黑体" w:cs="宋体"/>
          <w:kern w:val="0"/>
          <w:sz w:val="32"/>
          <w:szCs w:val="32"/>
          <w:highlight w:val="none"/>
        </w:rPr>
      </w:pPr>
      <w:r>
        <w:rPr>
          <w:rFonts w:hint="eastAsia" w:ascii="黑体" w:hAnsi="黑体" w:eastAsia="黑体" w:cs="宋体"/>
          <w:bCs/>
          <w:kern w:val="0"/>
          <w:sz w:val="32"/>
          <w:szCs w:val="32"/>
          <w:highlight w:val="none"/>
        </w:rPr>
        <w:t>一、</w:t>
      </w:r>
      <w:r>
        <w:rPr>
          <w:rFonts w:hint="eastAsia" w:ascii="黑体" w:hAnsi="宋体" w:eastAsia="黑体" w:cs="宋体"/>
          <w:kern w:val="0"/>
          <w:sz w:val="32"/>
          <w:szCs w:val="32"/>
          <w:highlight w:val="none"/>
        </w:rPr>
        <w:t>关于克孜勒苏柯尔克孜自治州驻昌吉干休所2021年收支预算情况的总体说明</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按照全口径预算的原则，克孜勒苏柯尔克孜自治州驻昌吉干休所2021年所有收入和支出均纳入部门（单位）预算管理。收支总预算152.66万元。</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收入预算包括：一般公共预算152.66万元。</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支出预算包括：社会保障和就业支出152.66万元。</w:t>
      </w:r>
    </w:p>
    <w:p>
      <w:pPr>
        <w:spacing w:line="560" w:lineRule="exact"/>
        <w:ind w:firstLine="640" w:firstLineChars="200"/>
        <w:rPr>
          <w:rFonts w:ascii="黑体" w:hAnsi="宋体" w:eastAsia="黑体" w:cs="宋体"/>
          <w:kern w:val="0"/>
          <w:sz w:val="32"/>
          <w:szCs w:val="32"/>
          <w:highlight w:val="none"/>
        </w:rPr>
      </w:pPr>
      <w:r>
        <w:rPr>
          <w:rFonts w:hint="eastAsia" w:ascii="黑体" w:hAnsi="宋体" w:eastAsia="黑体" w:cs="宋体"/>
          <w:kern w:val="0"/>
          <w:sz w:val="32"/>
          <w:szCs w:val="32"/>
          <w:highlight w:val="none"/>
        </w:rPr>
        <w:t>二、关于克孜勒苏柯尔克孜自治州驻昌吉干休所2021年收入预算情况说明</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克孜勒苏柯尔克孜自治州驻昌吉干休所收入预算152.66万元，其中：</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一般公共预算152.66万元，占100%，</w:t>
      </w:r>
      <w:r>
        <w:rPr>
          <w:rFonts w:hint="eastAsia" w:ascii="仿宋" w:hAnsi="仿宋" w:eastAsia="仿宋" w:cs="宋体"/>
          <w:spacing w:val="-2"/>
          <w:kern w:val="0"/>
          <w:sz w:val="32"/>
          <w:szCs w:val="32"/>
          <w:highlight w:val="none"/>
        </w:rPr>
        <w:t>比上年预算增加3.42万元，</w:t>
      </w:r>
      <w:r>
        <w:rPr>
          <w:rFonts w:hint="eastAsia" w:ascii="仿宋_GB2312" w:hAnsi="宋体" w:eastAsia="仿宋_GB2312" w:cs="宋体"/>
          <w:kern w:val="0"/>
          <w:sz w:val="32"/>
          <w:szCs w:val="32"/>
          <w:highlight w:val="none"/>
        </w:rPr>
        <w:t xml:space="preserve">主要原因是离退休人员管理机构基本支出增加3.54万元，离退休人员管理机构项目支出减少0.12万元。    </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政府性基金预算未安排。</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国有资本</w:t>
      </w:r>
      <w:r>
        <w:rPr>
          <w:rFonts w:ascii="仿宋_GB2312" w:hAnsi="宋体" w:eastAsia="仿宋_GB2312" w:cs="宋体"/>
          <w:kern w:val="0"/>
          <w:sz w:val="32"/>
          <w:szCs w:val="32"/>
          <w:highlight w:val="none"/>
        </w:rPr>
        <w:t>经营预算</w:t>
      </w:r>
      <w:r>
        <w:rPr>
          <w:rFonts w:hint="eastAsia" w:ascii="仿宋_GB2312" w:hAnsi="宋体" w:eastAsia="仿宋_GB2312" w:cs="宋体"/>
          <w:kern w:val="0"/>
          <w:sz w:val="32"/>
          <w:szCs w:val="32"/>
          <w:highlight w:val="none"/>
        </w:rPr>
        <w:t>未安排。</w:t>
      </w:r>
    </w:p>
    <w:p>
      <w:pPr>
        <w:spacing w:line="560" w:lineRule="exact"/>
        <w:ind w:firstLine="640" w:firstLineChars="200"/>
        <w:rPr>
          <w:rFonts w:ascii="黑体" w:hAnsi="宋体" w:eastAsia="黑体" w:cs="宋体"/>
          <w:kern w:val="0"/>
          <w:sz w:val="32"/>
          <w:szCs w:val="32"/>
          <w:highlight w:val="none"/>
        </w:rPr>
      </w:pPr>
      <w:r>
        <w:rPr>
          <w:rFonts w:hint="eastAsia" w:ascii="黑体" w:hAnsi="宋体" w:eastAsia="黑体" w:cs="宋体"/>
          <w:kern w:val="0"/>
          <w:sz w:val="32"/>
          <w:szCs w:val="32"/>
          <w:highlight w:val="none"/>
        </w:rPr>
        <w:t>三、关于克孜勒苏柯尔克孜自治州驻昌吉干休所年支出预算情况说明</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克孜勒苏柯尔克孜自治州驻昌吉干休所2021年支出预算152.66万元，其中：</w:t>
      </w:r>
    </w:p>
    <w:p>
      <w:pPr>
        <w:spacing w:line="560" w:lineRule="exact"/>
        <w:ind w:firstLine="640" w:firstLineChars="200"/>
        <w:rPr>
          <w:rFonts w:ascii="仿宋_GB2312" w:hAnsi="宋体" w:eastAsia="仿宋_GB2312" w:cs="宋体"/>
          <w:b/>
          <w:kern w:val="0"/>
          <w:sz w:val="32"/>
          <w:szCs w:val="32"/>
          <w:highlight w:val="none"/>
        </w:rPr>
      </w:pPr>
      <w:r>
        <w:rPr>
          <w:rFonts w:hint="eastAsia" w:ascii="仿宋_GB2312" w:hAnsi="宋体" w:eastAsia="仿宋_GB2312" w:cs="宋体"/>
          <w:kern w:val="0"/>
          <w:sz w:val="32"/>
          <w:szCs w:val="32"/>
          <w:highlight w:val="none"/>
        </w:rPr>
        <w:t>基本支出128.33万元，占84%，比上年预算增加3.54万元，主要原因是：1</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基本工资增加1.49万元，奖金增加0.12万元，津贴补贴增加0.8万元；2</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在职人员及退休职工社会保障费缴费增加；3</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在职人员住房公积金缴费增加。</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项目支出24.33万元，占16%，比上年预算减少0.12万元，主要原因是离退休党组织书记工作补贴减少。</w:t>
      </w:r>
    </w:p>
    <w:p>
      <w:pPr>
        <w:spacing w:line="560" w:lineRule="exact"/>
        <w:ind w:firstLine="640" w:firstLineChars="200"/>
        <w:rPr>
          <w:rFonts w:ascii="黑体" w:hAnsi="黑体" w:eastAsia="黑体" w:cs="宋体"/>
          <w:bCs/>
          <w:kern w:val="0"/>
          <w:sz w:val="32"/>
          <w:szCs w:val="32"/>
          <w:highlight w:val="none"/>
        </w:rPr>
      </w:pPr>
      <w:r>
        <w:rPr>
          <w:rFonts w:hint="eastAsia" w:ascii="黑体" w:hAnsi="黑体" w:eastAsia="黑体" w:cs="宋体"/>
          <w:bCs/>
          <w:kern w:val="0"/>
          <w:sz w:val="32"/>
          <w:szCs w:val="32"/>
          <w:highlight w:val="none"/>
        </w:rPr>
        <w:t>四、关于克孜勒苏柯尔克孜自治州驻昌吉干休所2021年财政拨款收支预算情况的总体说明</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2021年财政拨款收支总预算152.66万元。</w:t>
      </w:r>
    </w:p>
    <w:p>
      <w:pPr>
        <w:spacing w:line="560" w:lineRule="exact"/>
        <w:ind w:firstLine="616" w:firstLineChars="200"/>
        <w:rPr>
          <w:rFonts w:ascii="仿宋_GB2312" w:hAnsi="宋体" w:eastAsia="仿宋_GB2312" w:cs="宋体"/>
          <w:spacing w:val="-6"/>
          <w:kern w:val="0"/>
          <w:sz w:val="32"/>
          <w:szCs w:val="32"/>
          <w:highlight w:val="none"/>
        </w:rPr>
      </w:pPr>
      <w:r>
        <w:rPr>
          <w:rFonts w:hint="eastAsia" w:ascii="仿宋_GB2312" w:hAnsi="宋体" w:eastAsia="仿宋_GB2312" w:cs="宋体"/>
          <w:spacing w:val="-6"/>
          <w:kern w:val="0"/>
          <w:sz w:val="32"/>
          <w:szCs w:val="32"/>
          <w:highlight w:val="none"/>
        </w:rPr>
        <w:t>收入全部为一般公共预算拨款，无政府性基金预算拨款和</w:t>
      </w:r>
      <w:r>
        <w:rPr>
          <w:rFonts w:ascii="仿宋_GB2312" w:hAnsi="宋体" w:eastAsia="仿宋_GB2312" w:cs="宋体"/>
          <w:spacing w:val="-6"/>
          <w:kern w:val="0"/>
          <w:sz w:val="32"/>
          <w:szCs w:val="32"/>
          <w:highlight w:val="none"/>
        </w:rPr>
        <w:t>国有资本经营预算</w:t>
      </w:r>
      <w:r>
        <w:rPr>
          <w:rFonts w:hint="eastAsia" w:ascii="仿宋_GB2312" w:hAnsi="宋体" w:eastAsia="仿宋_GB2312" w:cs="宋体"/>
          <w:spacing w:val="-6"/>
          <w:kern w:val="0"/>
          <w:sz w:val="32"/>
          <w:szCs w:val="32"/>
          <w:highlight w:val="none"/>
        </w:rPr>
        <w:t>。</w:t>
      </w:r>
    </w:p>
    <w:p>
      <w:pPr>
        <w:spacing w:line="560" w:lineRule="exact"/>
        <w:ind w:firstLine="616" w:firstLineChars="200"/>
        <w:rPr>
          <w:rFonts w:ascii="仿宋_GB2312" w:hAnsi="宋体" w:eastAsia="仿宋_GB2312" w:cs="宋体"/>
          <w:spacing w:val="-6"/>
          <w:kern w:val="0"/>
          <w:sz w:val="32"/>
          <w:szCs w:val="32"/>
          <w:highlight w:val="none"/>
        </w:rPr>
      </w:pPr>
      <w:r>
        <w:rPr>
          <w:rFonts w:hint="eastAsia" w:ascii="仿宋_GB2312" w:hAnsi="宋体" w:eastAsia="仿宋_GB2312" w:cs="宋体"/>
          <w:spacing w:val="-6"/>
          <w:kern w:val="0"/>
          <w:sz w:val="32"/>
          <w:szCs w:val="32"/>
          <w:highlight w:val="none"/>
        </w:rPr>
        <w:t>收入预算</w:t>
      </w:r>
      <w:r>
        <w:rPr>
          <w:rFonts w:ascii="仿宋_GB2312" w:hAnsi="宋体" w:eastAsia="仿宋_GB2312" w:cs="宋体"/>
          <w:spacing w:val="-6"/>
          <w:kern w:val="0"/>
          <w:sz w:val="32"/>
          <w:szCs w:val="32"/>
          <w:highlight w:val="none"/>
        </w:rPr>
        <w:t>包括：一般公共预算拨款</w:t>
      </w:r>
      <w:r>
        <w:rPr>
          <w:rFonts w:hint="eastAsia" w:ascii="仿宋_GB2312" w:hAnsi="宋体" w:eastAsia="仿宋_GB2312" w:cs="宋体"/>
          <w:kern w:val="0"/>
          <w:sz w:val="32"/>
          <w:szCs w:val="32"/>
          <w:highlight w:val="none"/>
        </w:rPr>
        <w:t>152.66</w:t>
      </w:r>
      <w:r>
        <w:rPr>
          <w:rFonts w:hint="eastAsia" w:ascii="仿宋_GB2312" w:hAnsi="宋体" w:eastAsia="仿宋_GB2312" w:cs="宋体"/>
          <w:spacing w:val="-6"/>
          <w:kern w:val="0"/>
          <w:sz w:val="32"/>
          <w:szCs w:val="32"/>
          <w:highlight w:val="none"/>
        </w:rPr>
        <w:t>万元</w:t>
      </w:r>
      <w:r>
        <w:rPr>
          <w:rFonts w:ascii="仿宋_GB2312" w:hAnsi="宋体" w:eastAsia="仿宋_GB2312" w:cs="宋体"/>
          <w:spacing w:val="-6"/>
          <w:kern w:val="0"/>
          <w:sz w:val="32"/>
          <w:szCs w:val="32"/>
          <w:highlight w:val="none"/>
        </w:rPr>
        <w:t>。</w:t>
      </w:r>
    </w:p>
    <w:p>
      <w:pPr>
        <w:spacing w:line="560" w:lineRule="exact"/>
        <w:ind w:firstLine="616" w:firstLineChars="200"/>
        <w:rPr>
          <w:rFonts w:ascii="仿宋" w:hAnsi="仿宋" w:eastAsia="仿宋" w:cs="宋体"/>
          <w:spacing w:val="-2"/>
          <w:kern w:val="0"/>
          <w:sz w:val="32"/>
          <w:szCs w:val="32"/>
          <w:highlight w:val="none"/>
        </w:rPr>
      </w:pPr>
      <w:r>
        <w:rPr>
          <w:rFonts w:hint="eastAsia" w:ascii="仿宋_GB2312" w:hAnsi="宋体" w:eastAsia="仿宋_GB2312" w:cs="宋体"/>
          <w:spacing w:val="-6"/>
          <w:kern w:val="0"/>
          <w:sz w:val="32"/>
          <w:szCs w:val="32"/>
          <w:highlight w:val="none"/>
        </w:rPr>
        <w:t>一般</w:t>
      </w:r>
      <w:r>
        <w:rPr>
          <w:rFonts w:ascii="仿宋_GB2312" w:hAnsi="宋体" w:eastAsia="仿宋_GB2312" w:cs="宋体"/>
          <w:spacing w:val="-6"/>
          <w:kern w:val="0"/>
          <w:sz w:val="32"/>
          <w:szCs w:val="32"/>
          <w:highlight w:val="none"/>
        </w:rPr>
        <w:t>公共预算支出包括：</w:t>
      </w:r>
      <w:r>
        <w:rPr>
          <w:rFonts w:hint="eastAsia" w:ascii="仿宋_GB2312" w:hAnsi="宋体" w:eastAsia="仿宋_GB2312" w:cs="宋体"/>
          <w:kern w:val="0"/>
          <w:sz w:val="32"/>
          <w:szCs w:val="32"/>
          <w:highlight w:val="none"/>
        </w:rPr>
        <w:t>社会保障和就业支出152.66，</w:t>
      </w:r>
      <w:r>
        <w:rPr>
          <w:rFonts w:hint="eastAsia" w:ascii="仿宋" w:hAnsi="仿宋" w:eastAsia="仿宋" w:cs="宋体"/>
          <w:spacing w:val="-2"/>
          <w:kern w:val="0"/>
          <w:sz w:val="32"/>
          <w:szCs w:val="32"/>
          <w:highlight w:val="none"/>
        </w:rPr>
        <w:t>主要用于人员经费116.86万元；公用经费11.47万元；离退休人员管理及聘用人员工资24.32万元。</w:t>
      </w:r>
    </w:p>
    <w:p>
      <w:pPr>
        <w:spacing w:line="560" w:lineRule="exact"/>
        <w:ind w:firstLine="640" w:firstLineChars="200"/>
        <w:rPr>
          <w:rFonts w:ascii="黑体" w:hAnsi="宋体" w:eastAsia="黑体" w:cs="宋体"/>
          <w:kern w:val="0"/>
          <w:sz w:val="32"/>
          <w:szCs w:val="32"/>
          <w:highlight w:val="none"/>
        </w:rPr>
      </w:pPr>
      <w:r>
        <w:rPr>
          <w:rFonts w:hint="eastAsia" w:ascii="黑体" w:hAnsi="宋体" w:eastAsia="黑体" w:cs="宋体"/>
          <w:kern w:val="0"/>
          <w:sz w:val="32"/>
          <w:szCs w:val="32"/>
          <w:highlight w:val="none"/>
        </w:rPr>
        <w:t>五、关于克孜勒苏柯尔克孜自治州驻昌吉干休所2021年一般公共预算当年拨款情况说明</w:t>
      </w:r>
    </w:p>
    <w:p>
      <w:pPr>
        <w:spacing w:line="560" w:lineRule="exact"/>
        <w:ind w:firstLine="643" w:firstLineChars="200"/>
        <w:rPr>
          <w:rFonts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rPr>
        <w:t>（一）一般公共预算当年拨款规模变化情况</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克孜勒苏柯尔克孜自治州驻昌吉干休所2021年一般公共预算拨款合计</w:t>
      </w:r>
      <w:r>
        <w:rPr>
          <w:rFonts w:hint="eastAsia" w:ascii="仿宋" w:hAnsi="仿宋" w:eastAsia="仿宋" w:cs="宋体"/>
          <w:spacing w:val="-2"/>
          <w:kern w:val="0"/>
          <w:sz w:val="32"/>
          <w:szCs w:val="32"/>
          <w:highlight w:val="none"/>
        </w:rPr>
        <w:t>152.66万</w:t>
      </w:r>
      <w:r>
        <w:rPr>
          <w:rFonts w:hint="eastAsia" w:ascii="仿宋_GB2312" w:hAnsi="宋体" w:eastAsia="仿宋_GB2312" w:cs="宋体"/>
          <w:kern w:val="0"/>
          <w:sz w:val="32"/>
          <w:szCs w:val="32"/>
          <w:highlight w:val="none"/>
        </w:rPr>
        <w:t>元，其中：基本支出128.33万元，比上年预算增加3.54万元，增长0.28%。主要原因是：1</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基本工资、津贴补贴增加；2</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在职人员及退休职工社会保障费缴费增加；3</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在职人员住房公积金缴费增加。项目支出 24.33</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比上年预算减少0.12万元，降低0.01%，主要原因是离退休党组织书记工作补贴减少。</w:t>
      </w:r>
    </w:p>
    <w:p>
      <w:pPr>
        <w:spacing w:line="560" w:lineRule="exact"/>
        <w:ind w:firstLine="643" w:firstLineChars="200"/>
        <w:rPr>
          <w:rFonts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rPr>
        <w:t>（二）一般公共预算当年拨款结构情况</w:t>
      </w:r>
    </w:p>
    <w:p>
      <w:pPr>
        <w:spacing w:line="560" w:lineRule="exact"/>
        <w:ind w:firstLine="632" w:firstLineChars="200"/>
        <w:rPr>
          <w:rFonts w:ascii="仿宋_GB2312" w:hAnsi="宋体" w:eastAsia="仿宋_GB2312" w:cs="宋体"/>
          <w:kern w:val="0"/>
          <w:sz w:val="32"/>
          <w:szCs w:val="32"/>
          <w:highlight w:val="none"/>
        </w:rPr>
      </w:pPr>
      <w:r>
        <w:rPr>
          <w:rFonts w:hint="eastAsia" w:ascii="仿宋" w:hAnsi="仿宋" w:eastAsia="仿宋"/>
          <w:spacing w:val="-2"/>
          <w:sz w:val="32"/>
          <w:szCs w:val="32"/>
          <w:highlight w:val="none"/>
        </w:rPr>
        <w:t>社会保障和就业支出</w:t>
      </w:r>
      <w:r>
        <w:rPr>
          <w:rFonts w:hint="eastAsia" w:ascii="仿宋_GB2312" w:eastAsia="仿宋_GB2312"/>
          <w:sz w:val="32"/>
          <w:szCs w:val="32"/>
          <w:highlight w:val="none"/>
        </w:rPr>
        <w:t>（类</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208）</w:t>
      </w:r>
      <w:r>
        <w:rPr>
          <w:rFonts w:hint="eastAsia" w:ascii="仿宋" w:hAnsi="仿宋" w:eastAsia="仿宋" w:cs="宋体"/>
          <w:spacing w:val="-2"/>
          <w:kern w:val="0"/>
          <w:sz w:val="32"/>
          <w:szCs w:val="32"/>
          <w:highlight w:val="none"/>
        </w:rPr>
        <w:t>152.66万</w:t>
      </w:r>
      <w:r>
        <w:rPr>
          <w:rFonts w:hint="eastAsia" w:ascii="仿宋_GB2312" w:hAnsi="宋体" w:eastAsia="仿宋_GB2312" w:cs="宋体"/>
          <w:kern w:val="0"/>
          <w:sz w:val="32"/>
          <w:szCs w:val="32"/>
          <w:highlight w:val="none"/>
        </w:rPr>
        <w:t>元，占100 %。</w:t>
      </w:r>
    </w:p>
    <w:p>
      <w:pPr>
        <w:spacing w:line="520" w:lineRule="exact"/>
        <w:ind w:firstLine="640"/>
        <w:rPr>
          <w:rFonts w:ascii="仿宋" w:hAnsi="仿宋" w:eastAsia="仿宋" w:cs="宋体"/>
          <w:spacing w:val="-2"/>
          <w:kern w:val="0"/>
          <w:sz w:val="32"/>
          <w:szCs w:val="32"/>
          <w:highlight w:val="none"/>
        </w:rPr>
      </w:pPr>
      <w:r>
        <w:rPr>
          <w:rFonts w:hint="eastAsia" w:ascii="仿宋" w:hAnsi="仿宋" w:eastAsia="仿宋" w:cs="宋体"/>
          <w:spacing w:val="-2"/>
          <w:kern w:val="0"/>
          <w:sz w:val="32"/>
          <w:szCs w:val="32"/>
          <w:highlight w:val="none"/>
        </w:rPr>
        <w:t>其中：基本支出128.33万元，占84%，主要用于人员经费；项目支出24.33万元，占16%，主要用于聘用人员工资和场馆运行费。</w:t>
      </w:r>
    </w:p>
    <w:p>
      <w:pPr>
        <w:spacing w:line="560" w:lineRule="exact"/>
        <w:ind w:firstLine="643" w:firstLineChars="200"/>
        <w:rPr>
          <w:rFonts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rPr>
        <w:t>（三）一般公共预算当年拨款具体使用情况</w:t>
      </w:r>
    </w:p>
    <w:p>
      <w:pPr>
        <w:spacing w:line="560" w:lineRule="exact"/>
        <w:ind w:firstLine="640" w:firstLineChars="200"/>
        <w:rPr>
          <w:rFonts w:ascii="仿宋_GB2312" w:hAnsi="宋体" w:eastAsia="仿宋_GB2312" w:cs="宋体"/>
          <w:color w:val="FF0000"/>
          <w:kern w:val="0"/>
          <w:sz w:val="32"/>
          <w:szCs w:val="32"/>
          <w:highlight w:val="none"/>
        </w:rPr>
      </w:pPr>
      <w:r>
        <w:rPr>
          <w:rFonts w:hint="eastAsia" w:ascii="仿宋_GB2312" w:hAnsi="宋体" w:eastAsia="仿宋_GB2312" w:cs="宋体"/>
          <w:kern w:val="0"/>
          <w:sz w:val="32"/>
          <w:szCs w:val="32"/>
          <w:highlight w:val="none"/>
        </w:rPr>
        <w:t>1.</w:t>
      </w:r>
      <w:r>
        <w:rPr>
          <w:rFonts w:hint="eastAsia" w:ascii="仿宋" w:hAnsi="仿宋" w:eastAsia="仿宋"/>
          <w:spacing w:val="-2"/>
          <w:sz w:val="32"/>
          <w:szCs w:val="32"/>
          <w:highlight w:val="none"/>
        </w:rPr>
        <w:t>社会保障与就业支出</w:t>
      </w:r>
      <w:r>
        <w:rPr>
          <w:rFonts w:ascii="仿宋" w:hAnsi="仿宋" w:eastAsia="仿宋" w:cs="宋体"/>
          <w:spacing w:val="-2"/>
          <w:kern w:val="0"/>
          <w:sz w:val="32"/>
          <w:szCs w:val="32"/>
          <w:highlight w:val="none"/>
        </w:rPr>
        <w:t>（</w:t>
      </w:r>
      <w:r>
        <w:rPr>
          <w:rFonts w:hint="eastAsia" w:ascii="仿宋" w:hAnsi="仿宋" w:eastAsia="仿宋" w:cs="宋体"/>
          <w:spacing w:val="-2"/>
          <w:kern w:val="0"/>
          <w:sz w:val="32"/>
          <w:szCs w:val="32"/>
          <w:highlight w:val="none"/>
          <w:lang w:eastAsia="zh-CN"/>
        </w:rPr>
        <w:t>类：</w:t>
      </w:r>
      <w:r>
        <w:rPr>
          <w:rFonts w:hint="eastAsia" w:ascii="仿宋" w:hAnsi="仿宋" w:eastAsia="仿宋" w:cs="宋体"/>
          <w:spacing w:val="-2"/>
          <w:kern w:val="0"/>
          <w:sz w:val="32"/>
          <w:szCs w:val="32"/>
          <w:highlight w:val="none"/>
        </w:rPr>
        <w:t>208</w:t>
      </w:r>
      <w:r>
        <w:rPr>
          <w:rFonts w:ascii="仿宋" w:hAnsi="仿宋" w:eastAsia="仿宋" w:cs="宋体"/>
          <w:spacing w:val="-2"/>
          <w:kern w:val="0"/>
          <w:sz w:val="32"/>
          <w:szCs w:val="32"/>
          <w:highlight w:val="none"/>
        </w:rPr>
        <w:t>）行政</w:t>
      </w:r>
      <w:r>
        <w:rPr>
          <w:rFonts w:hint="eastAsia" w:ascii="仿宋" w:hAnsi="仿宋" w:eastAsia="仿宋" w:cs="宋体"/>
          <w:spacing w:val="-2"/>
          <w:kern w:val="0"/>
          <w:sz w:val="32"/>
          <w:szCs w:val="32"/>
          <w:highlight w:val="none"/>
        </w:rPr>
        <w:t>事业单位离退休</w:t>
      </w:r>
      <w:r>
        <w:rPr>
          <w:rFonts w:ascii="仿宋" w:hAnsi="仿宋" w:eastAsia="仿宋" w:cs="宋体"/>
          <w:spacing w:val="-2"/>
          <w:kern w:val="0"/>
          <w:sz w:val="32"/>
          <w:szCs w:val="32"/>
          <w:highlight w:val="none"/>
        </w:rPr>
        <w:t>（</w:t>
      </w:r>
      <w:r>
        <w:rPr>
          <w:rFonts w:hint="eastAsia" w:ascii="仿宋" w:hAnsi="仿宋" w:eastAsia="仿宋" w:cs="宋体"/>
          <w:spacing w:val="-2"/>
          <w:kern w:val="0"/>
          <w:sz w:val="32"/>
          <w:szCs w:val="32"/>
          <w:highlight w:val="none"/>
          <w:lang w:eastAsia="zh-CN"/>
        </w:rPr>
        <w:t>款：</w:t>
      </w:r>
      <w:r>
        <w:rPr>
          <w:rFonts w:hint="eastAsia" w:ascii="仿宋" w:hAnsi="仿宋" w:eastAsia="仿宋" w:cs="宋体"/>
          <w:spacing w:val="-2"/>
          <w:kern w:val="0"/>
          <w:sz w:val="32"/>
          <w:szCs w:val="32"/>
          <w:highlight w:val="none"/>
        </w:rPr>
        <w:t>05</w:t>
      </w:r>
      <w:r>
        <w:rPr>
          <w:rFonts w:ascii="仿宋" w:hAnsi="仿宋" w:eastAsia="仿宋" w:cs="宋体"/>
          <w:spacing w:val="-2"/>
          <w:kern w:val="0"/>
          <w:sz w:val="32"/>
          <w:szCs w:val="32"/>
          <w:highlight w:val="none"/>
        </w:rPr>
        <w:t>）</w:t>
      </w:r>
      <w:r>
        <w:rPr>
          <w:rFonts w:hint="eastAsia" w:ascii="仿宋_GB2312" w:hAnsi="宋体" w:eastAsia="仿宋_GB2312" w:cs="宋体"/>
          <w:kern w:val="0"/>
          <w:sz w:val="32"/>
          <w:szCs w:val="32"/>
          <w:highlight w:val="none"/>
        </w:rPr>
        <w:t>其他行政事业单位养老支出</w:t>
      </w:r>
      <w:r>
        <w:rPr>
          <w:rFonts w:ascii="仿宋" w:hAnsi="仿宋" w:eastAsia="仿宋" w:cs="宋体"/>
          <w:spacing w:val="-2"/>
          <w:kern w:val="0"/>
          <w:sz w:val="32"/>
          <w:szCs w:val="32"/>
          <w:highlight w:val="none"/>
        </w:rPr>
        <w:t>（</w:t>
      </w:r>
      <w:r>
        <w:rPr>
          <w:rFonts w:hint="eastAsia" w:ascii="仿宋" w:hAnsi="仿宋" w:eastAsia="仿宋" w:cs="宋体"/>
          <w:spacing w:val="-2"/>
          <w:kern w:val="0"/>
          <w:sz w:val="32"/>
          <w:szCs w:val="32"/>
          <w:highlight w:val="none"/>
          <w:lang w:eastAsia="zh-CN"/>
        </w:rPr>
        <w:t>项：</w:t>
      </w:r>
      <w:r>
        <w:rPr>
          <w:rFonts w:hint="eastAsia" w:ascii="仿宋" w:hAnsi="仿宋" w:eastAsia="仿宋" w:cs="宋体"/>
          <w:spacing w:val="-2"/>
          <w:kern w:val="0"/>
          <w:sz w:val="32"/>
          <w:szCs w:val="32"/>
          <w:highlight w:val="none"/>
        </w:rPr>
        <w:t>99</w:t>
      </w:r>
      <w:r>
        <w:rPr>
          <w:rFonts w:ascii="仿宋" w:hAnsi="仿宋" w:eastAsia="仿宋" w:cs="宋体"/>
          <w:spacing w:val="-2"/>
          <w:kern w:val="0"/>
          <w:sz w:val="32"/>
          <w:szCs w:val="32"/>
          <w:highlight w:val="none"/>
        </w:rPr>
        <w:t>）</w:t>
      </w:r>
      <w:r>
        <w:rPr>
          <w:rFonts w:hint="eastAsia" w:ascii="仿宋_GB2312" w:hAnsi="宋体" w:eastAsia="仿宋_GB2312" w:cs="宋体"/>
          <w:kern w:val="0"/>
          <w:sz w:val="32"/>
          <w:szCs w:val="32"/>
          <w:highlight w:val="none"/>
        </w:rPr>
        <w:t>：2021</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128.33</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w:t>
      </w:r>
      <w:r>
        <w:rPr>
          <w:rFonts w:hint="eastAsia" w:ascii="仿宋_GB2312" w:hAnsi="宋体" w:eastAsia="仿宋_GB2312" w:cs="宋体"/>
          <w:kern w:val="0"/>
          <w:sz w:val="32"/>
          <w:szCs w:val="32"/>
          <w:highlight w:val="none"/>
          <w:lang w:eastAsia="zh-CN"/>
        </w:rPr>
        <w:t>预算</w:t>
      </w:r>
      <w:r>
        <w:rPr>
          <w:rFonts w:hint="eastAsia" w:ascii="仿宋_GB2312" w:hAnsi="宋体" w:eastAsia="仿宋_GB2312" w:cs="宋体"/>
          <w:kern w:val="0"/>
          <w:sz w:val="32"/>
          <w:szCs w:val="32"/>
          <w:highlight w:val="none"/>
        </w:rPr>
        <w:t>增加3.21 万元，增长0.22%，主要原因是：1</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基本工资、津贴补贴增加；2</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在职人员及退休职工社会保障费缴费增加；3</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 xml:space="preserve">在职人员住房公积金缴费增加。   </w:t>
      </w:r>
    </w:p>
    <w:p>
      <w:pPr>
        <w:spacing w:line="560" w:lineRule="exact"/>
        <w:ind w:firstLine="640" w:firstLineChars="200"/>
        <w:rPr>
          <w:rFonts w:ascii="仿宋_GB2312" w:hAnsi="宋体" w:eastAsia="仿宋_GB2312" w:cs="宋体"/>
          <w:kern w:val="0"/>
          <w:sz w:val="32"/>
          <w:szCs w:val="32"/>
          <w:highlight w:val="none"/>
        </w:rPr>
      </w:pPr>
      <w:r>
        <w:rPr>
          <w:rFonts w:hint="eastAsia" w:ascii="楷体_GB2312" w:hAnsi="宋体" w:eastAsia="楷体_GB2312" w:cs="宋体"/>
          <w:kern w:val="0"/>
          <w:sz w:val="32"/>
          <w:szCs w:val="32"/>
          <w:highlight w:val="none"/>
        </w:rPr>
        <w:t>2.</w:t>
      </w:r>
      <w:r>
        <w:rPr>
          <w:rFonts w:hint="eastAsia" w:ascii="仿宋" w:hAnsi="仿宋" w:eastAsia="仿宋"/>
          <w:spacing w:val="-2"/>
          <w:sz w:val="32"/>
          <w:szCs w:val="32"/>
          <w:highlight w:val="none"/>
        </w:rPr>
        <w:t>社会保障与就业支出</w:t>
      </w:r>
      <w:r>
        <w:rPr>
          <w:rFonts w:ascii="仿宋" w:hAnsi="仿宋" w:eastAsia="仿宋" w:cs="宋体"/>
          <w:spacing w:val="-2"/>
          <w:kern w:val="0"/>
          <w:sz w:val="32"/>
          <w:szCs w:val="32"/>
          <w:highlight w:val="none"/>
        </w:rPr>
        <w:t>（</w:t>
      </w:r>
      <w:r>
        <w:rPr>
          <w:rFonts w:hint="eastAsia" w:ascii="仿宋" w:hAnsi="仿宋" w:eastAsia="仿宋" w:cs="宋体"/>
          <w:spacing w:val="-2"/>
          <w:kern w:val="0"/>
          <w:sz w:val="32"/>
          <w:szCs w:val="32"/>
          <w:highlight w:val="none"/>
          <w:lang w:eastAsia="zh-CN"/>
        </w:rPr>
        <w:t>类：</w:t>
      </w:r>
      <w:r>
        <w:rPr>
          <w:rFonts w:hint="eastAsia" w:ascii="仿宋" w:hAnsi="仿宋" w:eastAsia="仿宋" w:cs="宋体"/>
          <w:spacing w:val="-2"/>
          <w:kern w:val="0"/>
          <w:sz w:val="32"/>
          <w:szCs w:val="32"/>
          <w:highlight w:val="none"/>
        </w:rPr>
        <w:t>208</w:t>
      </w:r>
      <w:r>
        <w:rPr>
          <w:rFonts w:ascii="仿宋" w:hAnsi="仿宋" w:eastAsia="仿宋" w:cs="宋体"/>
          <w:spacing w:val="-2"/>
          <w:kern w:val="0"/>
          <w:sz w:val="32"/>
          <w:szCs w:val="32"/>
          <w:highlight w:val="none"/>
        </w:rPr>
        <w:t>）行政</w:t>
      </w:r>
      <w:r>
        <w:rPr>
          <w:rFonts w:hint="eastAsia" w:ascii="仿宋" w:hAnsi="仿宋" w:eastAsia="仿宋" w:cs="宋体"/>
          <w:spacing w:val="-2"/>
          <w:kern w:val="0"/>
          <w:sz w:val="32"/>
          <w:szCs w:val="32"/>
          <w:highlight w:val="none"/>
        </w:rPr>
        <w:t>事业单位离退休</w:t>
      </w:r>
      <w:r>
        <w:rPr>
          <w:rFonts w:ascii="仿宋" w:hAnsi="仿宋" w:eastAsia="仿宋" w:cs="宋体"/>
          <w:spacing w:val="-2"/>
          <w:kern w:val="0"/>
          <w:sz w:val="32"/>
          <w:szCs w:val="32"/>
          <w:highlight w:val="none"/>
        </w:rPr>
        <w:t>（</w:t>
      </w:r>
      <w:r>
        <w:rPr>
          <w:rFonts w:hint="eastAsia" w:ascii="仿宋" w:hAnsi="仿宋" w:eastAsia="仿宋" w:cs="宋体"/>
          <w:spacing w:val="-2"/>
          <w:kern w:val="0"/>
          <w:sz w:val="32"/>
          <w:szCs w:val="32"/>
          <w:highlight w:val="none"/>
          <w:lang w:eastAsia="zh-CN"/>
        </w:rPr>
        <w:t>款：</w:t>
      </w:r>
      <w:r>
        <w:rPr>
          <w:rFonts w:hint="eastAsia" w:ascii="仿宋" w:hAnsi="仿宋" w:eastAsia="仿宋" w:cs="宋体"/>
          <w:spacing w:val="-2"/>
          <w:kern w:val="0"/>
          <w:sz w:val="32"/>
          <w:szCs w:val="32"/>
          <w:highlight w:val="none"/>
        </w:rPr>
        <w:t>05</w:t>
      </w:r>
      <w:r>
        <w:rPr>
          <w:rFonts w:ascii="仿宋" w:hAnsi="仿宋" w:eastAsia="仿宋" w:cs="宋体"/>
          <w:spacing w:val="-2"/>
          <w:kern w:val="0"/>
          <w:sz w:val="32"/>
          <w:szCs w:val="32"/>
          <w:highlight w:val="none"/>
        </w:rPr>
        <w:t>）</w:t>
      </w:r>
      <w:r>
        <w:rPr>
          <w:rFonts w:hint="eastAsia" w:ascii="仿宋_GB2312" w:hAnsi="宋体" w:eastAsia="仿宋_GB2312" w:cs="宋体"/>
          <w:kern w:val="0"/>
          <w:sz w:val="32"/>
          <w:szCs w:val="32"/>
          <w:highlight w:val="none"/>
        </w:rPr>
        <w:t>离退休人员管理机构</w:t>
      </w:r>
      <w:r>
        <w:rPr>
          <w:rFonts w:ascii="仿宋_GB2312" w:hAnsi="宋体" w:eastAsia="仿宋_GB2312" w:cs="宋体"/>
          <w:kern w:val="0"/>
          <w:sz w:val="32"/>
          <w:szCs w:val="32"/>
          <w:highlight w:val="none"/>
        </w:rPr>
        <w:t>（项</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03</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2021</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24.33</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比上年预算减少0.12万元，降低0.01%，主要原因是：离退休党组织书记工作补贴减少。</w:t>
      </w:r>
    </w:p>
    <w:p>
      <w:pPr>
        <w:spacing w:line="560" w:lineRule="exact"/>
        <w:ind w:firstLine="640" w:firstLineChars="200"/>
        <w:rPr>
          <w:rFonts w:ascii="黑体" w:hAnsi="宋体" w:eastAsia="黑体" w:cs="宋体"/>
          <w:kern w:val="0"/>
          <w:sz w:val="32"/>
          <w:szCs w:val="32"/>
          <w:highlight w:val="none"/>
        </w:rPr>
      </w:pPr>
      <w:r>
        <w:rPr>
          <w:rFonts w:hint="eastAsia" w:ascii="黑体" w:hAnsi="宋体" w:eastAsia="黑体" w:cs="宋体"/>
          <w:kern w:val="0"/>
          <w:sz w:val="32"/>
          <w:szCs w:val="32"/>
          <w:highlight w:val="none"/>
        </w:rPr>
        <w:t>六、关于克孜勒苏柯尔克孜自治州驻昌吉干休所2021年一般公共预算基本支出情况说明</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克孜勒苏柯尔克孜自治州驻昌吉干休所年一般公共预算基本支出128.33万元， 其中：</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人员经费116.86万元，主要包括：基本工资36万元、津贴补贴42.77万元、奖金3万元、机关事业单位基本养老保险缴费11.51万元、其他社会保障缴费9.64万元、住房公积金8.27万元、退休费4.99万元、奖励金0.67万元。</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公用经费11.47万元，主要包括：办公费1万元、水费0.5万元、电费1.25万元、取暖费2.51万元、差旅费1万元、维修（护）费0.38万元、公务接待费0.38万元、工会经费0.5万元、福利费0.9万元、公务用车运行维护费2.2万元、办公设备购置0.85万元。</w:t>
      </w:r>
    </w:p>
    <w:p>
      <w:pPr>
        <w:spacing w:line="560" w:lineRule="exact"/>
        <w:ind w:firstLine="640" w:firstLineChars="200"/>
        <w:rPr>
          <w:rFonts w:ascii="黑体" w:hAnsi="宋体" w:eastAsia="黑体" w:cs="宋体"/>
          <w:kern w:val="0"/>
          <w:sz w:val="32"/>
          <w:szCs w:val="32"/>
          <w:highlight w:val="none"/>
        </w:rPr>
      </w:pPr>
      <w:r>
        <w:rPr>
          <w:rFonts w:hint="eastAsia" w:ascii="黑体" w:hAnsi="宋体" w:eastAsia="黑体" w:cs="宋体"/>
          <w:kern w:val="0"/>
          <w:sz w:val="32"/>
          <w:szCs w:val="32"/>
          <w:highlight w:val="none"/>
        </w:rPr>
        <w:t>七、关于克孜勒苏柯尔克孜自治州驻昌吉干休所2021年一般公共预算项目支出情况说明</w:t>
      </w:r>
    </w:p>
    <w:p>
      <w:pPr>
        <w:widowControl/>
        <w:spacing w:line="520" w:lineRule="exact"/>
        <w:ind w:firstLine="642"/>
        <w:jc w:val="left"/>
        <w:rPr>
          <w:rFonts w:ascii="仿宋" w:hAnsi="仿宋" w:eastAsia="仿宋"/>
          <w:b/>
          <w:spacing w:val="-2"/>
          <w:sz w:val="32"/>
          <w:szCs w:val="32"/>
          <w:highlight w:val="none"/>
        </w:rPr>
      </w:pPr>
      <w:r>
        <w:rPr>
          <w:rFonts w:hint="eastAsia" w:ascii="仿宋" w:hAnsi="仿宋" w:eastAsia="仿宋"/>
          <w:b/>
          <w:spacing w:val="-2"/>
          <w:sz w:val="32"/>
          <w:szCs w:val="32"/>
          <w:highlight w:val="none"/>
        </w:rPr>
        <w:t>情况一：（按项目支出、专项业务费按下列内容说明）</w:t>
      </w:r>
    </w:p>
    <w:p>
      <w:pPr>
        <w:widowControl/>
        <w:spacing w:line="520" w:lineRule="exact"/>
        <w:ind w:firstLine="640"/>
        <w:jc w:val="left"/>
        <w:rPr>
          <w:rFonts w:ascii="仿宋" w:hAnsi="仿宋" w:eastAsia="仿宋"/>
          <w:b/>
          <w:bCs/>
          <w:spacing w:val="-2"/>
          <w:sz w:val="32"/>
          <w:szCs w:val="32"/>
          <w:highlight w:val="none"/>
        </w:rPr>
      </w:pPr>
      <w:r>
        <w:rPr>
          <w:rFonts w:hint="eastAsia" w:ascii="仿宋" w:hAnsi="仿宋" w:eastAsia="仿宋"/>
          <w:b/>
          <w:bCs/>
          <w:spacing w:val="-2"/>
          <w:sz w:val="32"/>
          <w:szCs w:val="32"/>
          <w:highlight w:val="none"/>
        </w:rPr>
        <w:t>项目</w:t>
      </w:r>
      <w:r>
        <w:rPr>
          <w:rFonts w:ascii="仿宋" w:hAnsi="仿宋" w:eastAsia="仿宋"/>
          <w:b/>
          <w:bCs/>
          <w:spacing w:val="-2"/>
          <w:sz w:val="32"/>
          <w:szCs w:val="32"/>
          <w:highlight w:val="none"/>
        </w:rPr>
        <w:t>名称</w:t>
      </w:r>
      <w:r>
        <w:rPr>
          <w:rFonts w:hint="eastAsia" w:ascii="仿宋" w:hAnsi="仿宋" w:eastAsia="仿宋"/>
          <w:b/>
          <w:bCs/>
          <w:spacing w:val="-2"/>
          <w:sz w:val="32"/>
          <w:szCs w:val="32"/>
          <w:highlight w:val="none"/>
        </w:rPr>
        <w:t>：</w:t>
      </w:r>
      <w:r>
        <w:rPr>
          <w:rFonts w:hint="eastAsia" w:ascii="仿宋" w:hAnsi="仿宋" w:eastAsia="仿宋" w:cs="宋体"/>
          <w:b/>
          <w:bCs/>
          <w:spacing w:val="-2"/>
          <w:kern w:val="0"/>
          <w:sz w:val="32"/>
          <w:szCs w:val="32"/>
          <w:highlight w:val="none"/>
        </w:rPr>
        <w:t>场馆运行费</w:t>
      </w:r>
    </w:p>
    <w:p>
      <w:pPr>
        <w:widowControl/>
        <w:spacing w:line="520" w:lineRule="exact"/>
        <w:ind w:firstLine="640"/>
        <w:jc w:val="left"/>
        <w:rPr>
          <w:rFonts w:ascii="仿宋" w:hAnsi="仿宋" w:eastAsia="仿宋"/>
          <w:spacing w:val="-2"/>
          <w:sz w:val="32"/>
          <w:szCs w:val="32"/>
          <w:highlight w:val="none"/>
        </w:rPr>
      </w:pPr>
      <w:r>
        <w:rPr>
          <w:rFonts w:ascii="仿宋" w:hAnsi="仿宋" w:eastAsia="仿宋"/>
          <w:spacing w:val="-2"/>
          <w:sz w:val="32"/>
          <w:szCs w:val="32"/>
          <w:highlight w:val="none"/>
        </w:rPr>
        <w:t>设立的政策依据</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根据干休所工作性质，为更好服务于老干部需要。</w:t>
      </w:r>
    </w:p>
    <w:p>
      <w:pPr>
        <w:widowControl/>
        <w:spacing w:line="520" w:lineRule="exact"/>
        <w:ind w:firstLine="640"/>
        <w:jc w:val="left"/>
        <w:rPr>
          <w:rFonts w:ascii="仿宋" w:hAnsi="仿宋" w:eastAsia="仿宋"/>
          <w:spacing w:val="-2"/>
          <w:sz w:val="32"/>
          <w:szCs w:val="32"/>
          <w:highlight w:val="none"/>
        </w:rPr>
      </w:pPr>
      <w:r>
        <w:rPr>
          <w:rFonts w:ascii="仿宋" w:hAnsi="仿宋" w:eastAsia="仿宋"/>
          <w:spacing w:val="-2"/>
          <w:sz w:val="32"/>
          <w:szCs w:val="32"/>
          <w:highlight w:val="none"/>
        </w:rPr>
        <w:t>预算安排规模</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4.05万元</w:t>
      </w:r>
    </w:p>
    <w:p>
      <w:pPr>
        <w:widowControl/>
        <w:spacing w:line="520" w:lineRule="exact"/>
        <w:ind w:firstLine="640"/>
        <w:jc w:val="left"/>
        <w:rPr>
          <w:rFonts w:ascii="仿宋" w:hAnsi="仿宋" w:eastAsia="仿宋"/>
          <w:spacing w:val="-2"/>
          <w:sz w:val="32"/>
          <w:szCs w:val="32"/>
          <w:highlight w:val="none"/>
        </w:rPr>
      </w:pPr>
      <w:r>
        <w:rPr>
          <w:rFonts w:ascii="仿宋" w:hAnsi="仿宋" w:eastAsia="仿宋"/>
          <w:spacing w:val="-2"/>
          <w:sz w:val="32"/>
          <w:szCs w:val="32"/>
          <w:highlight w:val="none"/>
        </w:rPr>
        <w:t>项目承担单位</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克州驻昌吉干休所</w:t>
      </w:r>
    </w:p>
    <w:p>
      <w:pPr>
        <w:widowControl/>
        <w:spacing w:line="520" w:lineRule="exact"/>
        <w:ind w:firstLine="640"/>
        <w:jc w:val="left"/>
        <w:rPr>
          <w:rFonts w:ascii="仿宋" w:hAnsi="仿宋" w:eastAsia="仿宋"/>
          <w:spacing w:val="-2"/>
          <w:sz w:val="32"/>
          <w:szCs w:val="32"/>
          <w:highlight w:val="none"/>
        </w:rPr>
      </w:pPr>
      <w:r>
        <w:rPr>
          <w:rFonts w:ascii="仿宋" w:hAnsi="仿宋" w:eastAsia="仿宋"/>
          <w:spacing w:val="-2"/>
          <w:sz w:val="32"/>
          <w:szCs w:val="32"/>
          <w:highlight w:val="none"/>
        </w:rPr>
        <w:t>资金分配情况</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根据活动场馆具体需求进行分配。</w:t>
      </w:r>
    </w:p>
    <w:p>
      <w:pPr>
        <w:spacing w:line="560" w:lineRule="exact"/>
        <w:ind w:firstLine="632" w:firstLineChars="200"/>
        <w:rPr>
          <w:rFonts w:ascii="仿宋" w:hAnsi="仿宋" w:eastAsia="仿宋" w:cs="宋体"/>
          <w:spacing w:val="-2"/>
          <w:kern w:val="0"/>
          <w:sz w:val="32"/>
          <w:szCs w:val="32"/>
          <w:highlight w:val="none"/>
        </w:rPr>
      </w:pPr>
      <w:r>
        <w:rPr>
          <w:rFonts w:ascii="仿宋" w:hAnsi="仿宋" w:eastAsia="仿宋"/>
          <w:spacing w:val="-2"/>
          <w:sz w:val="32"/>
          <w:szCs w:val="32"/>
          <w:highlight w:val="none"/>
        </w:rPr>
        <w:t>资金执行时间</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2020年1-12月</w:t>
      </w:r>
    </w:p>
    <w:p>
      <w:pPr>
        <w:spacing w:line="520" w:lineRule="exact"/>
        <w:ind w:firstLine="642"/>
        <w:rPr>
          <w:rFonts w:ascii="仿宋" w:hAnsi="仿宋" w:eastAsia="仿宋"/>
          <w:b/>
          <w:spacing w:val="-2"/>
          <w:sz w:val="32"/>
          <w:szCs w:val="32"/>
          <w:highlight w:val="none"/>
        </w:rPr>
      </w:pPr>
      <w:r>
        <w:rPr>
          <w:rFonts w:hint="eastAsia" w:ascii="仿宋" w:hAnsi="仿宋" w:eastAsia="仿宋"/>
          <w:b/>
          <w:spacing w:val="-2"/>
          <w:sz w:val="32"/>
          <w:szCs w:val="32"/>
          <w:highlight w:val="none"/>
        </w:rPr>
        <w:t>情况二：（</w:t>
      </w:r>
      <w:r>
        <w:rPr>
          <w:rFonts w:ascii="仿宋" w:hAnsi="仿宋" w:eastAsia="仿宋"/>
          <w:b/>
          <w:spacing w:val="-2"/>
          <w:sz w:val="32"/>
          <w:szCs w:val="22"/>
          <w:highlight w:val="none"/>
        </w:rPr>
        <w:t>属于对个人补贴的项目支出</w:t>
      </w:r>
      <w:r>
        <w:rPr>
          <w:rFonts w:hint="eastAsia" w:ascii="仿宋" w:hAnsi="仿宋" w:eastAsia="仿宋"/>
          <w:b/>
          <w:spacing w:val="-2"/>
          <w:sz w:val="32"/>
          <w:szCs w:val="32"/>
          <w:highlight w:val="none"/>
        </w:rPr>
        <w:t>按下列内容说明）</w:t>
      </w:r>
    </w:p>
    <w:p>
      <w:pPr>
        <w:widowControl/>
        <w:spacing w:line="520" w:lineRule="exact"/>
        <w:ind w:firstLine="640"/>
        <w:jc w:val="left"/>
        <w:rPr>
          <w:rFonts w:ascii="仿宋" w:hAnsi="仿宋" w:eastAsia="仿宋"/>
          <w:b/>
          <w:bCs/>
          <w:spacing w:val="-2"/>
          <w:sz w:val="32"/>
          <w:szCs w:val="32"/>
          <w:highlight w:val="none"/>
        </w:rPr>
      </w:pPr>
      <w:r>
        <w:rPr>
          <w:rFonts w:hint="eastAsia" w:ascii="仿宋" w:hAnsi="仿宋" w:eastAsia="仿宋"/>
          <w:b/>
          <w:bCs/>
          <w:spacing w:val="-2"/>
          <w:sz w:val="32"/>
          <w:szCs w:val="32"/>
          <w:highlight w:val="none"/>
        </w:rPr>
        <w:t>1、项目</w:t>
      </w:r>
      <w:r>
        <w:rPr>
          <w:rFonts w:ascii="仿宋" w:hAnsi="仿宋" w:eastAsia="仿宋"/>
          <w:b/>
          <w:bCs/>
          <w:spacing w:val="-2"/>
          <w:sz w:val="32"/>
          <w:szCs w:val="32"/>
          <w:highlight w:val="none"/>
        </w:rPr>
        <w:t>名称</w:t>
      </w:r>
      <w:r>
        <w:rPr>
          <w:rFonts w:hint="eastAsia" w:ascii="仿宋" w:hAnsi="仿宋" w:eastAsia="仿宋"/>
          <w:b/>
          <w:bCs/>
          <w:spacing w:val="-2"/>
          <w:sz w:val="32"/>
          <w:szCs w:val="32"/>
          <w:highlight w:val="none"/>
        </w:rPr>
        <w:t>：</w:t>
      </w:r>
      <w:r>
        <w:rPr>
          <w:rFonts w:hint="eastAsia" w:ascii="仿宋" w:hAnsi="仿宋" w:eastAsia="仿宋" w:cs="宋体"/>
          <w:b/>
          <w:bCs/>
          <w:spacing w:val="-2"/>
          <w:kern w:val="0"/>
          <w:sz w:val="32"/>
          <w:szCs w:val="32"/>
          <w:highlight w:val="none"/>
        </w:rPr>
        <w:t>聘用人员工资</w:t>
      </w:r>
    </w:p>
    <w:p>
      <w:pPr>
        <w:widowControl/>
        <w:spacing w:line="520" w:lineRule="exact"/>
        <w:ind w:firstLine="640"/>
        <w:jc w:val="left"/>
        <w:rPr>
          <w:rFonts w:ascii="仿宋" w:hAnsi="仿宋" w:eastAsia="仿宋"/>
          <w:spacing w:val="-2"/>
          <w:sz w:val="32"/>
          <w:szCs w:val="32"/>
          <w:highlight w:val="none"/>
        </w:rPr>
      </w:pPr>
      <w:r>
        <w:rPr>
          <w:rFonts w:ascii="仿宋" w:hAnsi="仿宋" w:eastAsia="仿宋"/>
          <w:spacing w:val="-2"/>
          <w:sz w:val="32"/>
          <w:szCs w:val="32"/>
          <w:highlight w:val="none"/>
        </w:rPr>
        <w:t>设立的政策依据</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根据公共安全工作要求及单位为老干部服务工作需求，聘用保安人员及大车司机。</w:t>
      </w:r>
    </w:p>
    <w:p>
      <w:pPr>
        <w:widowControl/>
        <w:spacing w:line="520" w:lineRule="exact"/>
        <w:ind w:firstLine="640"/>
        <w:jc w:val="left"/>
        <w:rPr>
          <w:rFonts w:ascii="仿宋" w:hAnsi="仿宋" w:eastAsia="仿宋"/>
          <w:spacing w:val="-2"/>
          <w:sz w:val="32"/>
          <w:szCs w:val="32"/>
          <w:highlight w:val="none"/>
        </w:rPr>
      </w:pPr>
      <w:r>
        <w:rPr>
          <w:rFonts w:ascii="仿宋" w:hAnsi="仿宋" w:eastAsia="仿宋"/>
          <w:spacing w:val="-2"/>
          <w:sz w:val="32"/>
          <w:szCs w:val="32"/>
          <w:highlight w:val="none"/>
        </w:rPr>
        <w:t>预算安排规模</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19.2万元</w:t>
      </w:r>
    </w:p>
    <w:p>
      <w:pPr>
        <w:widowControl/>
        <w:spacing w:line="520" w:lineRule="exact"/>
        <w:ind w:firstLine="640"/>
        <w:jc w:val="left"/>
        <w:rPr>
          <w:rFonts w:ascii="仿宋" w:hAnsi="仿宋" w:eastAsia="仿宋"/>
          <w:spacing w:val="-2"/>
          <w:sz w:val="32"/>
          <w:szCs w:val="32"/>
          <w:highlight w:val="none"/>
        </w:rPr>
      </w:pPr>
      <w:r>
        <w:rPr>
          <w:rFonts w:ascii="仿宋" w:hAnsi="仿宋" w:eastAsia="仿宋"/>
          <w:spacing w:val="-2"/>
          <w:sz w:val="32"/>
          <w:szCs w:val="32"/>
          <w:highlight w:val="none"/>
        </w:rPr>
        <w:t>项目承担单位</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克州驻昌吉干休所</w:t>
      </w:r>
    </w:p>
    <w:p>
      <w:pPr>
        <w:widowControl/>
        <w:spacing w:line="520" w:lineRule="exact"/>
        <w:ind w:firstLine="640"/>
        <w:jc w:val="left"/>
        <w:rPr>
          <w:rFonts w:ascii="仿宋" w:hAnsi="仿宋" w:eastAsia="仿宋"/>
          <w:spacing w:val="-2"/>
          <w:sz w:val="32"/>
          <w:szCs w:val="32"/>
          <w:highlight w:val="none"/>
        </w:rPr>
      </w:pPr>
      <w:r>
        <w:rPr>
          <w:rFonts w:ascii="仿宋" w:hAnsi="仿宋" w:eastAsia="仿宋"/>
          <w:spacing w:val="-2"/>
          <w:sz w:val="32"/>
          <w:szCs w:val="32"/>
          <w:highlight w:val="none"/>
        </w:rPr>
        <w:t>资金分配情况</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聘用人员4名，每人每月工资4000元。</w:t>
      </w:r>
    </w:p>
    <w:p>
      <w:pPr>
        <w:widowControl/>
        <w:spacing w:line="520" w:lineRule="exact"/>
        <w:ind w:firstLine="640"/>
        <w:jc w:val="left"/>
        <w:rPr>
          <w:rFonts w:ascii="仿宋" w:hAnsi="仿宋" w:eastAsia="仿宋" w:cs="宋体"/>
          <w:spacing w:val="-2"/>
          <w:kern w:val="0"/>
          <w:sz w:val="32"/>
          <w:szCs w:val="32"/>
          <w:highlight w:val="none"/>
        </w:rPr>
      </w:pPr>
      <w:r>
        <w:rPr>
          <w:rFonts w:ascii="仿宋" w:hAnsi="仿宋" w:eastAsia="仿宋"/>
          <w:spacing w:val="-2"/>
          <w:sz w:val="32"/>
          <w:szCs w:val="32"/>
          <w:highlight w:val="none"/>
        </w:rPr>
        <w:t>资金执行时间</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2020年1-12月</w:t>
      </w:r>
    </w:p>
    <w:p>
      <w:pPr>
        <w:widowControl/>
        <w:spacing w:line="520" w:lineRule="exact"/>
        <w:ind w:firstLine="640"/>
        <w:jc w:val="left"/>
        <w:rPr>
          <w:rFonts w:ascii="仿宋" w:hAnsi="仿宋" w:eastAsia="仿宋"/>
          <w:spacing w:val="-2"/>
          <w:sz w:val="32"/>
          <w:szCs w:val="22"/>
          <w:highlight w:val="none"/>
        </w:rPr>
      </w:pPr>
      <w:r>
        <w:rPr>
          <w:rFonts w:ascii="仿宋" w:hAnsi="仿宋" w:eastAsia="仿宋"/>
          <w:spacing w:val="-2"/>
          <w:sz w:val="32"/>
          <w:szCs w:val="22"/>
          <w:highlight w:val="none"/>
        </w:rPr>
        <w:t>资金来源</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财政拨款</w:t>
      </w:r>
    </w:p>
    <w:p>
      <w:pPr>
        <w:widowControl/>
        <w:spacing w:line="520" w:lineRule="exact"/>
        <w:ind w:firstLine="640"/>
        <w:jc w:val="left"/>
        <w:rPr>
          <w:rFonts w:ascii="仿宋" w:hAnsi="仿宋" w:eastAsia="仿宋"/>
          <w:spacing w:val="-2"/>
          <w:sz w:val="32"/>
          <w:szCs w:val="22"/>
          <w:highlight w:val="none"/>
        </w:rPr>
      </w:pPr>
      <w:r>
        <w:rPr>
          <w:rFonts w:ascii="仿宋" w:hAnsi="仿宋" w:eastAsia="仿宋"/>
          <w:spacing w:val="-2"/>
          <w:sz w:val="32"/>
          <w:szCs w:val="22"/>
          <w:highlight w:val="none"/>
        </w:rPr>
        <w:t>补贴人数</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4人</w:t>
      </w:r>
    </w:p>
    <w:p>
      <w:pPr>
        <w:widowControl/>
        <w:spacing w:line="520" w:lineRule="exact"/>
        <w:ind w:firstLine="640"/>
        <w:jc w:val="left"/>
        <w:rPr>
          <w:rFonts w:ascii="仿宋" w:hAnsi="仿宋" w:eastAsia="仿宋"/>
          <w:spacing w:val="-2"/>
          <w:sz w:val="32"/>
          <w:szCs w:val="22"/>
          <w:highlight w:val="none"/>
        </w:rPr>
      </w:pPr>
      <w:r>
        <w:rPr>
          <w:rFonts w:ascii="仿宋" w:hAnsi="仿宋" w:eastAsia="仿宋"/>
          <w:spacing w:val="-2"/>
          <w:sz w:val="32"/>
          <w:szCs w:val="22"/>
          <w:highlight w:val="none"/>
        </w:rPr>
        <w:t>补贴标准</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每人每月4000元</w:t>
      </w:r>
    </w:p>
    <w:p>
      <w:pPr>
        <w:widowControl/>
        <w:spacing w:line="520" w:lineRule="exact"/>
        <w:ind w:firstLine="640"/>
        <w:jc w:val="left"/>
        <w:rPr>
          <w:rFonts w:ascii="仿宋" w:hAnsi="仿宋" w:eastAsia="仿宋"/>
          <w:spacing w:val="-2"/>
          <w:sz w:val="32"/>
          <w:szCs w:val="22"/>
          <w:highlight w:val="none"/>
        </w:rPr>
      </w:pPr>
      <w:r>
        <w:rPr>
          <w:rFonts w:ascii="仿宋" w:hAnsi="仿宋" w:eastAsia="仿宋"/>
          <w:spacing w:val="-2"/>
          <w:sz w:val="32"/>
          <w:szCs w:val="22"/>
          <w:highlight w:val="none"/>
        </w:rPr>
        <w:t>补贴范围</w:t>
      </w:r>
      <w:r>
        <w:rPr>
          <w:rFonts w:hint="eastAsia" w:ascii="仿宋" w:hAnsi="仿宋" w:eastAsia="仿宋"/>
          <w:spacing w:val="-2"/>
          <w:sz w:val="32"/>
          <w:szCs w:val="32"/>
          <w:highlight w:val="none"/>
        </w:rPr>
        <w:t>：干休所</w:t>
      </w:r>
      <w:r>
        <w:rPr>
          <w:rFonts w:hint="eastAsia" w:ascii="仿宋" w:hAnsi="仿宋" w:eastAsia="仿宋" w:cs="宋体"/>
          <w:spacing w:val="-2"/>
          <w:kern w:val="0"/>
          <w:sz w:val="32"/>
          <w:szCs w:val="32"/>
          <w:highlight w:val="none"/>
        </w:rPr>
        <w:t>聘用</w:t>
      </w:r>
      <w:r>
        <w:rPr>
          <w:rFonts w:hint="eastAsia" w:ascii="仿宋" w:hAnsi="仿宋" w:eastAsia="仿宋"/>
          <w:spacing w:val="-2"/>
          <w:sz w:val="32"/>
          <w:szCs w:val="32"/>
          <w:highlight w:val="none"/>
        </w:rPr>
        <w:t>保安人员及大车司机</w:t>
      </w:r>
    </w:p>
    <w:p>
      <w:pPr>
        <w:widowControl/>
        <w:spacing w:line="520" w:lineRule="exact"/>
        <w:ind w:firstLine="640"/>
        <w:rPr>
          <w:rFonts w:ascii="仿宋" w:hAnsi="仿宋" w:eastAsia="仿宋" w:cs="宋体"/>
          <w:spacing w:val="-2"/>
          <w:kern w:val="0"/>
          <w:sz w:val="32"/>
          <w:szCs w:val="32"/>
          <w:highlight w:val="none"/>
        </w:rPr>
      </w:pPr>
      <w:r>
        <w:rPr>
          <w:rFonts w:ascii="仿宋" w:hAnsi="仿宋" w:eastAsia="仿宋"/>
          <w:spacing w:val="-2"/>
          <w:sz w:val="32"/>
          <w:szCs w:val="22"/>
          <w:highlight w:val="none"/>
        </w:rPr>
        <w:t>补贴方式</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每月现金发放</w:t>
      </w:r>
    </w:p>
    <w:p>
      <w:pPr>
        <w:widowControl/>
        <w:spacing w:line="520" w:lineRule="exact"/>
        <w:ind w:firstLine="632" w:firstLineChars="200"/>
        <w:rPr>
          <w:rFonts w:ascii="仿宋" w:hAnsi="仿宋" w:eastAsia="仿宋"/>
          <w:spacing w:val="-2"/>
          <w:sz w:val="32"/>
          <w:highlight w:val="none"/>
        </w:rPr>
      </w:pPr>
      <w:r>
        <w:rPr>
          <w:rFonts w:hint="eastAsia" w:ascii="仿宋" w:hAnsi="仿宋" w:eastAsia="仿宋" w:cs="宋体"/>
          <w:spacing w:val="-2"/>
          <w:kern w:val="0"/>
          <w:sz w:val="32"/>
          <w:szCs w:val="32"/>
          <w:highlight w:val="none"/>
        </w:rPr>
        <w:t>发放程序：每月底工作完成即发放</w:t>
      </w:r>
    </w:p>
    <w:p>
      <w:pPr>
        <w:widowControl/>
        <w:spacing w:line="520" w:lineRule="exact"/>
        <w:ind w:firstLine="632" w:firstLineChars="200"/>
        <w:rPr>
          <w:rFonts w:ascii="仿宋" w:hAnsi="仿宋" w:eastAsia="仿宋"/>
          <w:spacing w:val="-2"/>
          <w:sz w:val="32"/>
          <w:highlight w:val="none"/>
        </w:rPr>
      </w:pPr>
      <w:r>
        <w:rPr>
          <w:rFonts w:ascii="仿宋" w:hAnsi="仿宋" w:eastAsia="仿宋"/>
          <w:spacing w:val="-2"/>
          <w:sz w:val="32"/>
          <w:highlight w:val="none"/>
        </w:rPr>
        <w:t>受益人群和社会效益</w:t>
      </w:r>
      <w:r>
        <w:rPr>
          <w:rFonts w:hint="eastAsia" w:ascii="仿宋" w:hAnsi="仿宋" w:eastAsia="仿宋"/>
          <w:spacing w:val="-2"/>
          <w:sz w:val="32"/>
          <w:highlight w:val="none"/>
        </w:rPr>
        <w:t>：解决无工作人员就业及家庭困难</w:t>
      </w:r>
    </w:p>
    <w:p>
      <w:pPr>
        <w:widowControl/>
        <w:spacing w:line="520" w:lineRule="exact"/>
        <w:ind w:firstLine="640"/>
        <w:rPr>
          <w:rFonts w:ascii="仿宋" w:hAnsi="仿宋" w:eastAsia="仿宋"/>
          <w:b/>
          <w:bCs/>
          <w:spacing w:val="-2"/>
          <w:sz w:val="32"/>
          <w:szCs w:val="32"/>
          <w:highlight w:val="none"/>
        </w:rPr>
      </w:pPr>
      <w:r>
        <w:rPr>
          <w:rFonts w:hint="eastAsia" w:ascii="仿宋" w:hAnsi="仿宋" w:eastAsia="仿宋"/>
          <w:b/>
          <w:bCs/>
          <w:spacing w:val="-2"/>
          <w:sz w:val="32"/>
          <w:szCs w:val="32"/>
          <w:highlight w:val="none"/>
        </w:rPr>
        <w:t>2、项目</w:t>
      </w:r>
      <w:r>
        <w:rPr>
          <w:rFonts w:ascii="仿宋" w:hAnsi="仿宋" w:eastAsia="仿宋"/>
          <w:b/>
          <w:bCs/>
          <w:spacing w:val="-2"/>
          <w:sz w:val="32"/>
          <w:szCs w:val="32"/>
          <w:highlight w:val="none"/>
        </w:rPr>
        <w:t>名称</w:t>
      </w:r>
      <w:r>
        <w:rPr>
          <w:rFonts w:hint="eastAsia" w:ascii="仿宋" w:hAnsi="仿宋" w:eastAsia="仿宋"/>
          <w:b/>
          <w:bCs/>
          <w:spacing w:val="-2"/>
          <w:sz w:val="32"/>
          <w:szCs w:val="32"/>
          <w:highlight w:val="none"/>
        </w:rPr>
        <w:t>：</w:t>
      </w:r>
      <w:r>
        <w:rPr>
          <w:rFonts w:hint="eastAsia" w:ascii="仿宋" w:hAnsi="仿宋" w:eastAsia="仿宋" w:cs="宋体"/>
          <w:b/>
          <w:bCs/>
          <w:spacing w:val="-2"/>
          <w:kern w:val="0"/>
          <w:sz w:val="32"/>
          <w:szCs w:val="32"/>
          <w:highlight w:val="none"/>
        </w:rPr>
        <w:t>离退休党组织书记工作补贴</w:t>
      </w:r>
    </w:p>
    <w:p>
      <w:pPr>
        <w:widowControl/>
        <w:spacing w:line="520" w:lineRule="exact"/>
        <w:ind w:firstLine="640"/>
        <w:rPr>
          <w:rFonts w:ascii="仿宋" w:hAnsi="仿宋" w:eastAsia="仿宋"/>
          <w:spacing w:val="-2"/>
          <w:sz w:val="32"/>
          <w:szCs w:val="32"/>
          <w:highlight w:val="none"/>
        </w:rPr>
      </w:pPr>
      <w:r>
        <w:rPr>
          <w:rFonts w:ascii="仿宋" w:hAnsi="仿宋" w:eastAsia="仿宋"/>
          <w:spacing w:val="-2"/>
          <w:sz w:val="32"/>
          <w:szCs w:val="32"/>
          <w:highlight w:val="none"/>
        </w:rPr>
        <w:t>设立的政策依据</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根据自治区党委、组织部要求，对离退休党组织书记、委员进行工作补贴。</w:t>
      </w:r>
    </w:p>
    <w:p>
      <w:pPr>
        <w:widowControl/>
        <w:spacing w:line="520" w:lineRule="exact"/>
        <w:ind w:firstLine="640"/>
        <w:rPr>
          <w:rFonts w:ascii="仿宋" w:hAnsi="仿宋" w:eastAsia="仿宋"/>
          <w:spacing w:val="-2"/>
          <w:sz w:val="32"/>
          <w:szCs w:val="32"/>
          <w:highlight w:val="none"/>
        </w:rPr>
      </w:pPr>
      <w:r>
        <w:rPr>
          <w:rFonts w:ascii="仿宋" w:hAnsi="仿宋" w:eastAsia="仿宋"/>
          <w:spacing w:val="-2"/>
          <w:sz w:val="32"/>
          <w:szCs w:val="32"/>
          <w:highlight w:val="none"/>
        </w:rPr>
        <w:t>预算安排规模</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1.08万元</w:t>
      </w:r>
    </w:p>
    <w:p>
      <w:pPr>
        <w:widowControl/>
        <w:spacing w:line="520" w:lineRule="exact"/>
        <w:ind w:firstLine="640"/>
        <w:rPr>
          <w:rFonts w:ascii="仿宋" w:hAnsi="仿宋" w:eastAsia="仿宋"/>
          <w:spacing w:val="-2"/>
          <w:sz w:val="32"/>
          <w:szCs w:val="32"/>
          <w:highlight w:val="none"/>
        </w:rPr>
      </w:pPr>
      <w:r>
        <w:rPr>
          <w:rFonts w:ascii="仿宋" w:hAnsi="仿宋" w:eastAsia="仿宋"/>
          <w:spacing w:val="-2"/>
          <w:sz w:val="32"/>
          <w:szCs w:val="32"/>
          <w:highlight w:val="none"/>
        </w:rPr>
        <w:t>项目承担单位</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克州驻昌吉干休所</w:t>
      </w:r>
    </w:p>
    <w:p>
      <w:pPr>
        <w:widowControl/>
        <w:spacing w:line="520" w:lineRule="exact"/>
        <w:ind w:firstLine="640"/>
        <w:rPr>
          <w:rFonts w:ascii="仿宋" w:hAnsi="仿宋" w:eastAsia="仿宋"/>
          <w:spacing w:val="-2"/>
          <w:sz w:val="32"/>
          <w:szCs w:val="32"/>
          <w:highlight w:val="none"/>
        </w:rPr>
      </w:pPr>
      <w:r>
        <w:rPr>
          <w:rFonts w:ascii="仿宋" w:hAnsi="仿宋" w:eastAsia="仿宋"/>
          <w:spacing w:val="-2"/>
          <w:sz w:val="32"/>
          <w:szCs w:val="32"/>
          <w:highlight w:val="none"/>
        </w:rPr>
        <w:t>资金分配情况</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离退休党组织书记2人，每人每月300元；委员3人，每人每月100元。</w:t>
      </w:r>
    </w:p>
    <w:p>
      <w:pPr>
        <w:widowControl/>
        <w:spacing w:line="520" w:lineRule="exact"/>
        <w:ind w:firstLine="640"/>
        <w:rPr>
          <w:rFonts w:ascii="仿宋" w:hAnsi="仿宋" w:eastAsia="仿宋" w:cs="宋体"/>
          <w:spacing w:val="-2"/>
          <w:kern w:val="0"/>
          <w:sz w:val="32"/>
          <w:szCs w:val="32"/>
          <w:highlight w:val="none"/>
        </w:rPr>
      </w:pPr>
      <w:r>
        <w:rPr>
          <w:rFonts w:ascii="仿宋" w:hAnsi="仿宋" w:eastAsia="仿宋"/>
          <w:spacing w:val="-2"/>
          <w:sz w:val="32"/>
          <w:szCs w:val="32"/>
          <w:highlight w:val="none"/>
        </w:rPr>
        <w:t>资金执行时间</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2020年1-12月</w:t>
      </w:r>
    </w:p>
    <w:p>
      <w:pPr>
        <w:widowControl/>
        <w:spacing w:line="520" w:lineRule="exact"/>
        <w:ind w:firstLine="640"/>
        <w:rPr>
          <w:rFonts w:ascii="仿宋" w:hAnsi="仿宋" w:eastAsia="仿宋"/>
          <w:spacing w:val="-2"/>
          <w:sz w:val="32"/>
          <w:szCs w:val="22"/>
          <w:highlight w:val="none"/>
        </w:rPr>
      </w:pPr>
      <w:r>
        <w:rPr>
          <w:rFonts w:ascii="仿宋" w:hAnsi="仿宋" w:eastAsia="仿宋"/>
          <w:spacing w:val="-2"/>
          <w:sz w:val="32"/>
          <w:szCs w:val="22"/>
          <w:highlight w:val="none"/>
        </w:rPr>
        <w:t>资金来源</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财政拨款</w:t>
      </w:r>
    </w:p>
    <w:p>
      <w:pPr>
        <w:widowControl/>
        <w:spacing w:line="520" w:lineRule="exact"/>
        <w:ind w:firstLine="640"/>
        <w:rPr>
          <w:rFonts w:ascii="仿宋" w:hAnsi="仿宋" w:eastAsia="仿宋"/>
          <w:spacing w:val="-2"/>
          <w:sz w:val="32"/>
          <w:szCs w:val="22"/>
          <w:highlight w:val="none"/>
        </w:rPr>
      </w:pPr>
      <w:r>
        <w:rPr>
          <w:rFonts w:ascii="仿宋" w:hAnsi="仿宋" w:eastAsia="仿宋"/>
          <w:spacing w:val="-2"/>
          <w:sz w:val="32"/>
          <w:szCs w:val="22"/>
          <w:highlight w:val="none"/>
        </w:rPr>
        <w:t>补贴人数</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5人</w:t>
      </w:r>
    </w:p>
    <w:p>
      <w:pPr>
        <w:widowControl/>
        <w:spacing w:line="520" w:lineRule="exact"/>
        <w:ind w:firstLine="640"/>
        <w:rPr>
          <w:rFonts w:ascii="仿宋" w:hAnsi="仿宋" w:eastAsia="仿宋"/>
          <w:spacing w:val="-2"/>
          <w:sz w:val="32"/>
          <w:szCs w:val="22"/>
          <w:highlight w:val="none"/>
        </w:rPr>
      </w:pPr>
      <w:r>
        <w:rPr>
          <w:rFonts w:ascii="仿宋" w:hAnsi="仿宋" w:eastAsia="仿宋"/>
          <w:spacing w:val="-2"/>
          <w:sz w:val="32"/>
          <w:szCs w:val="22"/>
          <w:highlight w:val="none"/>
        </w:rPr>
        <w:t>补贴标准</w:t>
      </w:r>
      <w:r>
        <w:rPr>
          <w:rFonts w:hint="eastAsia" w:ascii="仿宋" w:hAnsi="仿宋" w:eastAsia="仿宋"/>
          <w:spacing w:val="-2"/>
          <w:sz w:val="32"/>
          <w:szCs w:val="32"/>
          <w:highlight w:val="none"/>
        </w:rPr>
        <w:t>：</w:t>
      </w:r>
      <w:r>
        <w:rPr>
          <w:rFonts w:hint="eastAsia" w:ascii="仿宋" w:hAnsi="仿宋" w:eastAsia="仿宋" w:cs="宋体"/>
          <w:spacing w:val="-2"/>
          <w:kern w:val="0"/>
          <w:sz w:val="32"/>
          <w:szCs w:val="32"/>
          <w:highlight w:val="none"/>
        </w:rPr>
        <w:t>离退休党组织书记每人每月300元，委员每人每月100元。</w:t>
      </w:r>
    </w:p>
    <w:p>
      <w:pPr>
        <w:widowControl/>
        <w:spacing w:line="520" w:lineRule="exact"/>
        <w:ind w:firstLine="640"/>
        <w:rPr>
          <w:rFonts w:ascii="仿宋" w:hAnsi="仿宋" w:eastAsia="仿宋"/>
          <w:spacing w:val="-2"/>
          <w:sz w:val="32"/>
          <w:szCs w:val="22"/>
          <w:highlight w:val="none"/>
        </w:rPr>
      </w:pPr>
      <w:r>
        <w:rPr>
          <w:rFonts w:ascii="仿宋" w:hAnsi="仿宋" w:eastAsia="仿宋"/>
          <w:spacing w:val="-2"/>
          <w:sz w:val="32"/>
          <w:szCs w:val="22"/>
          <w:highlight w:val="none"/>
        </w:rPr>
        <w:t>补贴范围</w:t>
      </w:r>
      <w:r>
        <w:rPr>
          <w:rFonts w:hint="eastAsia" w:ascii="仿宋" w:hAnsi="仿宋" w:eastAsia="仿宋"/>
          <w:spacing w:val="-2"/>
          <w:sz w:val="32"/>
          <w:szCs w:val="32"/>
          <w:highlight w:val="none"/>
        </w:rPr>
        <w:t>：干休所</w:t>
      </w:r>
      <w:r>
        <w:rPr>
          <w:rFonts w:hint="eastAsia" w:ascii="仿宋" w:hAnsi="仿宋" w:eastAsia="仿宋" w:cs="宋体"/>
          <w:spacing w:val="-2"/>
          <w:kern w:val="0"/>
          <w:sz w:val="32"/>
          <w:szCs w:val="32"/>
          <w:highlight w:val="none"/>
        </w:rPr>
        <w:t>党总支</w:t>
      </w:r>
    </w:p>
    <w:p>
      <w:pPr>
        <w:widowControl/>
        <w:spacing w:line="520" w:lineRule="exact"/>
        <w:ind w:firstLine="640"/>
        <w:rPr>
          <w:rFonts w:ascii="仿宋" w:hAnsi="仿宋" w:eastAsia="仿宋" w:cs="宋体"/>
          <w:spacing w:val="-2"/>
          <w:kern w:val="0"/>
          <w:sz w:val="32"/>
          <w:szCs w:val="32"/>
          <w:highlight w:val="none"/>
        </w:rPr>
      </w:pPr>
      <w:r>
        <w:rPr>
          <w:rFonts w:ascii="仿宋" w:hAnsi="仿宋" w:eastAsia="仿宋"/>
          <w:spacing w:val="-2"/>
          <w:sz w:val="32"/>
          <w:szCs w:val="22"/>
          <w:highlight w:val="none"/>
        </w:rPr>
        <w:t>补贴方式</w:t>
      </w:r>
      <w:r>
        <w:rPr>
          <w:rFonts w:hint="eastAsia" w:ascii="仿宋" w:hAnsi="仿宋" w:eastAsia="仿宋"/>
          <w:spacing w:val="-2"/>
          <w:sz w:val="32"/>
          <w:szCs w:val="32"/>
          <w:highlight w:val="none"/>
        </w:rPr>
        <w:t>：按月</w:t>
      </w:r>
      <w:r>
        <w:rPr>
          <w:rFonts w:hint="eastAsia" w:ascii="仿宋" w:hAnsi="仿宋" w:eastAsia="仿宋" w:cs="宋体"/>
          <w:spacing w:val="-2"/>
          <w:kern w:val="0"/>
          <w:sz w:val="32"/>
          <w:szCs w:val="32"/>
          <w:highlight w:val="none"/>
        </w:rPr>
        <w:t>现金发放</w:t>
      </w:r>
    </w:p>
    <w:p>
      <w:pPr>
        <w:widowControl/>
        <w:spacing w:line="520" w:lineRule="exact"/>
        <w:ind w:firstLine="632" w:firstLineChars="200"/>
        <w:rPr>
          <w:rFonts w:ascii="仿宋" w:hAnsi="仿宋" w:eastAsia="仿宋"/>
          <w:spacing w:val="-2"/>
          <w:sz w:val="32"/>
          <w:highlight w:val="none"/>
        </w:rPr>
      </w:pPr>
      <w:r>
        <w:rPr>
          <w:rFonts w:hint="eastAsia" w:ascii="仿宋" w:hAnsi="仿宋" w:eastAsia="仿宋" w:cs="宋体"/>
          <w:spacing w:val="-2"/>
          <w:kern w:val="0"/>
          <w:sz w:val="32"/>
          <w:szCs w:val="32"/>
          <w:highlight w:val="none"/>
        </w:rPr>
        <w:t>发放程序：督促开展每月党支部活动学习</w:t>
      </w:r>
    </w:p>
    <w:p>
      <w:pPr>
        <w:widowControl/>
        <w:spacing w:line="520" w:lineRule="exact"/>
        <w:ind w:firstLine="632" w:firstLineChars="200"/>
        <w:rPr>
          <w:rFonts w:ascii="仿宋" w:hAnsi="仿宋" w:eastAsia="仿宋" w:cs="宋体"/>
          <w:spacing w:val="-2"/>
          <w:kern w:val="0"/>
          <w:sz w:val="32"/>
          <w:szCs w:val="32"/>
          <w:highlight w:val="none"/>
        </w:rPr>
      </w:pPr>
      <w:r>
        <w:rPr>
          <w:rFonts w:ascii="仿宋" w:hAnsi="仿宋" w:eastAsia="仿宋"/>
          <w:spacing w:val="-2"/>
          <w:sz w:val="32"/>
          <w:highlight w:val="none"/>
        </w:rPr>
        <w:t>受益人群和社会</w:t>
      </w:r>
      <w:r>
        <w:rPr>
          <w:rFonts w:ascii="仿宋" w:hAnsi="仿宋" w:eastAsia="仿宋" w:cs="宋体"/>
          <w:spacing w:val="-2"/>
          <w:kern w:val="0"/>
          <w:sz w:val="32"/>
          <w:szCs w:val="32"/>
          <w:highlight w:val="none"/>
        </w:rPr>
        <w:t>效益</w:t>
      </w:r>
      <w:r>
        <w:rPr>
          <w:rFonts w:hint="eastAsia" w:ascii="仿宋" w:hAnsi="仿宋" w:eastAsia="仿宋" w:cs="宋体"/>
          <w:spacing w:val="-2"/>
          <w:kern w:val="0"/>
          <w:sz w:val="32"/>
          <w:szCs w:val="32"/>
          <w:highlight w:val="none"/>
        </w:rPr>
        <w:t>：加强对老干部党组织的重视，提高老干部工作的积极性。</w:t>
      </w:r>
    </w:p>
    <w:p>
      <w:pPr>
        <w:spacing w:line="560" w:lineRule="exact"/>
        <w:ind w:firstLine="640" w:firstLineChars="200"/>
        <w:rPr>
          <w:rFonts w:ascii="黑体" w:hAnsi="宋体" w:eastAsia="黑体" w:cs="宋体"/>
          <w:kern w:val="0"/>
          <w:sz w:val="32"/>
          <w:szCs w:val="32"/>
          <w:highlight w:val="none"/>
        </w:rPr>
      </w:pPr>
      <w:r>
        <w:rPr>
          <w:rFonts w:hint="eastAsia" w:ascii="黑体" w:hAnsi="宋体" w:eastAsia="黑体" w:cs="宋体"/>
          <w:kern w:val="0"/>
          <w:sz w:val="32"/>
          <w:szCs w:val="32"/>
          <w:highlight w:val="none"/>
        </w:rPr>
        <w:t>八、关于克孜勒苏柯尔克孜自治州驻昌吉干休所2021年一般公共预算“三公”经费预算情况说明</w:t>
      </w:r>
    </w:p>
    <w:p>
      <w:pPr>
        <w:spacing w:line="56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克孜勒苏柯尔克孜自治州驻昌吉干休所2021年一般公共预算“三公”经费数为2.58万元，其中：因公出国（境）费0万元，公务用车购置0万元，公务用车运行费2.2万元，公务接待费0.38万元。</w:t>
      </w:r>
    </w:p>
    <w:p>
      <w:pPr>
        <w:spacing w:line="56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年一般公共预算“三公”经费比</w:t>
      </w:r>
      <w:r>
        <w:rPr>
          <w:rFonts w:hint="eastAsia" w:ascii="仿宋_GB2312" w:hAnsi="宋体" w:eastAsia="仿宋_GB2312" w:cs="宋体"/>
          <w:kern w:val="0"/>
          <w:sz w:val="32"/>
          <w:szCs w:val="32"/>
          <w:lang w:eastAsia="zh-CN"/>
        </w:rPr>
        <w:t>上年</w:t>
      </w:r>
      <w:r>
        <w:rPr>
          <w:rFonts w:hint="eastAsia" w:ascii="仿宋_GB2312" w:hAnsi="宋体" w:eastAsia="仿宋_GB2312" w:cs="宋体"/>
          <w:kern w:val="0"/>
          <w:sz w:val="32"/>
          <w:szCs w:val="32"/>
        </w:rPr>
        <w:t>增加0万元，其中：因公出国（境）费减少0万元，主要原因是未安排预算；公务用车购置费为0万元，未安排预算</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公务用车运行费增加0万元，主要原因是</w:t>
      </w:r>
      <w:r>
        <w:rPr>
          <w:rFonts w:hint="eastAsia" w:ascii="仿宋_GB2312" w:hAnsi="宋体" w:eastAsia="仿宋_GB2312" w:cs="宋体"/>
          <w:kern w:val="0"/>
          <w:sz w:val="32"/>
          <w:szCs w:val="32"/>
          <w:lang w:eastAsia="zh-CN"/>
        </w:rPr>
        <w:t>无</w:t>
      </w:r>
      <w:r>
        <w:rPr>
          <w:rFonts w:hint="eastAsia" w:ascii="仿宋_GB2312" w:hAnsi="宋体" w:eastAsia="仿宋_GB2312" w:cs="宋体"/>
          <w:kern w:val="0"/>
          <w:sz w:val="32"/>
          <w:szCs w:val="32"/>
        </w:rPr>
        <w:t>；公务接待费增加0</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eastAsia="zh-CN"/>
        </w:rPr>
        <w:t>无</w:t>
      </w:r>
      <w:r>
        <w:rPr>
          <w:rFonts w:hint="eastAsia" w:ascii="仿宋_GB2312" w:hAnsi="宋体" w:eastAsia="仿宋_GB2312" w:cs="宋体"/>
          <w:kern w:val="0"/>
          <w:sz w:val="32"/>
          <w:szCs w:val="32"/>
        </w:rPr>
        <w:t>。</w:t>
      </w:r>
    </w:p>
    <w:p>
      <w:pPr>
        <w:spacing w:line="560" w:lineRule="exact"/>
        <w:ind w:firstLine="640" w:firstLineChars="200"/>
        <w:rPr>
          <w:rFonts w:ascii="黑体" w:hAnsi="宋体" w:eastAsia="黑体" w:cs="宋体"/>
          <w:kern w:val="0"/>
          <w:sz w:val="32"/>
          <w:szCs w:val="32"/>
          <w:highlight w:val="none"/>
        </w:rPr>
      </w:pPr>
      <w:r>
        <w:rPr>
          <w:rFonts w:hint="eastAsia" w:ascii="黑体" w:hAnsi="宋体" w:eastAsia="黑体" w:cs="宋体"/>
          <w:kern w:val="0"/>
          <w:sz w:val="32"/>
          <w:szCs w:val="32"/>
          <w:highlight w:val="none"/>
        </w:rPr>
        <w:t>九、关于克孜勒苏柯尔克孜自治州驻昌吉干休所2021年政府性基金预算拨款情况说明</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克孜勒苏柯尔克孜自治州驻昌吉干休所2021年没有使用政府性基金预算拨款安排的支出，政府性基金预算支出情况表为空表。</w:t>
      </w:r>
    </w:p>
    <w:p>
      <w:pPr>
        <w:spacing w:line="560" w:lineRule="exact"/>
        <w:ind w:firstLine="640" w:firstLineChars="200"/>
        <w:rPr>
          <w:rFonts w:ascii="黑体" w:hAnsi="宋体" w:eastAsia="黑体" w:cs="宋体"/>
          <w:kern w:val="0"/>
          <w:sz w:val="32"/>
          <w:szCs w:val="32"/>
          <w:highlight w:val="none"/>
        </w:rPr>
      </w:pPr>
      <w:r>
        <w:rPr>
          <w:rFonts w:hint="eastAsia" w:ascii="黑体" w:hAnsi="宋体" w:eastAsia="黑体" w:cs="宋体"/>
          <w:kern w:val="0"/>
          <w:sz w:val="32"/>
          <w:szCs w:val="32"/>
          <w:highlight w:val="none"/>
        </w:rPr>
        <w:t>十、其他重要事项的情况说明</w:t>
      </w:r>
    </w:p>
    <w:p>
      <w:pPr>
        <w:spacing w:line="560" w:lineRule="exact"/>
        <w:ind w:firstLine="643" w:firstLineChars="200"/>
        <w:rPr>
          <w:rFonts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rPr>
        <w:t>（一）机关运行经费情况</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2021年，克孜勒苏柯尔克孜自治州驻昌吉干休所本级及下属0家行政单位和0家事业单位的机关运行经费财政拨款预算11.47万元，比上年预算增加0.05万元，增长0 .56%。主要原因是</w:t>
      </w:r>
      <w:r>
        <w:rPr>
          <w:rFonts w:hint="eastAsia" w:ascii="仿宋" w:hAnsi="仿宋" w:eastAsia="仿宋" w:cs="宋体"/>
          <w:spacing w:val="-2"/>
          <w:kern w:val="0"/>
          <w:sz w:val="32"/>
          <w:szCs w:val="32"/>
          <w:highlight w:val="none"/>
        </w:rPr>
        <w:t>主要原因是福利费、工会费增加。</w:t>
      </w:r>
    </w:p>
    <w:p>
      <w:pPr>
        <w:spacing w:line="560" w:lineRule="exact"/>
        <w:ind w:firstLine="643" w:firstLineChars="200"/>
        <w:rPr>
          <w:rFonts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rPr>
        <w:t>（二）政府采购情况</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2021年，克孜勒苏柯尔克孜自治州驻昌吉干休所政府采购预算3.05万元，其中：政府采购货物预算 1.35万元，政府采购工程预算0万元，政府采购服务预算1.7万元。</w:t>
      </w:r>
    </w:p>
    <w:p>
      <w:pPr>
        <w:spacing w:line="560" w:lineRule="exact"/>
        <w:ind w:firstLine="640" w:firstLineChars="200"/>
        <w:rPr>
          <w:rFonts w:ascii="仿宋_GB2312" w:hAnsi="仿宋_GB2312" w:eastAsia="仿宋_GB2312"/>
          <w:sz w:val="32"/>
          <w:highlight w:val="none"/>
        </w:rPr>
      </w:pPr>
      <w:r>
        <w:rPr>
          <w:rFonts w:hint="eastAsia" w:ascii="仿宋_GB2312" w:hAnsi="仿宋_GB2312" w:eastAsia="仿宋_GB2312"/>
          <w:sz w:val="32"/>
          <w:highlight w:val="none"/>
        </w:rPr>
        <w:t>2021年度本部门（单位）面向中小企业预留政府采购项目预算金额3.05 万元，其中：面向小微企业预留政府采购项目预算金额 3.05 万元。</w:t>
      </w:r>
    </w:p>
    <w:p>
      <w:pPr>
        <w:spacing w:line="560" w:lineRule="exact"/>
        <w:ind w:firstLine="643" w:firstLineChars="200"/>
        <w:rPr>
          <w:rFonts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rPr>
        <w:t>（三）国有资产占用使用情况</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截至2020年底，克孜勒苏柯尔克孜自治州驻昌吉干休所及下属各预算单位占用使用国有资产总体情况为</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1.房屋</w:t>
      </w:r>
      <w:r>
        <w:rPr>
          <w:rFonts w:hint="eastAsia" w:ascii="仿宋" w:hAnsi="仿宋" w:eastAsia="仿宋" w:cs="宋体"/>
          <w:spacing w:val="-2"/>
          <w:kern w:val="0"/>
          <w:sz w:val="32"/>
          <w:szCs w:val="32"/>
          <w:highlight w:val="none"/>
        </w:rPr>
        <w:t>1054.24平方米，价值39.93万元</w:t>
      </w:r>
      <w:r>
        <w:rPr>
          <w:rFonts w:hint="eastAsia" w:ascii="仿宋_GB2312" w:hAnsi="宋体" w:eastAsia="仿宋_GB2312" w:cs="宋体"/>
          <w:kern w:val="0"/>
          <w:sz w:val="32"/>
          <w:szCs w:val="32"/>
          <w:highlight w:val="none"/>
        </w:rPr>
        <w:t>。</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w:t>
      </w:r>
      <w:r>
        <w:rPr>
          <w:rFonts w:hint="eastAsia" w:ascii="仿宋" w:hAnsi="仿宋" w:eastAsia="仿宋" w:cs="宋体"/>
          <w:spacing w:val="-2"/>
          <w:kern w:val="0"/>
          <w:sz w:val="32"/>
          <w:szCs w:val="32"/>
          <w:highlight w:val="none"/>
        </w:rPr>
        <w:t xml:space="preserve"> 车辆1辆，价值28.76万元；其中：一般公务用车1辆，价值28.76万元；执法执勤用车0辆，价值0万元；其他车辆0辆，价值0万元。</w:t>
      </w:r>
      <w:r>
        <w:rPr>
          <w:rFonts w:hint="eastAsia" w:ascii="仿宋_GB2312" w:hAnsi="宋体" w:eastAsia="仿宋_GB2312" w:cs="宋体"/>
          <w:kern w:val="0"/>
          <w:sz w:val="32"/>
          <w:szCs w:val="32"/>
          <w:highlight w:val="none"/>
        </w:rPr>
        <w:t>。</w:t>
      </w:r>
    </w:p>
    <w:p>
      <w:pPr>
        <w:widowControl/>
        <w:spacing w:line="520" w:lineRule="exact"/>
        <w:ind w:firstLine="640"/>
        <w:jc w:val="left"/>
        <w:rPr>
          <w:rFonts w:ascii="仿宋" w:hAnsi="仿宋" w:eastAsia="仿宋" w:cs="宋体"/>
          <w:spacing w:val="-2"/>
          <w:kern w:val="0"/>
          <w:sz w:val="32"/>
          <w:szCs w:val="32"/>
          <w:highlight w:val="none"/>
        </w:rPr>
      </w:pPr>
      <w:r>
        <w:rPr>
          <w:rFonts w:hint="eastAsia" w:ascii="仿宋" w:hAnsi="仿宋" w:eastAsia="仿宋" w:cs="宋体"/>
          <w:spacing w:val="-2"/>
          <w:kern w:val="0"/>
          <w:sz w:val="32"/>
          <w:szCs w:val="32"/>
          <w:highlight w:val="none"/>
        </w:rPr>
        <w:t>3.办公家具价值0.52万元。</w:t>
      </w:r>
    </w:p>
    <w:p>
      <w:pPr>
        <w:widowControl/>
        <w:spacing w:line="520" w:lineRule="exact"/>
        <w:ind w:firstLine="640"/>
        <w:jc w:val="left"/>
        <w:rPr>
          <w:rFonts w:ascii="仿宋" w:hAnsi="仿宋" w:eastAsia="仿宋" w:cs="宋体"/>
          <w:spacing w:val="-2"/>
          <w:kern w:val="0"/>
          <w:sz w:val="32"/>
          <w:szCs w:val="32"/>
          <w:highlight w:val="none"/>
        </w:rPr>
      </w:pPr>
      <w:r>
        <w:rPr>
          <w:rFonts w:hint="eastAsia" w:ascii="仿宋" w:hAnsi="仿宋" w:eastAsia="仿宋" w:cs="宋体"/>
          <w:spacing w:val="-2"/>
          <w:kern w:val="0"/>
          <w:sz w:val="32"/>
          <w:szCs w:val="32"/>
          <w:highlight w:val="none"/>
        </w:rPr>
        <w:t>4.其他资产价值7.56万元。</w:t>
      </w:r>
    </w:p>
    <w:p>
      <w:pPr>
        <w:widowControl/>
        <w:spacing w:line="520" w:lineRule="exact"/>
        <w:ind w:firstLine="640"/>
        <w:jc w:val="left"/>
        <w:rPr>
          <w:rFonts w:ascii="仿宋" w:hAnsi="仿宋" w:eastAsia="仿宋" w:cs="宋体"/>
          <w:spacing w:val="-2"/>
          <w:kern w:val="0"/>
          <w:sz w:val="32"/>
          <w:szCs w:val="32"/>
          <w:highlight w:val="none"/>
        </w:rPr>
      </w:pPr>
      <w:r>
        <w:rPr>
          <w:rFonts w:hint="eastAsia" w:ascii="仿宋" w:hAnsi="仿宋" w:eastAsia="仿宋" w:cs="宋体"/>
          <w:spacing w:val="-2"/>
          <w:kern w:val="0"/>
          <w:sz w:val="32"/>
          <w:szCs w:val="32"/>
          <w:highlight w:val="none"/>
        </w:rPr>
        <w:t>单位价值50万元以上大型设备0台（套），单位价值100万元以上大型设备0台（套）。</w:t>
      </w:r>
    </w:p>
    <w:p>
      <w:pPr>
        <w:spacing w:line="520" w:lineRule="exact"/>
        <w:ind w:firstLine="632" w:firstLineChars="200"/>
        <w:rPr>
          <w:rFonts w:ascii="仿宋_GB2312" w:hAnsi="宋体" w:eastAsia="仿宋_GB2312" w:cs="宋体"/>
          <w:spacing w:val="-2"/>
          <w:kern w:val="0"/>
          <w:sz w:val="32"/>
          <w:szCs w:val="32"/>
          <w:highlight w:val="none"/>
        </w:rPr>
      </w:pPr>
      <w:r>
        <w:rPr>
          <w:rFonts w:hint="eastAsia" w:ascii="仿宋" w:hAnsi="仿宋" w:eastAsia="仿宋" w:cs="宋体"/>
          <w:spacing w:val="-2"/>
          <w:kern w:val="0"/>
          <w:sz w:val="32"/>
          <w:szCs w:val="32"/>
          <w:highlight w:val="none"/>
        </w:rPr>
        <w:t>2021年部门预算未安排购置车辆经费（或安排购置车辆经费0万元），安排购置50万元以上大型设备0台（套），单位价值100万元以上大型设备0台（套）。</w:t>
      </w:r>
    </w:p>
    <w:p>
      <w:pPr>
        <w:spacing w:line="560" w:lineRule="exact"/>
        <w:ind w:firstLine="643" w:firstLineChars="200"/>
        <w:rPr>
          <w:rFonts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rPr>
        <w:t>（四）预算绩效情况</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2021年度，本年度实行绩效管理的一般公共预算项目3个，涉及预算金额24.33万元。具体情况见下表（按项目分别填报）：</w:t>
      </w:r>
    </w:p>
    <w:p>
      <w:pPr>
        <w:spacing w:line="560" w:lineRule="exact"/>
        <w:rPr>
          <w:rFonts w:ascii="仿宋_GB2312" w:hAnsi="宋体" w:eastAsia="仿宋_GB2312" w:cs="宋体"/>
          <w:kern w:val="0"/>
          <w:sz w:val="32"/>
          <w:szCs w:val="32"/>
          <w:highlight w:val="none"/>
        </w:rPr>
      </w:pPr>
    </w:p>
    <w:p>
      <w:pPr>
        <w:spacing w:line="560" w:lineRule="exact"/>
        <w:rPr>
          <w:rFonts w:hint="eastAsia" w:ascii="仿宋_GB2312" w:hAnsi="宋体" w:eastAsia="仿宋_GB2312" w:cs="宋体"/>
          <w:kern w:val="0"/>
          <w:sz w:val="32"/>
          <w:szCs w:val="32"/>
          <w:highlight w:val="none"/>
        </w:rPr>
      </w:pPr>
    </w:p>
    <w:p>
      <w:pPr>
        <w:spacing w:line="560" w:lineRule="exact"/>
        <w:rPr>
          <w:rFonts w:hint="eastAsia" w:ascii="仿宋_GB2312" w:hAnsi="宋体" w:eastAsia="仿宋_GB2312" w:cs="宋体"/>
          <w:kern w:val="0"/>
          <w:sz w:val="32"/>
          <w:szCs w:val="32"/>
          <w:highlight w:val="none"/>
        </w:rPr>
      </w:pPr>
    </w:p>
    <w:p>
      <w:pPr>
        <w:spacing w:line="560" w:lineRule="exact"/>
        <w:rPr>
          <w:rFonts w:hint="eastAsia" w:ascii="仿宋_GB2312" w:hAnsi="宋体" w:eastAsia="仿宋_GB2312" w:cs="宋体"/>
          <w:kern w:val="0"/>
          <w:sz w:val="32"/>
          <w:szCs w:val="32"/>
          <w:highlight w:val="none"/>
        </w:rPr>
      </w:pPr>
    </w:p>
    <w:p>
      <w:pPr>
        <w:spacing w:line="560" w:lineRule="exact"/>
        <w:rPr>
          <w:rFonts w:hint="eastAsia" w:ascii="仿宋_GB2312" w:hAnsi="宋体" w:eastAsia="仿宋_GB2312" w:cs="宋体"/>
          <w:kern w:val="0"/>
          <w:sz w:val="32"/>
          <w:szCs w:val="32"/>
          <w:highlight w:val="none"/>
        </w:rPr>
      </w:pPr>
    </w:p>
    <w:p>
      <w:pPr>
        <w:spacing w:line="560" w:lineRule="exact"/>
        <w:rPr>
          <w:rFonts w:hint="eastAsia" w:ascii="仿宋_GB2312" w:hAnsi="宋体" w:eastAsia="仿宋_GB2312" w:cs="宋体"/>
          <w:kern w:val="0"/>
          <w:sz w:val="32"/>
          <w:szCs w:val="32"/>
          <w:highlight w:val="none"/>
        </w:rPr>
      </w:pPr>
    </w:p>
    <w:p>
      <w:pPr>
        <w:spacing w:line="560" w:lineRule="exact"/>
        <w:rPr>
          <w:rFonts w:hint="eastAsia" w:ascii="仿宋_GB2312" w:hAnsi="宋体" w:eastAsia="仿宋_GB2312" w:cs="宋体"/>
          <w:kern w:val="0"/>
          <w:sz w:val="32"/>
          <w:szCs w:val="32"/>
          <w:highlight w:val="none"/>
        </w:rPr>
      </w:pPr>
    </w:p>
    <w:p>
      <w:pPr>
        <w:spacing w:line="560" w:lineRule="exact"/>
        <w:rPr>
          <w:rFonts w:hint="eastAsia" w:ascii="仿宋_GB2312" w:hAnsi="宋体" w:eastAsia="仿宋_GB2312" w:cs="宋体"/>
          <w:kern w:val="0"/>
          <w:sz w:val="32"/>
          <w:szCs w:val="32"/>
          <w:highlight w:val="none"/>
        </w:rPr>
      </w:pPr>
    </w:p>
    <w:p>
      <w:pPr>
        <w:spacing w:line="560" w:lineRule="exact"/>
        <w:rPr>
          <w:rFonts w:hint="eastAsia" w:ascii="仿宋_GB2312" w:hAnsi="宋体" w:eastAsia="仿宋_GB2312" w:cs="宋体"/>
          <w:kern w:val="0"/>
          <w:sz w:val="32"/>
          <w:szCs w:val="32"/>
          <w:highlight w:val="none"/>
        </w:rPr>
      </w:pPr>
    </w:p>
    <w:p>
      <w:pPr>
        <w:spacing w:line="560" w:lineRule="exact"/>
        <w:rPr>
          <w:rFonts w:hint="eastAsia" w:ascii="仿宋_GB2312" w:hAnsi="宋体" w:eastAsia="仿宋_GB2312" w:cs="宋体"/>
          <w:kern w:val="0"/>
          <w:sz w:val="32"/>
          <w:szCs w:val="32"/>
          <w:highlight w:val="none"/>
        </w:rPr>
      </w:pPr>
    </w:p>
    <w:p>
      <w:pPr>
        <w:spacing w:line="560" w:lineRule="exact"/>
        <w:rPr>
          <w:rFonts w:ascii="仿宋_GB2312" w:hAnsi="宋体" w:eastAsia="仿宋_GB2312" w:cs="宋体"/>
          <w:kern w:val="0"/>
          <w:sz w:val="32"/>
          <w:szCs w:val="32"/>
          <w:highlight w:val="none"/>
        </w:rPr>
      </w:pPr>
    </w:p>
    <w:tbl>
      <w:tblPr>
        <w:tblStyle w:val="10"/>
        <w:tblW w:w="8815" w:type="dxa"/>
        <w:tblInd w:w="0" w:type="dxa"/>
        <w:tblLayout w:type="fixed"/>
        <w:tblCellMar>
          <w:top w:w="0" w:type="dxa"/>
          <w:left w:w="0" w:type="dxa"/>
          <w:bottom w:w="0" w:type="dxa"/>
          <w:right w:w="0" w:type="dxa"/>
        </w:tblCellMar>
      </w:tblPr>
      <w:tblGrid>
        <w:gridCol w:w="960"/>
        <w:gridCol w:w="1452"/>
        <w:gridCol w:w="1224"/>
        <w:gridCol w:w="1476"/>
        <w:gridCol w:w="1039"/>
        <w:gridCol w:w="1481"/>
        <w:gridCol w:w="1183"/>
      </w:tblGrid>
      <w:tr>
        <w:tblPrEx>
          <w:tblLayout w:type="fixed"/>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rPr>
              <w:t>项  目  支  出  绩  效  目  标  表</w:t>
            </w:r>
          </w:p>
        </w:tc>
      </w:tr>
      <w:tr>
        <w:tblPrEx>
          <w:tblLayout w:type="fixed"/>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宋体" w:hAnsi="宋体" w:cs="宋体"/>
                <w:color w:val="000000"/>
                <w:sz w:val="22"/>
                <w:szCs w:val="22"/>
                <w:highlight w:val="none"/>
              </w:rPr>
            </w:pPr>
            <w:r>
              <w:rPr>
                <w:rFonts w:hint="eastAsia" w:ascii="宋体" w:hAnsi="宋体" w:cs="宋体"/>
                <w:color w:val="000000"/>
                <w:kern w:val="0"/>
                <w:sz w:val="22"/>
                <w:szCs w:val="22"/>
                <w:highlight w:val="none"/>
              </w:rPr>
              <w:t>（2021年）</w:t>
            </w:r>
          </w:p>
        </w:tc>
      </w:tr>
      <w:tr>
        <w:tblPrEx>
          <w:tblLayout w:type="fixed"/>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克孜勒苏柯尔克孜自治州驻昌吉干休所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场馆运行费</w:t>
            </w:r>
          </w:p>
        </w:tc>
      </w:tr>
      <w:tr>
        <w:tblPrEx>
          <w:tblLayout w:type="fixed"/>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4.05</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highlight w:val="none"/>
              </w:rPr>
            </w:pPr>
            <w:r>
              <w:rPr>
                <w:rFonts w:hint="eastAsia" w:ascii="宋体" w:hAnsi="宋体" w:cs="宋体"/>
                <w:color w:val="000000"/>
                <w:sz w:val="18"/>
                <w:szCs w:val="18"/>
                <w:highlight w:val="none"/>
              </w:rPr>
              <w:t>4.05</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spacing w:line="48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该项目资金用于2021年维修维护老干部活动场所设施。通过该项目的实施，对活动室及其他活动场地的维修与改善、对使用坏的及破旧的活动器械进行更换及维修、添置活动所需的用品，以此提升老干部活动场所环境条件.</w:t>
            </w:r>
          </w:p>
        </w:tc>
      </w:tr>
      <w:tr>
        <w:tblPrEx>
          <w:tblLayout w:type="fixed"/>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三级指标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指标值（包含数字及文字描述）</w:t>
            </w:r>
          </w:p>
        </w:tc>
      </w:tr>
      <w:tr>
        <w:tblPrEx>
          <w:tblLayout w:type="fixed"/>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改造硬化路面（平方米）</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500</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水电暖维护次数（次）</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1</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维修完成质量合格率（%）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≥95%</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购买完成验收合格率（%）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≥95%</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项目完成时间</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2021年12月</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场地运行费拨付及时率（%）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100%</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维修、维护费（万元）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4.05</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效益指标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改善老干部活动场所环境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有效改善</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提高为老干部服务的质量</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有效提高</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提升老干部幸福感</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有效提升</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满意度指标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受益群众满意度（%）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≥95%</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bl>
    <w:p>
      <w:pPr>
        <w:widowControl/>
        <w:spacing w:line="480" w:lineRule="exact"/>
        <w:rPr>
          <w:rFonts w:ascii="仿宋_GB2312" w:hAnsi="宋体" w:eastAsia="仿宋_GB2312" w:cs="宋体"/>
          <w:kern w:val="0"/>
          <w:sz w:val="32"/>
          <w:szCs w:val="32"/>
          <w:highlight w:val="none"/>
        </w:rPr>
        <w:sectPr>
          <w:pgSz w:w="11906" w:h="16838"/>
          <w:pgMar w:top="1440" w:right="1800" w:bottom="1440" w:left="1800" w:header="851" w:footer="992" w:gutter="0"/>
          <w:pgNumType w:fmt="numberInDash" w:start="24"/>
          <w:cols w:space="720" w:num="1"/>
          <w:docGrid w:type="lines" w:linePitch="312" w:charSpace="0"/>
        </w:sectPr>
      </w:pPr>
    </w:p>
    <w:tbl>
      <w:tblPr>
        <w:tblStyle w:val="10"/>
        <w:tblW w:w="8800" w:type="dxa"/>
        <w:tblInd w:w="0" w:type="dxa"/>
        <w:tblLayout w:type="fixed"/>
        <w:tblCellMar>
          <w:top w:w="0" w:type="dxa"/>
          <w:left w:w="0" w:type="dxa"/>
          <w:bottom w:w="0" w:type="dxa"/>
          <w:right w:w="0" w:type="dxa"/>
        </w:tblCellMar>
      </w:tblPr>
      <w:tblGrid>
        <w:gridCol w:w="1143"/>
        <w:gridCol w:w="284"/>
        <w:gridCol w:w="980"/>
        <w:gridCol w:w="294"/>
        <w:gridCol w:w="928"/>
        <w:gridCol w:w="1473"/>
        <w:gridCol w:w="1038"/>
        <w:gridCol w:w="1479"/>
        <w:gridCol w:w="1181"/>
      </w:tblGrid>
      <w:tr>
        <w:tblPrEx>
          <w:tblLayout w:type="fixed"/>
          <w:tblCellMar>
            <w:top w:w="0" w:type="dxa"/>
            <w:left w:w="0" w:type="dxa"/>
            <w:bottom w:w="0" w:type="dxa"/>
            <w:right w:w="0" w:type="dxa"/>
          </w:tblCellMar>
        </w:tblPrEx>
        <w:trPr>
          <w:trHeight w:val="296" w:hRule="atLeast"/>
        </w:trPr>
        <w:tc>
          <w:tcPr>
            <w:tcW w:w="8800" w:type="dxa"/>
            <w:gridSpan w:val="9"/>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rPr>
              <w:t>项  目  支  出  绩  效  目  标  表</w:t>
            </w:r>
          </w:p>
        </w:tc>
      </w:tr>
      <w:tr>
        <w:tblPrEx>
          <w:tblLayout w:type="fixed"/>
          <w:tblCellMar>
            <w:top w:w="0" w:type="dxa"/>
            <w:left w:w="0" w:type="dxa"/>
            <w:bottom w:w="0" w:type="dxa"/>
            <w:right w:w="0" w:type="dxa"/>
          </w:tblCellMar>
        </w:tblPrEx>
        <w:trPr>
          <w:trHeight w:val="296" w:hRule="atLeast"/>
        </w:trPr>
        <w:tc>
          <w:tcPr>
            <w:tcW w:w="8800" w:type="dxa"/>
            <w:gridSpan w:val="9"/>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宋体" w:hAnsi="宋体" w:cs="宋体"/>
                <w:color w:val="000000"/>
                <w:sz w:val="22"/>
                <w:szCs w:val="22"/>
                <w:highlight w:val="none"/>
              </w:rPr>
            </w:pPr>
            <w:r>
              <w:rPr>
                <w:rFonts w:hint="eastAsia" w:ascii="宋体" w:hAnsi="宋体" w:cs="宋体"/>
                <w:color w:val="000000"/>
                <w:kern w:val="0"/>
                <w:sz w:val="22"/>
                <w:szCs w:val="22"/>
                <w:highlight w:val="none"/>
              </w:rPr>
              <w:t>（2021年）</w:t>
            </w:r>
          </w:p>
        </w:tc>
      </w:tr>
      <w:tr>
        <w:tblPrEx>
          <w:tblLayout w:type="fixed"/>
          <w:tblCellMar>
            <w:top w:w="0" w:type="dxa"/>
            <w:left w:w="0" w:type="dxa"/>
            <w:bottom w:w="0" w:type="dxa"/>
            <w:right w:w="0" w:type="dxa"/>
          </w:tblCellMar>
        </w:tblPrEx>
        <w:trPr>
          <w:trHeight w:val="313" w:hRule="atLeast"/>
        </w:trPr>
        <w:tc>
          <w:tcPr>
            <w:tcW w:w="142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预算单位</w:t>
            </w:r>
          </w:p>
        </w:tc>
        <w:tc>
          <w:tcPr>
            <w:tcW w:w="3675" w:type="dxa"/>
            <w:gridSpan w:val="4"/>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克孜勒苏柯尔克孜自治州驻昌吉干休所</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项目名称</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highlight w:val="none"/>
              </w:rPr>
            </w:pPr>
            <w:r>
              <w:rPr>
                <w:rFonts w:hint="eastAsia" w:ascii="仿宋" w:hAnsi="仿宋" w:eastAsia="仿宋" w:cs="宋体"/>
                <w:kern w:val="0"/>
                <w:sz w:val="24"/>
                <w:highlight w:val="none"/>
              </w:rPr>
              <w:t>聘用人员工资</w:t>
            </w:r>
          </w:p>
        </w:tc>
      </w:tr>
      <w:tr>
        <w:tblPrEx>
          <w:tblLayout w:type="fixed"/>
          <w:tblCellMar>
            <w:top w:w="0" w:type="dxa"/>
            <w:left w:w="0" w:type="dxa"/>
            <w:bottom w:w="0" w:type="dxa"/>
            <w:right w:w="0" w:type="dxa"/>
          </w:tblCellMar>
        </w:tblPrEx>
        <w:trPr>
          <w:trHeight w:val="337" w:hRule="atLeast"/>
        </w:trPr>
        <w:tc>
          <w:tcPr>
            <w:tcW w:w="142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项目资金（万元）</w:t>
            </w:r>
          </w:p>
        </w:tc>
        <w:tc>
          <w:tcPr>
            <w:tcW w:w="127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年度资金总额：</w:t>
            </w:r>
          </w:p>
        </w:tc>
        <w:tc>
          <w:tcPr>
            <w:tcW w:w="9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19.2</w:t>
            </w:r>
          </w:p>
        </w:tc>
        <w:tc>
          <w:tcPr>
            <w:tcW w:w="14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其中：财政拨款</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highlight w:val="none"/>
              </w:rPr>
            </w:pPr>
            <w:r>
              <w:rPr>
                <w:rFonts w:hint="eastAsia" w:ascii="宋体" w:hAnsi="宋体" w:cs="宋体"/>
                <w:color w:val="000000"/>
                <w:sz w:val="18"/>
                <w:szCs w:val="18"/>
                <w:highlight w:val="none"/>
              </w:rPr>
              <w:t>19.2</w:t>
            </w:r>
          </w:p>
        </w:tc>
        <w:tc>
          <w:tcPr>
            <w:tcW w:w="147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其他资金</w:t>
            </w:r>
          </w:p>
        </w:tc>
        <w:tc>
          <w:tcPr>
            <w:tcW w:w="11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589" w:hRule="atLeast"/>
        </w:trPr>
        <w:tc>
          <w:tcPr>
            <w:tcW w:w="142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项目总体目标</w:t>
            </w:r>
          </w:p>
        </w:tc>
        <w:tc>
          <w:tcPr>
            <w:tcW w:w="7373" w:type="dxa"/>
            <w:gridSpan w:val="7"/>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spacing w:line="480" w:lineRule="exact"/>
              <w:jc w:val="left"/>
              <w:rPr>
                <w:rFonts w:ascii="宋体" w:hAnsi="宋体" w:cs="宋体"/>
                <w:color w:val="000000"/>
                <w:sz w:val="18"/>
                <w:szCs w:val="18"/>
                <w:highlight w:val="none"/>
              </w:rPr>
            </w:pPr>
            <w:r>
              <w:rPr>
                <w:rFonts w:hint="eastAsia" w:ascii="仿宋" w:hAnsi="仿宋" w:eastAsia="仿宋" w:cs="宋体"/>
                <w:kern w:val="0"/>
                <w:sz w:val="18"/>
                <w:szCs w:val="18"/>
                <w:highlight w:val="none"/>
              </w:rPr>
              <w:t>为让老干部居住有一个治安良好的环境，并出行方便，特聘用保安3名和大车司机1名，按月足额发放聘用人员工资。</w:t>
            </w:r>
          </w:p>
        </w:tc>
      </w:tr>
      <w:tr>
        <w:tblPrEx>
          <w:tblLayout w:type="fixed"/>
          <w:tblCellMar>
            <w:top w:w="0" w:type="dxa"/>
            <w:left w:w="0" w:type="dxa"/>
            <w:bottom w:w="0" w:type="dxa"/>
            <w:right w:w="0" w:type="dxa"/>
          </w:tblCellMar>
        </w:tblPrEx>
        <w:trPr>
          <w:trHeight w:val="302" w:hRule="atLeast"/>
        </w:trPr>
        <w:tc>
          <w:tcPr>
            <w:tcW w:w="142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一级指标</w:t>
            </w:r>
          </w:p>
        </w:tc>
        <w:tc>
          <w:tcPr>
            <w:tcW w:w="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二级指标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三级指标</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指标值（包含数字及文字描述）</w:t>
            </w:r>
          </w:p>
        </w:tc>
      </w:tr>
      <w:tr>
        <w:tblPrEx>
          <w:tblLayout w:type="fixed"/>
          <w:tblCellMar>
            <w:top w:w="0" w:type="dxa"/>
            <w:left w:w="0" w:type="dxa"/>
            <w:bottom w:w="0" w:type="dxa"/>
            <w:right w:w="0" w:type="dxa"/>
          </w:tblCellMar>
        </w:tblPrEx>
        <w:trPr>
          <w:trHeight w:val="302" w:hRule="atLeast"/>
        </w:trPr>
        <w:tc>
          <w:tcPr>
            <w:tcW w:w="1427"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产出指标</w:t>
            </w:r>
          </w:p>
        </w:tc>
        <w:tc>
          <w:tcPr>
            <w:tcW w:w="9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数量指标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仿宋" w:hAnsi="仿宋" w:eastAsia="仿宋" w:cs="宋体"/>
                <w:kern w:val="0"/>
                <w:sz w:val="20"/>
                <w:szCs w:val="20"/>
                <w:highlight w:val="none"/>
              </w:rPr>
              <w:t>发放个人数量（人）</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4</w:t>
            </w: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质量指标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仿宋" w:hAnsi="仿宋" w:eastAsia="仿宋" w:cs="宋体"/>
                <w:kern w:val="0"/>
                <w:sz w:val="20"/>
                <w:szCs w:val="20"/>
                <w:highlight w:val="none"/>
              </w:rPr>
              <w:t>发放工资覆盖率（%）</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100%</w:t>
            </w: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时效指标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仿宋" w:hAnsi="仿宋" w:eastAsia="仿宋" w:cs="宋体"/>
                <w:kern w:val="0"/>
                <w:sz w:val="20"/>
                <w:szCs w:val="20"/>
                <w:highlight w:val="none"/>
              </w:rPr>
              <w:t>工资发放及时率（%）</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100%</w:t>
            </w: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成本指标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仿宋" w:hAnsi="仿宋" w:eastAsia="仿宋" w:cs="宋体"/>
                <w:kern w:val="0"/>
                <w:sz w:val="20"/>
                <w:szCs w:val="20"/>
                <w:highlight w:val="none"/>
              </w:rPr>
              <w:t>聘用人员工资（万元）</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19.2</w:t>
            </w: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1427"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效益指标</w:t>
            </w:r>
          </w:p>
        </w:tc>
        <w:tc>
          <w:tcPr>
            <w:tcW w:w="9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经济效益指标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社会效益指标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仿宋" w:hAnsi="仿宋" w:eastAsia="仿宋" w:cs="宋体"/>
                <w:kern w:val="0"/>
                <w:sz w:val="20"/>
                <w:szCs w:val="20"/>
                <w:highlight w:val="none"/>
              </w:rPr>
              <w:t>保障安全居住环境</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有效保障</w:t>
            </w: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生态效益指标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可持续影响指标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仿宋" w:hAnsi="仿宋" w:eastAsia="仿宋" w:cs="宋体"/>
                <w:kern w:val="0"/>
                <w:sz w:val="20"/>
                <w:szCs w:val="20"/>
                <w:highlight w:val="none"/>
              </w:rPr>
              <w:t>提高聘用人员的工作能力</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有效提高</w:t>
            </w: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1427"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满意度指标</w:t>
            </w:r>
          </w:p>
        </w:tc>
        <w:tc>
          <w:tcPr>
            <w:tcW w:w="9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满意度指标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仿宋" w:hAnsi="仿宋" w:eastAsia="仿宋" w:cs="宋体"/>
                <w:kern w:val="0"/>
                <w:sz w:val="20"/>
                <w:szCs w:val="20"/>
                <w:highlight w:val="none"/>
              </w:rPr>
              <w:t>受益群众的满意度（%）</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≥95%</w:t>
            </w:r>
          </w:p>
        </w:tc>
      </w:tr>
      <w:tr>
        <w:tblPrEx>
          <w:tblLayout w:type="fixed"/>
          <w:tblCellMar>
            <w:top w:w="0" w:type="dxa"/>
            <w:left w:w="0" w:type="dxa"/>
            <w:bottom w:w="0" w:type="dxa"/>
            <w:right w:w="0" w:type="dxa"/>
          </w:tblCellMar>
        </w:tblPrEx>
        <w:trPr>
          <w:trHeight w:val="302" w:hRule="atLeast"/>
        </w:trPr>
        <w:tc>
          <w:tcPr>
            <w:tcW w:w="1427"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9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8800" w:type="dxa"/>
            <w:gridSpan w:val="9"/>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rPr>
              <w:t>项  目  支  出  绩  效  目  标  表</w:t>
            </w:r>
          </w:p>
        </w:tc>
      </w:tr>
      <w:tr>
        <w:tblPrEx>
          <w:tblLayout w:type="fixed"/>
          <w:tblCellMar>
            <w:top w:w="0" w:type="dxa"/>
            <w:left w:w="0" w:type="dxa"/>
            <w:bottom w:w="0" w:type="dxa"/>
            <w:right w:w="0" w:type="dxa"/>
          </w:tblCellMar>
        </w:tblPrEx>
        <w:trPr>
          <w:trHeight w:val="296" w:hRule="atLeast"/>
        </w:trPr>
        <w:tc>
          <w:tcPr>
            <w:tcW w:w="8800" w:type="dxa"/>
            <w:gridSpan w:val="9"/>
            <w:tcBorders>
              <w:top w:val="nil"/>
              <w:left w:val="nil"/>
              <w:bottom w:val="nil"/>
              <w:right w:val="nil"/>
            </w:tcBorders>
            <w:tcMar>
              <w:top w:w="12" w:type="dxa"/>
              <w:left w:w="12" w:type="dxa"/>
              <w:right w:w="12" w:type="dxa"/>
            </w:tcMar>
            <w:vAlign w:val="bottom"/>
          </w:tcPr>
          <w:p>
            <w:pPr>
              <w:widowControl/>
              <w:spacing w:line="480" w:lineRule="exact"/>
              <w:jc w:val="center"/>
              <w:textAlignment w:val="bottom"/>
              <w:rPr>
                <w:rFonts w:ascii="宋体" w:hAnsi="宋体" w:cs="宋体"/>
                <w:color w:val="000000"/>
                <w:sz w:val="22"/>
                <w:szCs w:val="22"/>
                <w:highlight w:val="none"/>
              </w:rPr>
            </w:pPr>
            <w:r>
              <w:rPr>
                <w:rFonts w:hint="eastAsia" w:ascii="宋体" w:hAnsi="宋体" w:cs="宋体"/>
                <w:color w:val="000000"/>
                <w:kern w:val="0"/>
                <w:sz w:val="22"/>
                <w:szCs w:val="22"/>
                <w:highlight w:val="none"/>
              </w:rPr>
              <w:t>（2021年）</w:t>
            </w:r>
          </w:p>
        </w:tc>
      </w:tr>
      <w:tr>
        <w:tblPrEx>
          <w:tblLayout w:type="fixed"/>
          <w:tblCellMar>
            <w:top w:w="0" w:type="dxa"/>
            <w:left w:w="0" w:type="dxa"/>
            <w:bottom w:w="0" w:type="dxa"/>
            <w:right w:w="0" w:type="dxa"/>
          </w:tblCellMar>
        </w:tblPrEx>
        <w:trPr>
          <w:trHeight w:val="313" w:hRule="atLeast"/>
        </w:trPr>
        <w:tc>
          <w:tcPr>
            <w:tcW w:w="11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预算单位</w:t>
            </w:r>
          </w:p>
        </w:tc>
        <w:tc>
          <w:tcPr>
            <w:tcW w:w="3959" w:type="dxa"/>
            <w:gridSpan w:val="5"/>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克孜勒苏柯尔克孜自治州驻昌吉干休所</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项目名称</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highlight w:val="none"/>
              </w:rPr>
            </w:pPr>
            <w:r>
              <w:rPr>
                <w:rFonts w:hint="eastAsia" w:ascii="仿宋" w:hAnsi="仿宋" w:eastAsia="仿宋" w:cs="宋体"/>
                <w:kern w:val="0"/>
                <w:szCs w:val="21"/>
                <w:highlight w:val="none"/>
              </w:rPr>
              <w:t>离退休党组织书记工作补贴</w:t>
            </w:r>
          </w:p>
        </w:tc>
      </w:tr>
      <w:tr>
        <w:tblPrEx>
          <w:tblLayout w:type="fixed"/>
          <w:tblCellMar>
            <w:top w:w="0" w:type="dxa"/>
            <w:left w:w="0" w:type="dxa"/>
            <w:bottom w:w="0" w:type="dxa"/>
            <w:right w:w="0" w:type="dxa"/>
          </w:tblCellMar>
        </w:tblPrEx>
        <w:trPr>
          <w:trHeight w:val="589" w:hRule="atLeast"/>
        </w:trPr>
        <w:tc>
          <w:tcPr>
            <w:tcW w:w="11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项目资金（万元）</w:t>
            </w:r>
          </w:p>
        </w:tc>
        <w:tc>
          <w:tcPr>
            <w:tcW w:w="12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年度资金总额：</w:t>
            </w:r>
          </w:p>
        </w:tc>
        <w:tc>
          <w:tcPr>
            <w:tcW w:w="122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1.08</w:t>
            </w:r>
          </w:p>
        </w:tc>
        <w:tc>
          <w:tcPr>
            <w:tcW w:w="14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其中：财政拨款</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highlight w:val="none"/>
              </w:rPr>
            </w:pPr>
            <w:r>
              <w:rPr>
                <w:rFonts w:hint="eastAsia" w:ascii="宋体" w:hAnsi="宋体" w:cs="宋体"/>
                <w:color w:val="000000"/>
                <w:sz w:val="18"/>
                <w:szCs w:val="18"/>
                <w:highlight w:val="none"/>
              </w:rPr>
              <w:t>1.08</w:t>
            </w:r>
          </w:p>
        </w:tc>
        <w:tc>
          <w:tcPr>
            <w:tcW w:w="147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其他资金</w:t>
            </w:r>
          </w:p>
        </w:tc>
        <w:tc>
          <w:tcPr>
            <w:tcW w:w="11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78" w:hRule="atLeast"/>
        </w:trPr>
        <w:tc>
          <w:tcPr>
            <w:tcW w:w="11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项目总体目标</w:t>
            </w:r>
          </w:p>
        </w:tc>
        <w:tc>
          <w:tcPr>
            <w:tcW w:w="7657"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spacing w:line="480" w:lineRule="exact"/>
              <w:jc w:val="left"/>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11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kern w:val="0"/>
                <w:sz w:val="18"/>
                <w:szCs w:val="18"/>
                <w:highlight w:val="none"/>
              </w:rPr>
            </w:pPr>
            <w:r>
              <w:rPr>
                <w:rFonts w:hint="eastAsia" w:ascii="宋体" w:hAnsi="宋体" w:cs="宋体"/>
                <w:b/>
                <w:color w:val="000000"/>
                <w:kern w:val="0"/>
                <w:sz w:val="18"/>
                <w:szCs w:val="18"/>
                <w:highlight w:val="none"/>
              </w:rPr>
              <w:t>一级指标</w:t>
            </w:r>
          </w:p>
        </w:tc>
        <w:tc>
          <w:tcPr>
            <w:tcW w:w="12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kern w:val="0"/>
                <w:sz w:val="18"/>
                <w:szCs w:val="18"/>
                <w:highlight w:val="none"/>
              </w:rPr>
            </w:pPr>
            <w:r>
              <w:rPr>
                <w:rFonts w:hint="eastAsia" w:ascii="宋体" w:hAnsi="宋体" w:cs="宋体"/>
                <w:b/>
                <w:color w:val="000000"/>
                <w:kern w:val="0"/>
                <w:sz w:val="18"/>
                <w:szCs w:val="18"/>
                <w:highlight w:val="none"/>
              </w:rPr>
              <w:t>二级指标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kern w:val="0"/>
                <w:sz w:val="18"/>
                <w:szCs w:val="18"/>
                <w:highlight w:val="none"/>
              </w:rPr>
            </w:pPr>
            <w:r>
              <w:rPr>
                <w:rFonts w:hint="eastAsia" w:ascii="宋体" w:hAnsi="宋体" w:cs="宋体"/>
                <w:b/>
                <w:color w:val="000000"/>
                <w:kern w:val="0"/>
                <w:sz w:val="18"/>
                <w:szCs w:val="18"/>
                <w:highlight w:val="none"/>
              </w:rPr>
              <w:t>三级指标</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tbl>
            <w:tblPr>
              <w:tblStyle w:val="10"/>
              <w:tblW w:w="2659" w:type="dxa"/>
              <w:tblInd w:w="0" w:type="dxa"/>
              <w:tblLayout w:type="fixed"/>
              <w:tblCellMar>
                <w:top w:w="0" w:type="dxa"/>
                <w:left w:w="0" w:type="dxa"/>
                <w:bottom w:w="0" w:type="dxa"/>
                <w:right w:w="0" w:type="dxa"/>
              </w:tblCellMar>
            </w:tblPr>
            <w:tblGrid>
              <w:gridCol w:w="2659"/>
            </w:tblGrid>
            <w:tr>
              <w:tblPrEx>
                <w:tblLayout w:type="fixed"/>
                <w:tblCellMar>
                  <w:top w:w="0" w:type="dxa"/>
                  <w:left w:w="0" w:type="dxa"/>
                  <w:bottom w:w="0" w:type="dxa"/>
                  <w:right w:w="0" w:type="dxa"/>
                </w:tblCellMar>
              </w:tblPrEx>
              <w:trPr>
                <w:trHeight w:val="302" w:hRule="atLeast"/>
              </w:trPr>
              <w:tc>
                <w:tcPr>
                  <w:tcW w:w="2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指标值（包含数字及文字描述）</w:t>
                  </w:r>
                </w:p>
              </w:tc>
            </w:tr>
          </w:tbl>
          <w:p>
            <w:pPr>
              <w:widowControl/>
              <w:spacing w:line="480" w:lineRule="exact"/>
              <w:jc w:val="center"/>
              <w:textAlignment w:val="center"/>
              <w:rPr>
                <w:rFonts w:ascii="宋体" w:hAnsi="宋体" w:cs="宋体"/>
                <w:b/>
                <w:color w:val="000000"/>
                <w:kern w:val="0"/>
                <w:sz w:val="18"/>
                <w:szCs w:val="18"/>
                <w:highlight w:val="none"/>
              </w:rPr>
            </w:pPr>
          </w:p>
        </w:tc>
      </w:tr>
      <w:tr>
        <w:tblPrEx>
          <w:tblLayout w:type="fixed"/>
          <w:tblCellMar>
            <w:top w:w="0" w:type="dxa"/>
            <w:left w:w="0" w:type="dxa"/>
            <w:bottom w:w="0" w:type="dxa"/>
            <w:right w:w="0" w:type="dxa"/>
          </w:tblCellMar>
        </w:tblPrEx>
        <w:trPr>
          <w:trHeight w:val="302" w:hRule="atLeast"/>
        </w:trPr>
        <w:tc>
          <w:tcPr>
            <w:tcW w:w="114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kern w:val="0"/>
                <w:sz w:val="18"/>
                <w:szCs w:val="18"/>
                <w:highlight w:val="none"/>
              </w:rPr>
            </w:pPr>
            <w:r>
              <w:rPr>
                <w:rFonts w:hint="eastAsia" w:ascii="宋体" w:hAnsi="宋体" w:cs="宋体"/>
                <w:b/>
                <w:color w:val="000000"/>
                <w:kern w:val="0"/>
                <w:sz w:val="18"/>
                <w:szCs w:val="18"/>
                <w:highlight w:val="none"/>
              </w:rPr>
              <w:t>产出指标</w:t>
            </w:r>
          </w:p>
        </w:tc>
        <w:tc>
          <w:tcPr>
            <w:tcW w:w="1264"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数量指标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补助个人数量（人）</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6</w:t>
            </w:r>
          </w:p>
        </w:tc>
      </w:tr>
      <w:tr>
        <w:tblPrEx>
          <w:tblLayout w:type="fixed"/>
          <w:tblCellMar>
            <w:top w:w="0" w:type="dxa"/>
            <w:left w:w="0" w:type="dxa"/>
            <w:bottom w:w="0" w:type="dxa"/>
            <w:right w:w="0" w:type="dxa"/>
          </w:tblCellMar>
        </w:tblPrEx>
        <w:trPr>
          <w:trHeight w:val="302" w:hRule="atLeast"/>
        </w:trPr>
        <w:tc>
          <w:tcPr>
            <w:tcW w:w="114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000000"/>
                <w:kern w:val="0"/>
                <w:sz w:val="18"/>
                <w:szCs w:val="18"/>
                <w:highlight w:val="none"/>
              </w:rPr>
            </w:pPr>
          </w:p>
        </w:tc>
        <w:tc>
          <w:tcPr>
            <w:tcW w:w="1264"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18"/>
                <w:szCs w:val="18"/>
                <w:highlight w:val="none"/>
              </w:rPr>
            </w:pP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发放金额次数（次）</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12</w:t>
            </w:r>
          </w:p>
        </w:tc>
      </w:tr>
      <w:tr>
        <w:tblPrEx>
          <w:tblLayout w:type="fixed"/>
          <w:tblCellMar>
            <w:top w:w="0" w:type="dxa"/>
            <w:left w:w="0" w:type="dxa"/>
            <w:bottom w:w="0" w:type="dxa"/>
            <w:right w:w="0" w:type="dxa"/>
          </w:tblCellMar>
        </w:tblPrEx>
        <w:trPr>
          <w:trHeight w:val="302" w:hRule="atLeast"/>
        </w:trPr>
        <w:tc>
          <w:tcPr>
            <w:tcW w:w="114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000000"/>
                <w:kern w:val="0"/>
                <w:sz w:val="18"/>
                <w:szCs w:val="18"/>
                <w:highlight w:val="none"/>
              </w:rPr>
            </w:pPr>
          </w:p>
        </w:tc>
        <w:tc>
          <w:tcPr>
            <w:tcW w:w="12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质量指标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发放工作补助覆盖率（%）</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100%</w:t>
            </w:r>
          </w:p>
        </w:tc>
      </w:tr>
      <w:tr>
        <w:tblPrEx>
          <w:tblLayout w:type="fixed"/>
          <w:tblCellMar>
            <w:top w:w="0" w:type="dxa"/>
            <w:left w:w="0" w:type="dxa"/>
            <w:bottom w:w="0" w:type="dxa"/>
            <w:right w:w="0" w:type="dxa"/>
          </w:tblCellMar>
        </w:tblPrEx>
        <w:trPr>
          <w:trHeight w:val="302" w:hRule="atLeast"/>
        </w:trPr>
        <w:tc>
          <w:tcPr>
            <w:tcW w:w="114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000000"/>
                <w:kern w:val="0"/>
                <w:sz w:val="18"/>
                <w:szCs w:val="18"/>
                <w:highlight w:val="none"/>
              </w:rPr>
            </w:pPr>
          </w:p>
        </w:tc>
        <w:tc>
          <w:tcPr>
            <w:tcW w:w="12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时效指标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补贴补助发放及时率（%）</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100%</w:t>
            </w:r>
          </w:p>
        </w:tc>
      </w:tr>
      <w:tr>
        <w:tblPrEx>
          <w:tblLayout w:type="fixed"/>
          <w:tblCellMar>
            <w:top w:w="0" w:type="dxa"/>
            <w:left w:w="0" w:type="dxa"/>
            <w:bottom w:w="0" w:type="dxa"/>
            <w:right w:w="0" w:type="dxa"/>
          </w:tblCellMar>
        </w:tblPrEx>
        <w:trPr>
          <w:trHeight w:val="302" w:hRule="atLeast"/>
        </w:trPr>
        <w:tc>
          <w:tcPr>
            <w:tcW w:w="114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000000"/>
                <w:kern w:val="0"/>
                <w:sz w:val="18"/>
                <w:szCs w:val="18"/>
                <w:highlight w:val="none"/>
              </w:rPr>
            </w:pPr>
          </w:p>
        </w:tc>
        <w:tc>
          <w:tcPr>
            <w:tcW w:w="12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成本指标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工作补贴费用（万元）</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1.08</w:t>
            </w:r>
          </w:p>
        </w:tc>
      </w:tr>
      <w:tr>
        <w:tblPrEx>
          <w:tblLayout w:type="fixed"/>
          <w:tblCellMar>
            <w:top w:w="0" w:type="dxa"/>
            <w:left w:w="0" w:type="dxa"/>
            <w:bottom w:w="0" w:type="dxa"/>
            <w:right w:w="0" w:type="dxa"/>
          </w:tblCellMar>
        </w:tblPrEx>
        <w:trPr>
          <w:trHeight w:val="302" w:hRule="atLeast"/>
        </w:trPr>
        <w:tc>
          <w:tcPr>
            <w:tcW w:w="114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kern w:val="0"/>
                <w:sz w:val="18"/>
                <w:szCs w:val="18"/>
                <w:highlight w:val="none"/>
              </w:rPr>
            </w:pPr>
            <w:r>
              <w:rPr>
                <w:rFonts w:hint="eastAsia" w:ascii="宋体" w:hAnsi="宋体" w:cs="宋体"/>
                <w:b/>
                <w:color w:val="000000"/>
                <w:kern w:val="0"/>
                <w:sz w:val="18"/>
                <w:szCs w:val="18"/>
                <w:highlight w:val="none"/>
              </w:rPr>
              <w:t>效益指标</w:t>
            </w:r>
          </w:p>
        </w:tc>
        <w:tc>
          <w:tcPr>
            <w:tcW w:w="12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经济效益指标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color w:val="000000"/>
                <w:sz w:val="18"/>
                <w:szCs w:val="18"/>
                <w:highlight w:val="none"/>
              </w:rPr>
            </w:pP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114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000000"/>
                <w:kern w:val="0"/>
                <w:sz w:val="18"/>
                <w:szCs w:val="18"/>
                <w:highlight w:val="none"/>
              </w:rPr>
            </w:pPr>
          </w:p>
        </w:tc>
        <w:tc>
          <w:tcPr>
            <w:tcW w:w="12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社会效益指标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改善补助人员生活水平</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有效改善</w:t>
            </w:r>
          </w:p>
        </w:tc>
      </w:tr>
      <w:tr>
        <w:tblPrEx>
          <w:tblLayout w:type="fixed"/>
          <w:tblCellMar>
            <w:top w:w="0" w:type="dxa"/>
            <w:left w:w="0" w:type="dxa"/>
            <w:bottom w:w="0" w:type="dxa"/>
            <w:right w:w="0" w:type="dxa"/>
          </w:tblCellMar>
        </w:tblPrEx>
        <w:trPr>
          <w:trHeight w:val="302" w:hRule="atLeast"/>
        </w:trPr>
        <w:tc>
          <w:tcPr>
            <w:tcW w:w="114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000000"/>
                <w:kern w:val="0"/>
                <w:sz w:val="18"/>
                <w:szCs w:val="18"/>
                <w:highlight w:val="none"/>
              </w:rPr>
            </w:pPr>
          </w:p>
        </w:tc>
        <w:tc>
          <w:tcPr>
            <w:tcW w:w="12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生态效益指标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cs="宋体"/>
                <w:color w:val="000000"/>
                <w:sz w:val="18"/>
                <w:szCs w:val="18"/>
                <w:highlight w:val="none"/>
              </w:rPr>
            </w:pP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18"/>
                <w:szCs w:val="18"/>
                <w:highlight w:val="none"/>
              </w:rPr>
            </w:pPr>
          </w:p>
        </w:tc>
      </w:tr>
      <w:tr>
        <w:tblPrEx>
          <w:tblLayout w:type="fixed"/>
          <w:tblCellMar>
            <w:top w:w="0" w:type="dxa"/>
            <w:left w:w="0" w:type="dxa"/>
            <w:bottom w:w="0" w:type="dxa"/>
            <w:right w:w="0" w:type="dxa"/>
          </w:tblCellMar>
        </w:tblPrEx>
        <w:trPr>
          <w:trHeight w:val="302" w:hRule="atLeast"/>
        </w:trPr>
        <w:tc>
          <w:tcPr>
            <w:tcW w:w="114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000000"/>
                <w:kern w:val="0"/>
                <w:sz w:val="18"/>
                <w:szCs w:val="18"/>
                <w:highlight w:val="none"/>
              </w:rPr>
            </w:pPr>
          </w:p>
        </w:tc>
        <w:tc>
          <w:tcPr>
            <w:tcW w:w="12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可持续影响指标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提升离退休老干部生活幸福指数</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有效提升</w:t>
            </w:r>
          </w:p>
        </w:tc>
      </w:tr>
      <w:tr>
        <w:tblPrEx>
          <w:tblLayout w:type="fixed"/>
          <w:tblCellMar>
            <w:top w:w="0" w:type="dxa"/>
            <w:left w:w="0" w:type="dxa"/>
            <w:bottom w:w="0" w:type="dxa"/>
            <w:right w:w="0" w:type="dxa"/>
          </w:tblCellMar>
        </w:tblPrEx>
        <w:trPr>
          <w:trHeight w:val="302" w:hRule="atLeast"/>
        </w:trPr>
        <w:tc>
          <w:tcPr>
            <w:tcW w:w="11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kern w:val="0"/>
                <w:sz w:val="18"/>
                <w:szCs w:val="18"/>
                <w:highlight w:val="none"/>
              </w:rPr>
            </w:pPr>
            <w:r>
              <w:rPr>
                <w:rFonts w:hint="eastAsia" w:ascii="宋体" w:hAnsi="宋体" w:cs="宋体"/>
                <w:b/>
                <w:color w:val="000000"/>
                <w:kern w:val="0"/>
                <w:sz w:val="18"/>
                <w:szCs w:val="18"/>
                <w:highlight w:val="none"/>
              </w:rPr>
              <w:t>满意度指标</w:t>
            </w:r>
          </w:p>
        </w:tc>
        <w:tc>
          <w:tcPr>
            <w:tcW w:w="12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满意度指标</w:t>
            </w:r>
          </w:p>
        </w:tc>
        <w:tc>
          <w:tcPr>
            <w:tcW w:w="37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受益群众满意度（%）</w:t>
            </w:r>
          </w:p>
        </w:tc>
        <w:tc>
          <w:tcPr>
            <w:tcW w:w="26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rPr>
              <w:t>≥95%</w:t>
            </w:r>
          </w:p>
        </w:tc>
      </w:tr>
    </w:tbl>
    <w:p>
      <w:pPr>
        <w:widowControl/>
        <w:spacing w:line="480" w:lineRule="exact"/>
        <w:ind w:firstLine="630" w:firstLineChars="196"/>
        <w:jc w:val="left"/>
        <w:rPr>
          <w:rFonts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rPr>
        <w:t>（五）其他需说明的事项</w:t>
      </w:r>
    </w:p>
    <w:p>
      <w:pPr>
        <w:widowControl/>
        <w:spacing w:line="520" w:lineRule="exact"/>
        <w:ind w:firstLine="640" w:firstLineChars="200"/>
        <w:jc w:val="left"/>
        <w:rPr>
          <w:rFonts w:hint="eastAsia" w:ascii="黑体" w:hAnsi="黑体" w:eastAsia="仿宋_GB2312"/>
          <w:kern w:val="0"/>
          <w:sz w:val="32"/>
          <w:szCs w:val="32"/>
          <w:highlight w:val="none"/>
          <w:lang w:eastAsia="zh-CN"/>
        </w:rPr>
      </w:pPr>
      <w:r>
        <w:rPr>
          <w:rFonts w:hint="eastAsia" w:ascii="仿宋_GB2312" w:hAnsi="宋体" w:eastAsia="仿宋_GB2312" w:cs="宋体"/>
          <w:kern w:val="0"/>
          <w:sz w:val="32"/>
          <w:szCs w:val="32"/>
          <w:highlight w:val="none"/>
        </w:rPr>
        <w:t>克孜勒苏柯尔克孜自治州驻昌吉干休所无其他说明事项</w:t>
      </w:r>
      <w:r>
        <w:rPr>
          <w:rFonts w:hint="eastAsia" w:ascii="仿宋_GB2312" w:hAnsi="宋体" w:eastAsia="仿宋_GB2312" w:cs="宋体"/>
          <w:kern w:val="0"/>
          <w:sz w:val="32"/>
          <w:szCs w:val="32"/>
          <w:highlight w:val="none"/>
          <w:lang w:eastAsia="zh-CN"/>
        </w:rPr>
        <w:t>。</w:t>
      </w:r>
    </w:p>
    <w:p>
      <w:pPr>
        <w:widowControl/>
        <w:spacing w:beforeLines="50" w:line="520" w:lineRule="exact"/>
        <w:jc w:val="center"/>
        <w:outlineLvl w:val="1"/>
        <w:rPr>
          <w:rFonts w:ascii="黑体" w:hAnsi="黑体" w:eastAsia="黑体"/>
          <w:kern w:val="0"/>
          <w:sz w:val="32"/>
          <w:szCs w:val="32"/>
          <w:highlight w:val="none"/>
        </w:rPr>
      </w:pPr>
      <w:r>
        <w:rPr>
          <w:rFonts w:hint="eastAsia" w:ascii="黑体" w:hAnsi="黑体" w:eastAsia="黑体"/>
          <w:kern w:val="0"/>
          <w:sz w:val="32"/>
          <w:szCs w:val="32"/>
          <w:highlight w:val="none"/>
        </w:rPr>
        <w:t>第四部分  名词解释</w:t>
      </w:r>
    </w:p>
    <w:p>
      <w:pPr>
        <w:widowControl/>
        <w:spacing w:beforeLines="50" w:line="520" w:lineRule="exact"/>
        <w:jc w:val="center"/>
        <w:outlineLvl w:val="1"/>
        <w:rPr>
          <w:rFonts w:ascii="黑体" w:hAnsi="黑体" w:eastAsia="黑体"/>
          <w:kern w:val="0"/>
          <w:sz w:val="32"/>
          <w:szCs w:val="32"/>
          <w:highlight w:val="none"/>
        </w:rPr>
      </w:pPr>
    </w:p>
    <w:p>
      <w:pPr>
        <w:widowControl/>
        <w:spacing w:line="520" w:lineRule="exact"/>
        <w:ind w:firstLine="640"/>
        <w:jc w:val="left"/>
        <w:rPr>
          <w:rFonts w:ascii="黑体" w:hAnsi="宋体" w:eastAsia="黑体" w:cs="宋体"/>
          <w:kern w:val="0"/>
          <w:sz w:val="32"/>
          <w:szCs w:val="32"/>
          <w:highlight w:val="none"/>
        </w:rPr>
      </w:pPr>
      <w:r>
        <w:rPr>
          <w:rFonts w:hint="eastAsia" w:ascii="黑体" w:hAnsi="宋体" w:eastAsia="黑体" w:cs="宋体"/>
          <w:kern w:val="0"/>
          <w:sz w:val="32"/>
          <w:szCs w:val="32"/>
          <w:highlight w:val="none"/>
        </w:rPr>
        <w:t>名词解释：</w:t>
      </w:r>
    </w:p>
    <w:p>
      <w:pPr>
        <w:spacing w:line="520" w:lineRule="exact"/>
        <w:ind w:firstLine="642"/>
        <w:rPr>
          <w:rFonts w:ascii="仿宋_GB2312" w:eastAsia="仿宋_GB2312"/>
          <w:sz w:val="32"/>
          <w:szCs w:val="32"/>
          <w:highlight w:val="none"/>
        </w:rPr>
      </w:pPr>
      <w:r>
        <w:rPr>
          <w:rFonts w:hint="eastAsia" w:ascii="黑体" w:hAnsi="黑体" w:eastAsia="黑体"/>
          <w:sz w:val="32"/>
          <w:szCs w:val="32"/>
          <w:highlight w:val="none"/>
        </w:rPr>
        <w:t>一、财政拨款：</w:t>
      </w:r>
      <w:r>
        <w:rPr>
          <w:rFonts w:hint="eastAsia" w:ascii="仿宋_GB2312" w:eastAsia="仿宋_GB2312"/>
          <w:sz w:val="32"/>
          <w:szCs w:val="32"/>
          <w:highlight w:val="none"/>
        </w:rPr>
        <w:t>指由一般公共预算、政府性基金预算、</w:t>
      </w:r>
      <w:r>
        <w:rPr>
          <w:rFonts w:ascii="仿宋_GB2312" w:eastAsia="仿宋_GB2312"/>
          <w:sz w:val="32"/>
          <w:szCs w:val="32"/>
          <w:highlight w:val="none"/>
        </w:rPr>
        <w:t>国有资本经营预算</w:t>
      </w:r>
      <w:r>
        <w:rPr>
          <w:rFonts w:hint="eastAsia" w:ascii="仿宋_GB2312" w:eastAsia="仿宋_GB2312"/>
          <w:sz w:val="32"/>
          <w:szCs w:val="32"/>
          <w:highlight w:val="none"/>
        </w:rPr>
        <w:t>安排的财政拨款数。</w:t>
      </w:r>
    </w:p>
    <w:p>
      <w:pPr>
        <w:spacing w:line="520" w:lineRule="exact"/>
        <w:ind w:firstLine="642"/>
        <w:rPr>
          <w:rFonts w:ascii="仿宋_GB2312" w:eastAsia="仿宋_GB2312"/>
          <w:sz w:val="32"/>
          <w:szCs w:val="32"/>
          <w:highlight w:val="none"/>
        </w:rPr>
      </w:pPr>
      <w:r>
        <w:rPr>
          <w:rFonts w:hint="eastAsia" w:ascii="黑体" w:hAnsi="黑体" w:eastAsia="黑体"/>
          <w:sz w:val="32"/>
          <w:szCs w:val="32"/>
          <w:highlight w:val="none"/>
        </w:rPr>
        <w:t>二、一般公共预算：</w:t>
      </w:r>
      <w:r>
        <w:rPr>
          <w:rFonts w:hint="eastAsia" w:ascii="仿宋_GB2312" w:eastAsia="仿宋_GB2312"/>
          <w:spacing w:val="-6"/>
          <w:sz w:val="32"/>
          <w:szCs w:val="32"/>
          <w:highlight w:val="none"/>
        </w:rPr>
        <w:t>包括公共财政拨款（补助）资金、专项收入。</w:t>
      </w:r>
    </w:p>
    <w:p>
      <w:pPr>
        <w:spacing w:line="520" w:lineRule="exact"/>
        <w:ind w:firstLine="642"/>
        <w:rPr>
          <w:rFonts w:ascii="仿宋_GB2312" w:eastAsia="仿宋_GB2312"/>
          <w:sz w:val="32"/>
          <w:szCs w:val="32"/>
          <w:highlight w:val="none"/>
        </w:rPr>
      </w:pPr>
      <w:r>
        <w:rPr>
          <w:rFonts w:hint="eastAsia" w:ascii="黑体" w:hAnsi="黑体" w:eastAsia="黑体"/>
          <w:sz w:val="32"/>
          <w:szCs w:val="32"/>
          <w:highlight w:val="none"/>
          <w:lang w:eastAsia="zh-CN"/>
        </w:rPr>
        <w:t>三</w:t>
      </w:r>
      <w:r>
        <w:rPr>
          <w:rFonts w:hint="eastAsia" w:ascii="黑体" w:hAnsi="黑体" w:eastAsia="黑体"/>
          <w:sz w:val="32"/>
          <w:szCs w:val="32"/>
          <w:highlight w:val="none"/>
        </w:rPr>
        <w:t>、其他资金：</w:t>
      </w:r>
      <w:r>
        <w:rPr>
          <w:rFonts w:hint="eastAsia" w:ascii="仿宋_GB2312" w:eastAsia="仿宋_GB2312"/>
          <w:sz w:val="32"/>
          <w:szCs w:val="32"/>
          <w:highlight w:val="none"/>
        </w:rPr>
        <w:t>包括事业收入、事业经营收入、其他收入等。</w:t>
      </w:r>
    </w:p>
    <w:p>
      <w:pPr>
        <w:spacing w:line="520" w:lineRule="exact"/>
        <w:ind w:firstLine="642"/>
        <w:rPr>
          <w:rFonts w:ascii="仿宋_GB2312" w:eastAsia="仿宋_GB2312"/>
          <w:sz w:val="32"/>
          <w:szCs w:val="32"/>
          <w:highlight w:val="none"/>
        </w:rPr>
      </w:pPr>
      <w:r>
        <w:rPr>
          <w:rFonts w:hint="eastAsia" w:ascii="黑体" w:hAnsi="黑体" w:eastAsia="黑体"/>
          <w:sz w:val="32"/>
          <w:szCs w:val="32"/>
          <w:highlight w:val="none"/>
          <w:lang w:eastAsia="zh-CN"/>
        </w:rPr>
        <w:t>四</w:t>
      </w:r>
      <w:r>
        <w:rPr>
          <w:rFonts w:hint="eastAsia" w:ascii="黑体" w:hAnsi="黑体" w:eastAsia="黑体"/>
          <w:sz w:val="32"/>
          <w:szCs w:val="32"/>
          <w:highlight w:val="none"/>
        </w:rPr>
        <w:t>、基本支出：</w:t>
      </w:r>
      <w:r>
        <w:rPr>
          <w:rFonts w:hint="eastAsia" w:ascii="仿宋_GB2312" w:eastAsia="仿宋_GB2312"/>
          <w:sz w:val="32"/>
          <w:szCs w:val="32"/>
          <w:highlight w:val="none"/>
        </w:rPr>
        <w:t>包括人员经费、商品和服务支出（定额）。其中，人员经费包括工资福利支出、对个人和家庭的补助。</w:t>
      </w:r>
    </w:p>
    <w:p>
      <w:pPr>
        <w:spacing w:line="520" w:lineRule="exact"/>
        <w:ind w:firstLine="642"/>
        <w:rPr>
          <w:rFonts w:ascii="仿宋_GB2312" w:eastAsia="仿宋_GB2312"/>
          <w:sz w:val="32"/>
          <w:szCs w:val="32"/>
          <w:highlight w:val="none"/>
        </w:rPr>
      </w:pPr>
      <w:r>
        <w:rPr>
          <w:rFonts w:hint="eastAsia" w:ascii="黑体" w:hAnsi="黑体" w:eastAsia="黑体"/>
          <w:sz w:val="32"/>
          <w:szCs w:val="32"/>
          <w:highlight w:val="none"/>
          <w:lang w:eastAsia="zh-CN"/>
        </w:rPr>
        <w:t>五</w:t>
      </w:r>
      <w:r>
        <w:rPr>
          <w:rFonts w:hint="eastAsia" w:ascii="黑体" w:hAnsi="黑体" w:eastAsia="黑体"/>
          <w:sz w:val="32"/>
          <w:szCs w:val="32"/>
          <w:highlight w:val="none"/>
        </w:rPr>
        <w:t>、项目支出：</w:t>
      </w:r>
      <w:r>
        <w:rPr>
          <w:rFonts w:hint="eastAsia" w:ascii="仿宋_GB2312" w:eastAsia="仿宋_GB2312"/>
          <w:sz w:val="32"/>
          <w:szCs w:val="32"/>
          <w:highlight w:val="none"/>
        </w:rPr>
        <w:t>部门（单位）支出预算的组成部分，是自治区本级部门（单位）为完成其特定的行政任务或事业发展目标，在基本支出预算之外编制的年度项目支出计划。</w:t>
      </w:r>
    </w:p>
    <w:p>
      <w:pPr>
        <w:spacing w:line="520" w:lineRule="exact"/>
        <w:ind w:firstLine="642"/>
        <w:rPr>
          <w:rFonts w:ascii="仿宋_GB2312" w:eastAsia="仿宋_GB2312"/>
          <w:sz w:val="32"/>
          <w:szCs w:val="32"/>
          <w:highlight w:val="none"/>
        </w:rPr>
      </w:pPr>
      <w:r>
        <w:rPr>
          <w:rFonts w:hint="eastAsia" w:ascii="黑体" w:hAnsi="黑体" w:eastAsia="黑体"/>
          <w:sz w:val="32"/>
          <w:szCs w:val="32"/>
          <w:highlight w:val="none"/>
          <w:lang w:eastAsia="zh-CN"/>
        </w:rPr>
        <w:t>六</w:t>
      </w:r>
      <w:r>
        <w:rPr>
          <w:rFonts w:hint="eastAsia" w:ascii="黑体" w:hAnsi="黑体" w:eastAsia="黑体"/>
          <w:sz w:val="32"/>
          <w:szCs w:val="32"/>
          <w:highlight w:val="none"/>
        </w:rPr>
        <w:t>、“三公”经费：</w:t>
      </w:r>
      <w:r>
        <w:rPr>
          <w:rFonts w:hint="eastAsia" w:ascii="仿宋_GB2312" w:eastAsia="仿宋_GB2312"/>
          <w:sz w:val="32"/>
          <w:szCs w:val="32"/>
          <w:highlight w:val="none"/>
        </w:rPr>
        <w:t>指自治州本级部门（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20" w:lineRule="exact"/>
        <w:ind w:firstLine="642"/>
        <w:rPr>
          <w:rFonts w:ascii="仿宋_GB2312" w:eastAsia="仿宋_GB2312"/>
          <w:sz w:val="32"/>
          <w:szCs w:val="32"/>
          <w:highlight w:val="none"/>
        </w:rPr>
      </w:pPr>
      <w:r>
        <w:rPr>
          <w:rFonts w:hint="eastAsia" w:ascii="黑体" w:hAnsi="黑体" w:eastAsia="黑体"/>
          <w:sz w:val="32"/>
          <w:szCs w:val="32"/>
          <w:highlight w:val="none"/>
          <w:lang w:eastAsia="zh-CN"/>
        </w:rPr>
        <w:t>七</w:t>
      </w:r>
      <w:r>
        <w:rPr>
          <w:rFonts w:hint="eastAsia" w:ascii="黑体" w:hAnsi="黑体" w:eastAsia="黑体"/>
          <w:sz w:val="32"/>
          <w:szCs w:val="32"/>
          <w:highlight w:val="none"/>
        </w:rPr>
        <w:t>、机关运行经费：</w:t>
      </w:r>
      <w:r>
        <w:rPr>
          <w:rFonts w:hint="eastAsia" w:ascii="仿宋_GB2312" w:eastAsia="仿宋_GB2312"/>
          <w:sz w:val="32"/>
          <w:szCs w:val="32"/>
          <w:highlight w:val="none"/>
        </w:rPr>
        <w:t>指各部门（单位）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640"/>
        <w:rPr>
          <w:rFonts w:ascii="仿宋_GB2312" w:eastAsia="仿宋_GB2312"/>
          <w:b/>
          <w:szCs w:val="20"/>
          <w:highlight w:val="none"/>
        </w:rPr>
      </w:pPr>
    </w:p>
    <w:p>
      <w:pPr>
        <w:widowControl/>
        <w:spacing w:line="520" w:lineRule="exact"/>
        <w:ind w:left="1915" w:leftChars="912" w:firstLine="1440" w:firstLineChars="45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                                 </w:t>
      </w:r>
    </w:p>
    <w:p>
      <w:pPr>
        <w:widowControl/>
        <w:spacing w:line="520" w:lineRule="exact"/>
        <w:ind w:left="1915" w:leftChars="912" w:firstLine="1440" w:firstLineChars="45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克孜勒苏柯尔克孜自治州驻昌吉干休所</w:t>
      </w:r>
    </w:p>
    <w:p>
      <w:pPr>
        <w:widowControl/>
        <w:spacing w:line="520" w:lineRule="exact"/>
        <w:jc w:val="left"/>
        <w:rPr>
          <w:rFonts w:ascii="仿宋_GB2312" w:eastAsia="仿宋_GB2312"/>
          <w:sz w:val="32"/>
          <w:szCs w:val="32"/>
          <w:highlight w:val="none"/>
        </w:rPr>
      </w:pPr>
      <w:r>
        <w:rPr>
          <w:rFonts w:hint="eastAsia" w:ascii="仿宋_GB2312" w:hAnsi="宋体" w:eastAsia="仿宋_GB2312" w:cs="宋体"/>
          <w:kern w:val="0"/>
          <w:sz w:val="32"/>
          <w:szCs w:val="32"/>
          <w:highlight w:val="none"/>
        </w:rPr>
        <w:t xml:space="preserve">                              2021</w:t>
      </w:r>
      <w:r>
        <w:rPr>
          <w:rFonts w:ascii="仿宋_GB2312" w:hAnsi="宋体" w:eastAsia="仿宋_GB2312" w:cs="宋体"/>
          <w:kern w:val="0"/>
          <w:sz w:val="32"/>
          <w:szCs w:val="32"/>
          <w:highlight w:val="none"/>
        </w:rPr>
        <w:t>年</w:t>
      </w:r>
      <w:r>
        <w:rPr>
          <w:rFonts w:hint="eastAsia" w:ascii="仿宋_GB2312" w:hAnsi="宋体" w:eastAsia="仿宋_GB2312" w:cs="宋体"/>
          <w:kern w:val="0"/>
          <w:sz w:val="32"/>
          <w:szCs w:val="32"/>
          <w:highlight w:val="none"/>
        </w:rPr>
        <w:t>2</w:t>
      </w:r>
      <w:r>
        <w:rPr>
          <w:rFonts w:ascii="仿宋_GB2312" w:hAnsi="宋体" w:eastAsia="仿宋_GB2312" w:cs="宋体"/>
          <w:kern w:val="0"/>
          <w:sz w:val="32"/>
          <w:szCs w:val="32"/>
          <w:highlight w:val="none"/>
        </w:rPr>
        <w:t>月</w:t>
      </w:r>
      <w:r>
        <w:rPr>
          <w:rFonts w:hint="eastAsia" w:ascii="仿宋_GB2312" w:hAnsi="宋体" w:eastAsia="仿宋_GB2312" w:cs="宋体"/>
          <w:kern w:val="0"/>
          <w:sz w:val="32"/>
          <w:szCs w:val="32"/>
          <w:highlight w:val="none"/>
        </w:rPr>
        <w:t>5</w:t>
      </w:r>
      <w:r>
        <w:rPr>
          <w:rFonts w:ascii="仿宋_GB2312" w:hAnsi="宋体" w:eastAsia="仿宋_GB2312" w:cs="宋体"/>
          <w:kern w:val="0"/>
          <w:sz w:val="32"/>
          <w:szCs w:val="32"/>
          <w:highlight w:val="none"/>
        </w:rPr>
        <w:t>日</w:t>
      </w:r>
    </w:p>
    <w:p>
      <w:pPr>
        <w:spacing w:line="560" w:lineRule="exact"/>
        <w:ind w:left="3150" w:leftChars="1500"/>
        <w:jc w:val="center"/>
        <w:rPr>
          <w:rFonts w:ascii="仿宋_GB2312" w:eastAsia="仿宋_GB2312"/>
          <w:sz w:val="32"/>
          <w:szCs w:val="32"/>
          <w:highlight w:val="none"/>
        </w:rPr>
      </w:pPr>
    </w:p>
    <w:p>
      <w:pPr>
        <w:spacing w:line="600" w:lineRule="exact"/>
        <w:jc w:val="both"/>
        <w:rPr>
          <w:rFonts w:ascii="仿宋_GB2312" w:eastAsia="仿宋_GB2312"/>
          <w:sz w:val="32"/>
          <w:szCs w:val="32"/>
          <w:highlight w:val="none"/>
        </w:rPr>
      </w:pPr>
      <w:bookmarkStart w:id="2" w:name="_GoBack"/>
      <w:bookmarkEnd w:id="2"/>
    </w:p>
    <w:sectPr>
      <w:footerReference r:id="rId5" w:type="default"/>
      <w:footerReference r:id="rId6" w:type="even"/>
      <w:pgSz w:w="11906" w:h="16838"/>
      <w:pgMar w:top="2041" w:right="1276" w:bottom="2041" w:left="1276" w:header="851" w:footer="1814" w:gutter="0"/>
      <w:pgNumType w:fmt="numberInDash"/>
      <w:cols w:space="720" w:num="1"/>
      <w:docGrid w:type="lines" w:linePitch="435"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12 -</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20 -</w:t>
    </w:r>
    <w:r>
      <w:rPr>
        <w:rFonts w:ascii="宋体" w:hAnsi="宋体" w:eastAsia="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631" w:y="37"/>
      <w:jc w:val="right"/>
      <w:rPr>
        <w:rStyle w:val="9"/>
        <w:rFonts w:ascii="宋体" w:hAnsi="宋体" w:eastAsia="宋体"/>
        <w:sz w:val="28"/>
      </w:rPr>
    </w:pPr>
    <w:r>
      <w:rPr>
        <w:rFonts w:ascii="宋体" w:hAnsi="宋体" w:eastAsia="宋体"/>
        <w:sz w:val="28"/>
      </w:rPr>
      <w:fldChar w:fldCharType="begin"/>
    </w:r>
    <w:r>
      <w:rPr>
        <w:rStyle w:val="9"/>
        <w:rFonts w:ascii="宋体" w:hAnsi="宋体" w:eastAsia="宋体"/>
        <w:sz w:val="28"/>
      </w:rPr>
      <w:instrText xml:space="preserve"> PAGE </w:instrText>
    </w:r>
    <w:r>
      <w:rPr>
        <w:rFonts w:ascii="宋体" w:hAnsi="宋体" w:eastAsia="宋体"/>
        <w:sz w:val="28"/>
      </w:rPr>
      <w:fldChar w:fldCharType="separate"/>
    </w:r>
    <w:r>
      <w:rPr>
        <w:rStyle w:val="9"/>
        <w:rFonts w:ascii="宋体" w:hAnsi="宋体" w:eastAsia="宋体"/>
        <w:sz w:val="28"/>
      </w:rPr>
      <w:t>- 32 -</w:t>
    </w:r>
    <w:r>
      <w:rPr>
        <w:rFonts w:ascii="宋体" w:hAnsi="宋体" w:eastAsia="宋体"/>
        <w:sz w:val="28"/>
      </w:rPr>
      <w:fldChar w:fldCharType="end"/>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756" w:y="37"/>
      <w:rPr>
        <w:rStyle w:val="9"/>
        <w:rFonts w:ascii="宋体" w:hAnsi="宋体" w:eastAsia="宋体"/>
        <w:sz w:val="28"/>
        <w:szCs w:val="28"/>
      </w:rPr>
    </w:pP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- 34 -</w:t>
    </w:r>
    <w:r>
      <w:rPr>
        <w:rFonts w:ascii="宋体" w:hAnsi="宋体" w:eastAsia="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C05BF"/>
    <w:rsid w:val="00001EBD"/>
    <w:rsid w:val="00054ABF"/>
    <w:rsid w:val="0009522A"/>
    <w:rsid w:val="000C2AA9"/>
    <w:rsid w:val="00121764"/>
    <w:rsid w:val="001662FE"/>
    <w:rsid w:val="00172C01"/>
    <w:rsid w:val="00186398"/>
    <w:rsid w:val="001D3009"/>
    <w:rsid w:val="002166BA"/>
    <w:rsid w:val="00324290"/>
    <w:rsid w:val="003347DE"/>
    <w:rsid w:val="00396814"/>
    <w:rsid w:val="003B4B5F"/>
    <w:rsid w:val="003C61E3"/>
    <w:rsid w:val="003D560B"/>
    <w:rsid w:val="00432267"/>
    <w:rsid w:val="004422D6"/>
    <w:rsid w:val="0049103D"/>
    <w:rsid w:val="00493EEC"/>
    <w:rsid w:val="004B01C1"/>
    <w:rsid w:val="004C06DA"/>
    <w:rsid w:val="004F62F9"/>
    <w:rsid w:val="00520D5A"/>
    <w:rsid w:val="00576DB5"/>
    <w:rsid w:val="00577DA9"/>
    <w:rsid w:val="006A3660"/>
    <w:rsid w:val="006B6A8C"/>
    <w:rsid w:val="006F3635"/>
    <w:rsid w:val="007219F8"/>
    <w:rsid w:val="007E2CEA"/>
    <w:rsid w:val="0087570D"/>
    <w:rsid w:val="009035BA"/>
    <w:rsid w:val="00912984"/>
    <w:rsid w:val="00950B98"/>
    <w:rsid w:val="0096028F"/>
    <w:rsid w:val="0099744C"/>
    <w:rsid w:val="009C6198"/>
    <w:rsid w:val="00A666B2"/>
    <w:rsid w:val="00A9706D"/>
    <w:rsid w:val="00BA582F"/>
    <w:rsid w:val="00C117E5"/>
    <w:rsid w:val="00CA4E1E"/>
    <w:rsid w:val="00CC3B88"/>
    <w:rsid w:val="00CE5389"/>
    <w:rsid w:val="00CF342D"/>
    <w:rsid w:val="00D36549"/>
    <w:rsid w:val="00DC05BF"/>
    <w:rsid w:val="00E24368"/>
    <w:rsid w:val="00E569BC"/>
    <w:rsid w:val="00EF4090"/>
    <w:rsid w:val="00F23808"/>
    <w:rsid w:val="00F54FE8"/>
    <w:rsid w:val="00F652C4"/>
    <w:rsid w:val="00F830A1"/>
    <w:rsid w:val="00F83503"/>
    <w:rsid w:val="00F90952"/>
    <w:rsid w:val="124A0C31"/>
    <w:rsid w:val="1DE720BE"/>
    <w:rsid w:val="28E74FAE"/>
    <w:rsid w:val="35CB359C"/>
    <w:rsid w:val="455B53BC"/>
    <w:rsid w:val="517B5A77"/>
    <w:rsid w:val="70A06FA0"/>
    <w:rsid w:val="7FAE68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qFormat/>
    <w:uiPriority w:val="0"/>
    <w:rPr>
      <w:rFonts w:asciiTheme="minorHAnsi" w:hAnsiTheme="minorHAnsi" w:eastAsiaTheme="minorEastAsia" w:cstheme="minorBidi"/>
      <w:sz w:val="18"/>
      <w:szCs w:val="18"/>
    </w:rPr>
  </w:style>
  <w:style w:type="paragraph" w:styleId="3">
    <w:name w:val="footer"/>
    <w:basedOn w:val="1"/>
    <w:link w:val="13"/>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2"/>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Indent 3"/>
    <w:basedOn w:val="1"/>
    <w:link w:val="15"/>
    <w:qFormat/>
    <w:uiPriority w:val="0"/>
    <w:pPr>
      <w:pBdr>
        <w:top w:val="single" w:color="auto" w:sz="12" w:space="1"/>
        <w:bottom w:val="single" w:color="auto" w:sz="12" w:space="1"/>
      </w:pBdr>
      <w:spacing w:line="600" w:lineRule="exact"/>
      <w:ind w:left="1280" w:hanging="1280" w:hangingChars="400"/>
    </w:pPr>
    <w:rPr>
      <w:rFonts w:eastAsia="仿宋_GB2312" w:asciiTheme="minorHAnsi" w:hAnsiTheme="minorHAnsi" w:cstheme="minorBidi"/>
      <w:sz w:val="32"/>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rFonts w:cs="Times New Roman"/>
      <w:b/>
      <w:bCs/>
    </w:rPr>
  </w:style>
  <w:style w:type="character" w:styleId="9">
    <w:name w:val="page number"/>
    <w:basedOn w:val="7"/>
    <w:qFormat/>
    <w:uiPriority w:val="0"/>
  </w:style>
  <w:style w:type="table" w:styleId="11">
    <w:name w:val="Table Grid"/>
    <w:basedOn w:val="10"/>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7"/>
    <w:link w:val="4"/>
    <w:qFormat/>
    <w:uiPriority w:val="0"/>
    <w:rPr>
      <w:sz w:val="18"/>
      <w:szCs w:val="18"/>
    </w:rPr>
  </w:style>
  <w:style w:type="character" w:customStyle="1" w:styleId="13">
    <w:name w:val="页脚 Char"/>
    <w:basedOn w:val="7"/>
    <w:link w:val="3"/>
    <w:qFormat/>
    <w:uiPriority w:val="99"/>
    <w:rPr>
      <w:sz w:val="18"/>
      <w:szCs w:val="18"/>
    </w:rPr>
  </w:style>
  <w:style w:type="character" w:customStyle="1" w:styleId="14">
    <w:name w:val="批注框文本 Char"/>
    <w:link w:val="2"/>
    <w:semiHidden/>
    <w:qFormat/>
    <w:uiPriority w:val="0"/>
    <w:rPr>
      <w:sz w:val="18"/>
      <w:szCs w:val="18"/>
    </w:rPr>
  </w:style>
  <w:style w:type="character" w:customStyle="1" w:styleId="15">
    <w:name w:val="正文文本缩进 3 Char"/>
    <w:link w:val="5"/>
    <w:qFormat/>
    <w:uiPriority w:val="0"/>
    <w:rPr>
      <w:rFonts w:eastAsia="仿宋_GB2312"/>
      <w:sz w:val="32"/>
      <w:szCs w:val="24"/>
    </w:rPr>
  </w:style>
  <w:style w:type="paragraph" w:customStyle="1" w:styleId="16">
    <w:name w:val="普通(网站)2"/>
    <w:basedOn w:val="1"/>
    <w:qFormat/>
    <w:uiPriority w:val="0"/>
    <w:rPr>
      <w:rFonts w:ascii="Calibri" w:hAnsi="Calibri" w:cs="黑体"/>
      <w:sz w:val="24"/>
    </w:rPr>
  </w:style>
  <w:style w:type="character" w:customStyle="1" w:styleId="17">
    <w:name w:val="正文文本缩进 3 字符1"/>
    <w:basedOn w:val="7"/>
    <w:semiHidden/>
    <w:qFormat/>
    <w:uiPriority w:val="99"/>
    <w:rPr>
      <w:rFonts w:ascii="Times New Roman" w:hAnsi="Times New Roman" w:eastAsia="宋体" w:cs="Times New Roman"/>
      <w:sz w:val="16"/>
      <w:szCs w:val="16"/>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普通(网站)3"/>
    <w:basedOn w:val="1"/>
    <w:qFormat/>
    <w:uiPriority w:val="0"/>
    <w:rPr>
      <w:rFonts w:ascii="Calibri" w:hAnsi="Calibri" w:cs="黑体"/>
      <w:sz w:val="24"/>
    </w:rPr>
  </w:style>
  <w:style w:type="character" w:customStyle="1" w:styleId="20">
    <w:name w:val="批注框文本 字符1"/>
    <w:basedOn w:val="7"/>
    <w:semiHidden/>
    <w:qFormat/>
    <w:uiPriority w:val="99"/>
    <w:rPr>
      <w:rFonts w:ascii="Times New Roman" w:hAnsi="Times New Roman" w:eastAsia="宋体" w:cs="Times New Roman"/>
      <w:sz w:val="18"/>
      <w:szCs w:val="18"/>
    </w:rPr>
  </w:style>
  <w:style w:type="paragraph" w:customStyle="1" w:styleId="21">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22">
    <w:name w:val="普通(网站)1"/>
    <w:basedOn w:val="1"/>
    <w:qFormat/>
    <w:uiPriority w:val="0"/>
    <w:rPr>
      <w:rFonts w:ascii="Calibri" w:hAnsi="Calibri" w:cs="黑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B7759-D128-4F8F-8E0E-C7686D1B36B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1801</Words>
  <Characters>10271</Characters>
  <Lines>85</Lines>
  <Paragraphs>24</Paragraphs>
  <TotalTime>3</TotalTime>
  <ScaleCrop>false</ScaleCrop>
  <LinksUpToDate>false</LinksUpToDate>
  <CharactersWithSpaces>12048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2021-02-10T08:43:00Z</dcterms:created>
  <dc:creator>薛理升</dc:creator>
  <cp:lastModifiedBy> ﹏〆学荟緈諨</cp:lastModifiedBy>
  <dcterms:modified xsi:type="dcterms:W3CDTF">2021-02-20T11:10:01Z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