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csmb"/>
      <w:r>
        <w:rPr>
          <w:rFonts w:hint="eastAsia" w:ascii="楷体_GB2312" w:hAnsi="黑体" w:eastAsia="楷体_GB2312"/>
          <w:spacing w:val="-30000"/>
          <w:w w:val="1"/>
          <w:sz w:val="10"/>
          <w:szCs w:val="10"/>
        </w:rPr>
        <w:t>厅领导，本厅有关处室</w:t>
      </w:r>
      <w:bookmarkEnd w:id="0"/>
      <w:bookmarkStart w:id="1" w:name="yinfadanwei"/>
      <w:r>
        <w:rPr>
          <w:rFonts w:hint="eastAsia" w:ascii="楷体_GB2312" w:hAnsi="黑体" w:eastAsia="楷体_GB2312"/>
          <w:spacing w:val="-30000"/>
          <w:w w:val="1"/>
          <w:sz w:val="10"/>
          <w:szCs w:val="10"/>
        </w:rPr>
        <w:t>新疆维</w:t>
      </w:r>
      <w:bookmarkEnd w:id="1"/>
      <w:r>
        <w:rPr>
          <w:rFonts w:hint="eastAsia" w:ascii="楷体_GB2312" w:hAnsi="黑体" w:eastAsia="楷体_GB2312"/>
          <w:spacing w:val="-30000"/>
          <w:w w:val="1"/>
          <w:sz w:val="10"/>
          <w:szCs w:val="10"/>
        </w:rPr>
        <w:t>厅领导，本厅有关处室新疆维吾尔自治区财政厅</w:t>
      </w: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hint="eastAsia" w:ascii="方正小标宋_GBK" w:hAnsi="宋体" w:eastAsia="方正小标宋_GBK"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hint="eastAsia" w:ascii="方正小标宋_GBK" w:hAnsi="宋体" w:eastAsia="方正小标宋_GBK"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hint="eastAsia" w:ascii="方正小标宋_GBK" w:hAnsi="宋体" w:eastAsia="方正小标宋_GBK"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hint="eastAsia" w:ascii="方正小标宋_GBK" w:hAnsi="宋体" w:eastAsia="方正小标宋_GBK"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ind w:firstLine="1320" w:firstLineChars="300"/>
        <w:jc w:val="both"/>
        <w:outlineLvl w:val="1"/>
        <w:rPr>
          <w:rFonts w:hint="eastAsia" w:ascii="方正小标宋_GBK" w:hAnsi="宋体" w:eastAsia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克孜勒苏柯尔克孜自治州</w:t>
      </w:r>
      <w:r>
        <w:rPr>
          <w:rFonts w:hint="eastAsia" w:ascii="方正小标宋_GBK" w:hAnsi="宋体" w:eastAsia="方正小标宋_GBK"/>
          <w:kern w:val="0"/>
          <w:sz w:val="44"/>
          <w:szCs w:val="44"/>
          <w:lang w:eastAsia="zh-CN"/>
        </w:rPr>
        <w:t>福利彩票发行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  <w:lang w:val="en-US" w:eastAsia="zh-CN"/>
        </w:rPr>
        <w:t>2021</w:t>
      </w:r>
      <w:r>
        <w:rPr>
          <w:rFonts w:hint="eastAsia" w:ascii="方正小标宋_GBK" w:hAnsi="宋体" w:eastAsia="方正小标宋_GBK"/>
          <w:kern w:val="0"/>
          <w:sz w:val="44"/>
          <w:szCs w:val="44"/>
        </w:rPr>
        <w:t>年预算公开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both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both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  <w:r>
        <w:rPr>
          <w:rFonts w:hint="eastAsia" w:ascii="黑体" w:hAnsi="黑体" w:eastAsia="黑体"/>
          <w:kern w:val="0"/>
          <w:sz w:val="36"/>
          <w:szCs w:val="32"/>
        </w:rPr>
        <w:t>目 录</w:t>
      </w:r>
    </w:p>
    <w:p>
      <w:pPr>
        <w:widowControl/>
        <w:spacing w:line="440" w:lineRule="exact"/>
        <w:ind w:firstLine="883" w:firstLineChars="200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第一部分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eastAsia="zh-CN"/>
        </w:rPr>
        <w:t>克孜勒苏柯尔克孜自治州福利彩票发行中心概况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一、主要职能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二、机构设置及人员情况</w:t>
      </w:r>
    </w:p>
    <w:p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年部门（单位）预算公开表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一、部门（单位）收支总体情况表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二、部门（单位）收入总体情况表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三、部门（单位）支出总体情况表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四、财政拨款收支总体情况表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五、一般公共预算支出情况表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六、一般公共预算基本支出情况表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七、一般公共预算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项目支出情况表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八、一般公共预算“三公”经费支出情况表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九、政府性基金预算支出情况表</w:t>
      </w:r>
    </w:p>
    <w:p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第三部分 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年部门（单位）预算情况说明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一、关于克孜勒苏柯尔克孜自治州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年收支预算情况的总体说明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二、关于克孜勒苏柯尔克孜自治州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年收入预算情况说明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三、关于克孜勒苏柯尔克孜自治州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年支出预算情况说明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四、关于克孜勒苏柯尔克孜自治州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年财政拨款收支预算情况的总体说明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五、关于克孜勒苏柯尔克孜自治州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年一般公共预算当年拨款情况说明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六、关于克孜勒苏柯尔克孜自治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州福利彩票发行中心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年一般公共预算基本支出情况说明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七、关于克孜勒苏柯尔克孜自治州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年一般公共预算项目支出情况说明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八、关于克孜勒苏柯尔克孜自治州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年一般公共预算“三公”经费预算情况说明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九、关于克孜勒苏柯尔克孜自治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州福利彩票发行中心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年政府性基金预算拨款情况说明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十、其他重要事项的情况说明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第四部分  名词解释</w:t>
      </w:r>
    </w:p>
    <w:p>
      <w:pPr>
        <w:widowControl/>
        <w:spacing w:before="100" w:beforeAutospacing="1" w:after="100" w:afterAutospacing="1"/>
        <w:ind w:firstLine="320" w:firstLineChars="1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ind w:firstLine="320" w:firstLineChars="1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ind w:firstLine="320" w:firstLineChars="1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ind w:firstLine="320" w:firstLineChars="1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ind w:firstLine="320" w:firstLineChars="1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ind w:firstLine="320" w:firstLineChars="1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ind w:firstLine="320" w:firstLineChars="1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ind w:firstLine="320" w:firstLineChars="1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ind w:firstLine="320" w:firstLineChars="1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ind w:firstLine="320" w:firstLineChars="1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ind w:firstLine="320" w:firstLineChars="1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ind w:firstLine="320" w:firstLineChars="1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ind w:firstLine="320" w:firstLineChars="1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ind w:firstLine="320" w:firstLineChars="1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ind w:firstLine="320" w:firstLineChars="100"/>
        <w:jc w:val="both"/>
        <w:outlineLvl w:val="1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第一部分  </w:t>
      </w:r>
      <w:r>
        <w:rPr>
          <w:rFonts w:hint="eastAsia" w:ascii="黑体" w:hAnsi="黑体" w:eastAsia="黑体"/>
          <w:b w:val="0"/>
          <w:bCs w:val="0"/>
          <w:kern w:val="0"/>
          <w:sz w:val="32"/>
          <w:szCs w:val="32"/>
        </w:rPr>
        <w:t>克孜勒苏柯尔克孜自治州</w:t>
      </w:r>
      <w:r>
        <w:rPr>
          <w:rFonts w:hint="eastAsia" w:ascii="黑体" w:hAnsi="黑体" w:eastAsia="黑体"/>
          <w:b w:val="0"/>
          <w:bCs w:val="0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黑体" w:hAnsi="黑体" w:eastAsia="黑体"/>
          <w:b w:val="0"/>
          <w:bCs w:val="0"/>
          <w:kern w:val="0"/>
          <w:sz w:val="32"/>
          <w:szCs w:val="32"/>
        </w:rPr>
        <w:t>概况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pacing w:before="100" w:beforeAutospacing="1" w:after="100" w:afterAutospacing="1"/>
        <w:ind w:firstLine="320" w:firstLineChars="100"/>
        <w:jc w:val="both"/>
        <w:outlineLvl w:val="1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一、主要职能</w:t>
      </w:r>
    </w:p>
    <w:p>
      <w:pPr>
        <w:pStyle w:val="7"/>
        <w:spacing w:before="226" w:beforeAutospacing="0" w:afterAutospacing="0" w:line="450" w:lineRule="atLeast"/>
        <w:ind w:firstLine="420"/>
        <w:rPr>
          <w:rFonts w:hint="eastAsia" w:ascii="仿宋" w:hAnsi="仿宋" w:eastAsia="仿宋"/>
          <w:color w:val="414141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kern w:val="0"/>
          <w:sz w:val="32"/>
          <w:szCs w:val="32"/>
        </w:rPr>
        <w:t>克孜勒苏柯尔克孜自治州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仿宋" w:hAnsi="仿宋" w:eastAsia="仿宋"/>
          <w:color w:val="414141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根据《彩票管理条例》《彩票管理条例实施细则》和民政厅、自治区福利彩票发行中心相关文件精神确定：地、州（市）福彩中心在当地民政局的领导下和自治区福彩中心的业务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下，负责本地区电脑型福利彩票销售工作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414141"/>
          <w:sz w:val="32"/>
          <w:szCs w:val="32"/>
          <w:shd w:val="clear" w:color="auto" w:fill="FFFFFF"/>
        </w:rPr>
        <w:t>其主要职责是：</w:t>
      </w:r>
    </w:p>
    <w:p>
      <w:pPr>
        <w:pStyle w:val="7"/>
        <w:spacing w:before="226" w:beforeAutospacing="0" w:afterAutospacing="0" w:line="450" w:lineRule="atLeast"/>
        <w:ind w:firstLine="420"/>
        <w:rPr>
          <w:rFonts w:hint="eastAsia" w:ascii="仿宋" w:hAnsi="仿宋" w:eastAsia="仿宋"/>
          <w:color w:val="41414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414141"/>
          <w:sz w:val="32"/>
          <w:szCs w:val="32"/>
          <w:shd w:val="clear" w:color="auto" w:fill="FFFFFF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负责制定本地区福利彩票销售网络建设计划，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受自治区福彩中心委托对</w:t>
      </w:r>
      <w:r>
        <w:rPr>
          <w:rFonts w:hint="eastAsia" w:ascii="仿宋_GB2312" w:hAnsi="仿宋_GB2312" w:eastAsia="仿宋_GB2312" w:cs="仿宋_GB2312"/>
          <w:sz w:val="32"/>
          <w:szCs w:val="32"/>
        </w:rPr>
        <w:t>本地区福利彩票销售网点进行日常管理，具体负责福利彩票网点的设立、迁移、撤销等初审上报工作</w:t>
      </w:r>
      <w:r>
        <w:rPr>
          <w:rFonts w:hint="eastAsia" w:ascii="仿宋" w:hAnsi="仿宋" w:eastAsia="仿宋"/>
          <w:color w:val="414141"/>
          <w:sz w:val="32"/>
          <w:szCs w:val="32"/>
          <w:shd w:val="clear" w:color="auto" w:fill="FFFFFF"/>
        </w:rPr>
        <w:t>。</w:t>
      </w:r>
    </w:p>
    <w:p>
      <w:pPr>
        <w:pStyle w:val="7"/>
        <w:spacing w:before="226" w:beforeAutospacing="0" w:afterAutospacing="0" w:line="450" w:lineRule="atLeast"/>
        <w:ind w:firstLine="420"/>
        <w:rPr>
          <w:rFonts w:hint="eastAsia" w:ascii="仿宋" w:hAnsi="仿宋" w:eastAsia="仿宋_GB2312"/>
          <w:color w:val="414141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shd w:val="clear" w:color="auto" w:fill="FFFFFF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受自治区中心委托代签代销协议，指导代销者规范化建设彩票销售场所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7"/>
        <w:spacing w:before="226" w:beforeAutospacing="0" w:afterAutospacing="0" w:line="450" w:lineRule="atLeast"/>
        <w:ind w:firstLine="420"/>
        <w:rPr>
          <w:rFonts w:hint="eastAsia" w:ascii="仿宋" w:hAnsi="仿宋" w:eastAsia="仿宋"/>
          <w:color w:val="41414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414141"/>
          <w:sz w:val="32"/>
          <w:szCs w:val="32"/>
          <w:shd w:val="clear" w:color="auto" w:fill="FFFFFF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负责结合实际制定各项销售工作细则，规范开展彩票销售工作，及时处理市场投诉和销售纠纷</w:t>
      </w:r>
      <w:r>
        <w:rPr>
          <w:rFonts w:hint="eastAsia" w:ascii="仿宋" w:hAnsi="仿宋" w:eastAsia="仿宋"/>
          <w:color w:val="414141"/>
          <w:sz w:val="32"/>
          <w:szCs w:val="32"/>
          <w:shd w:val="clear" w:color="auto" w:fill="FFFFFF"/>
        </w:rPr>
        <w:t>。</w:t>
      </w:r>
    </w:p>
    <w:p>
      <w:pPr>
        <w:pStyle w:val="7"/>
        <w:spacing w:before="226" w:beforeAutospacing="0" w:afterAutospacing="0" w:line="450" w:lineRule="atLeast"/>
        <w:ind w:firstLine="420"/>
        <w:rPr>
          <w:rFonts w:hint="eastAsia" w:ascii="仿宋" w:hAnsi="仿宋" w:eastAsia="仿宋"/>
          <w:color w:val="41414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414141"/>
          <w:sz w:val="32"/>
          <w:szCs w:val="32"/>
          <w:shd w:val="clear" w:color="auto" w:fill="FFFFFF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负责本地区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50万元以下中奖者</w:t>
      </w:r>
      <w:r>
        <w:rPr>
          <w:rFonts w:hint="eastAsia" w:ascii="仿宋_GB2312" w:hAnsi="仿宋_GB2312" w:eastAsia="仿宋_GB2312" w:cs="仿宋_GB2312"/>
          <w:sz w:val="32"/>
          <w:szCs w:val="32"/>
        </w:rPr>
        <w:t>兑奖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、销售资金上缴、设备保证金收取上缴工作</w:t>
      </w:r>
      <w:r>
        <w:rPr>
          <w:rFonts w:hint="eastAsia" w:ascii="仿宋" w:hAnsi="仿宋" w:eastAsia="仿宋"/>
          <w:color w:val="414141"/>
          <w:sz w:val="32"/>
          <w:szCs w:val="32"/>
          <w:shd w:val="clear" w:color="auto" w:fill="FFFFFF"/>
        </w:rPr>
        <w:t>。</w:t>
      </w:r>
    </w:p>
    <w:p>
      <w:pPr>
        <w:pStyle w:val="7"/>
        <w:spacing w:before="226" w:beforeAutospacing="0" w:afterAutospacing="0" w:line="450" w:lineRule="atLeast"/>
        <w:ind w:firstLine="420"/>
        <w:rPr>
          <w:rFonts w:hint="eastAsia" w:ascii="仿宋" w:hAnsi="仿宋" w:eastAsia="仿宋"/>
          <w:color w:val="41414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414141"/>
          <w:sz w:val="32"/>
          <w:szCs w:val="32"/>
          <w:shd w:val="clear" w:color="auto" w:fill="FFFFFF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负责开展本地区的业务培训、营销、宣传工作</w:t>
      </w:r>
      <w:r>
        <w:rPr>
          <w:rFonts w:hint="eastAsia" w:ascii="仿宋" w:hAnsi="仿宋" w:eastAsia="仿宋"/>
          <w:color w:val="414141"/>
          <w:sz w:val="32"/>
          <w:szCs w:val="32"/>
          <w:shd w:val="clear" w:color="auto" w:fill="FFFFFF"/>
        </w:rPr>
        <w:t>。</w:t>
      </w:r>
    </w:p>
    <w:p>
      <w:pPr>
        <w:pStyle w:val="7"/>
        <w:spacing w:before="226" w:beforeAutospacing="0" w:afterAutospacing="0" w:line="450" w:lineRule="atLeast"/>
        <w:ind w:left="639" w:leftChars="152" w:hanging="320" w:hangingChars="100"/>
        <w:rPr>
          <w:rFonts w:hint="eastAsia" w:ascii="仿宋" w:hAnsi="仿宋" w:eastAsia="仿宋"/>
          <w:color w:val="41414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414141"/>
          <w:sz w:val="32"/>
          <w:szCs w:val="32"/>
          <w:shd w:val="clear" w:color="auto" w:fill="FFFFFF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负责本地区销售设备、设施及耗材的日常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发放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管理及固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定资产管理工作等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60" w:lineRule="exact"/>
        <w:jc w:val="left"/>
        <w:rPr>
          <w:rFonts w:ascii="仿宋_GB2312" w:hAnsi="黑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二、机构设置及人员情况</w:t>
      </w:r>
    </w:p>
    <w:p>
      <w:pPr>
        <w:widowControl/>
        <w:spacing w:before="100" w:beforeAutospacing="1" w:after="100" w:afterAutospacing="1"/>
        <w:ind w:firstLine="640" w:firstLineChars="200"/>
        <w:jc w:val="both"/>
        <w:outlineLvl w:val="1"/>
        <w:rPr>
          <w:rFonts w:hint="eastAsia" w:ascii="仿宋" w:hAnsi="仿宋" w:eastAsia="仿宋" w:cs="宋体"/>
          <w:color w:val="414141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克孜勒苏柯尔克孜自治州</w:t>
      </w:r>
      <w:r>
        <w:rPr>
          <w:rFonts w:hint="eastAsia" w:ascii="仿宋_GB2312" w:hAnsi="宋体" w:eastAsia="仿宋_GB2312"/>
          <w:b w:val="0"/>
          <w:bCs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仿宋" w:hAnsi="仿宋" w:eastAsia="仿宋" w:cs="宋体"/>
          <w:color w:val="414141"/>
          <w:kern w:val="0"/>
          <w:sz w:val="32"/>
          <w:szCs w:val="32"/>
          <w:shd w:val="clear" w:color="auto" w:fill="FFFFFF"/>
          <w:lang w:val="en-US" w:eastAsia="zh-CN" w:bidi="ar-SA"/>
        </w:rPr>
        <w:t>无下属预算单位，下设4个科室，分别是：办公室、综合一部、综合二部、财务室等。</w:t>
      </w:r>
    </w:p>
    <w:p>
      <w:pPr>
        <w:widowControl/>
        <w:spacing w:before="100" w:beforeAutospacing="1" w:after="100" w:afterAutospacing="1"/>
        <w:ind w:firstLine="640" w:firstLineChars="200"/>
        <w:jc w:val="both"/>
        <w:outlineLvl w:val="1"/>
        <w:rPr>
          <w:rFonts w:hint="eastAsia" w:ascii="仿宋" w:hAnsi="仿宋" w:eastAsia="仿宋_GB2312" w:cs="宋体"/>
          <w:color w:val="414141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克孜勒苏柯尔克孜自治州</w:t>
      </w:r>
      <w:r>
        <w:rPr>
          <w:rFonts w:hint="eastAsia" w:ascii="仿宋_GB2312" w:hAnsi="宋体" w:eastAsia="仿宋_GB2312"/>
          <w:b w:val="0"/>
          <w:bCs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仿宋" w:hAnsi="仿宋" w:eastAsia="仿宋" w:cs="宋体"/>
          <w:color w:val="414141"/>
          <w:kern w:val="0"/>
          <w:sz w:val="32"/>
          <w:szCs w:val="32"/>
          <w:shd w:val="clear" w:color="auto" w:fill="FFFFFF"/>
          <w:lang w:val="en-US" w:eastAsia="zh-CN" w:bidi="ar-SA"/>
        </w:rPr>
        <w:t>编制数3，实有人数 3人，其中：在职3人，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</w:t>
      </w:r>
      <w:r>
        <w:rPr>
          <w:rFonts w:hint="eastAsia" w:ascii="仿宋" w:hAnsi="仿宋" w:eastAsia="仿宋" w:cs="宋体"/>
          <w:color w:val="414141"/>
          <w:kern w:val="0"/>
          <w:sz w:val="32"/>
          <w:szCs w:val="32"/>
          <w:shd w:val="clear" w:color="auto" w:fill="FFFFFF"/>
          <w:lang w:val="en-US" w:eastAsia="zh-CN" w:bidi="ar-SA"/>
        </w:rPr>
        <w:t>； 退休0人，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</w:t>
      </w:r>
      <w:r>
        <w:rPr>
          <w:rFonts w:hint="eastAsia" w:ascii="仿宋" w:hAnsi="仿宋" w:eastAsia="仿宋" w:cs="宋体"/>
          <w:color w:val="414141"/>
          <w:kern w:val="0"/>
          <w:sz w:val="32"/>
          <w:szCs w:val="32"/>
          <w:shd w:val="clear" w:color="auto" w:fill="FFFFFF"/>
          <w:lang w:val="en-US" w:eastAsia="zh-CN" w:bidi="ar-SA"/>
        </w:rPr>
        <w:t>；离休0人，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line="280" w:lineRule="exact"/>
        <w:ind w:firstLine="1280" w:firstLineChars="400"/>
        <w:jc w:val="both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第二部分  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黑体" w:eastAsia="黑体"/>
          <w:kern w:val="0"/>
          <w:sz w:val="32"/>
          <w:szCs w:val="32"/>
        </w:rPr>
        <w:t>年部门（单位）预算公开表</w:t>
      </w:r>
    </w:p>
    <w:p>
      <w:pPr>
        <w:widowControl/>
        <w:spacing w:line="28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表一：</w:t>
      </w:r>
    </w:p>
    <w:p>
      <w:pPr>
        <w:widowControl/>
        <w:spacing w:line="280" w:lineRule="exact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部门（单位）收支总体情况表</w:t>
      </w:r>
    </w:p>
    <w:p>
      <w:pPr>
        <w:widowControl/>
        <w:spacing w:line="280" w:lineRule="exac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编制部门（单位）克孜勒苏柯尔克孜自治州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福利彩票发行中心</w:t>
      </w:r>
      <w:r>
        <w:rPr>
          <w:rFonts w:hint="eastAsia" w:ascii="仿宋_GB2312" w:hAnsi="宋体" w:eastAsia="仿宋_GB2312"/>
          <w:kern w:val="0"/>
          <w:sz w:val="24"/>
        </w:rPr>
        <w:t xml:space="preserve">  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kern w:val="0"/>
          <w:sz w:val="24"/>
        </w:rPr>
        <w:t xml:space="preserve"> 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单位：万元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             </w:t>
      </w:r>
    </w:p>
    <w:tbl>
      <w:tblPr>
        <w:tblStyle w:val="11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988"/>
        <w:gridCol w:w="2693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收     入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一般公共预算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政府性基金预算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360" w:firstLineChars="20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国有资本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经营预算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教育收费（财政专户）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上级补助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单位其他资金收入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209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保险基金支出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上级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专项收入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22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粮油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物资管理支出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223 国有资本经营预算支出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234 抗疫特别国债还本支出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总  计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spacing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表二：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部门（单位）收入总体情况表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编制部门（单位）：克孜勒苏柯尔克孜自治州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福利彩票发行中心</w:t>
      </w:r>
      <w:r>
        <w:rPr>
          <w:rFonts w:hint="eastAsia" w:ascii="仿宋_GB2312" w:hAnsi="宋体" w:eastAsia="仿宋_GB2312"/>
          <w:kern w:val="0"/>
          <w:sz w:val="24"/>
        </w:rPr>
        <w:t xml:space="preserve">         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单位：万元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        </w:t>
      </w:r>
    </w:p>
    <w:tbl>
      <w:tblPr>
        <w:tblStyle w:val="11"/>
        <w:tblW w:w="10429" w:type="dxa"/>
        <w:tblInd w:w="-4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435"/>
        <w:gridCol w:w="420"/>
        <w:gridCol w:w="902"/>
        <w:gridCol w:w="992"/>
        <w:gridCol w:w="851"/>
        <w:gridCol w:w="850"/>
        <w:gridCol w:w="667"/>
        <w:gridCol w:w="709"/>
        <w:gridCol w:w="42"/>
        <w:gridCol w:w="358"/>
        <w:gridCol w:w="734"/>
        <w:gridCol w:w="42"/>
        <w:gridCol w:w="525"/>
        <w:gridCol w:w="567"/>
        <w:gridCol w:w="425"/>
        <w:gridCol w:w="709"/>
        <w:gridCol w:w="6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功能分类科目编码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总  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一般公共预算拨款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政府性基金预算拨款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财政专户（教育收费）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  <w:highlight w:val="none"/>
              </w:rPr>
              <w:t>国有资本</w:t>
            </w:r>
            <w:r>
              <w:rPr>
                <w:rFonts w:ascii="仿宋_GB2312" w:eastAsia="仿宋_GB2312"/>
                <w:b/>
                <w:color w:val="000000"/>
                <w:sz w:val="20"/>
                <w:szCs w:val="20"/>
                <w:highlight w:val="none"/>
              </w:rPr>
              <w:t>经营预算</w:t>
            </w:r>
          </w:p>
        </w:tc>
        <w:tc>
          <w:tcPr>
            <w:tcW w:w="4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事业收入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上</w:t>
            </w:r>
          </w:p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级</w:t>
            </w:r>
          </w:p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补助</w:t>
            </w:r>
          </w:p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收</w:t>
            </w:r>
          </w:p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入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事业单位经营收入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单位其他资金收入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上级专项收入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用事业基金弥补收支差额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单位上年结余（不包含国库集中支付额度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15"/>
                <w:lang w:val="en-US" w:eastAsia="zh-CN"/>
              </w:rPr>
              <w:t>229</w:t>
            </w:r>
            <w:r>
              <w:rPr>
                <w:rFonts w:hint="eastAsia" w:ascii="仿宋_GB2312" w:eastAsia="仿宋_GB2312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15"/>
                <w:lang w:val="en-US" w:eastAsia="zh-CN"/>
              </w:rPr>
              <w:t>08</w:t>
            </w:r>
            <w:r>
              <w:rPr>
                <w:rFonts w:hint="eastAsia" w:ascii="仿宋_GB2312" w:eastAsia="仿宋_GB2312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15"/>
                <w:lang w:val="en-US" w:eastAsia="zh-CN"/>
              </w:rPr>
              <w:t>04</w:t>
            </w:r>
            <w:r>
              <w:rPr>
                <w:rFonts w:hint="eastAsia" w:ascii="仿宋_GB2312" w:eastAsia="仿宋_GB2312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  <w:t>福利彩票销售机构的业务费支出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15"/>
                <w:lang w:val="en-US" w:eastAsia="zh-CN"/>
              </w:rPr>
              <w:t>85</w:t>
            </w:r>
            <w:r>
              <w:rPr>
                <w:rFonts w:hint="eastAsia" w:ascii="仿宋_GB2312" w:eastAsia="仿宋_GB2312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15"/>
                <w:lang w:val="en-US" w:eastAsia="zh-CN"/>
              </w:rPr>
              <w:t>85</w:t>
            </w:r>
            <w:r>
              <w:rPr>
                <w:rFonts w:hint="eastAsia" w:ascii="仿宋_GB2312" w:eastAsia="仿宋_GB2312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  <w:t>合  计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85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85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spacing w:line="280" w:lineRule="exact"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表三：</w:t>
      </w:r>
    </w:p>
    <w:p>
      <w:pPr>
        <w:widowControl/>
        <w:spacing w:line="280" w:lineRule="exact"/>
        <w:jc w:val="center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部门（单位）支出总体情况表</w:t>
      </w:r>
    </w:p>
    <w:p>
      <w:pPr>
        <w:widowControl/>
        <w:spacing w:line="280" w:lineRule="exact"/>
        <w:jc w:val="both"/>
        <w:outlineLvl w:val="1"/>
        <w:rPr>
          <w:rFonts w:ascii="仿宋_GB2312" w:hAnsi="宋体" w:eastAsia="仿宋_GB2312"/>
          <w:kern w:val="0"/>
          <w:sz w:val="21"/>
          <w:szCs w:val="21"/>
        </w:rPr>
      </w:pPr>
      <w:r>
        <w:rPr>
          <w:rFonts w:hint="eastAsia" w:ascii="仿宋_GB2312" w:hAnsi="宋体" w:eastAsia="仿宋_GB2312"/>
          <w:kern w:val="0"/>
          <w:sz w:val="24"/>
        </w:rPr>
        <w:t>编制部门（单位）：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克孜勒苏柯尔克孜自治州福彩票发行中心</w:t>
      </w:r>
      <w:r>
        <w:rPr>
          <w:rFonts w:hint="eastAsia" w:ascii="仿宋_GB2312" w:hAnsi="宋体" w:eastAsia="仿宋_GB2312"/>
          <w:kern w:val="0"/>
          <w:sz w:val="21"/>
          <w:szCs w:val="21"/>
        </w:rPr>
        <w:t xml:space="preserve">         </w:t>
      </w:r>
      <w:r>
        <w:rPr>
          <w:rFonts w:hint="eastAsia" w:ascii="仿宋_GB2312" w:hAnsi="宋体" w:eastAsia="仿宋_GB2312"/>
          <w:kern w:val="0"/>
          <w:sz w:val="21"/>
          <w:szCs w:val="21"/>
          <w:lang w:eastAsia="zh-CN"/>
        </w:rPr>
        <w:t>单位：万元</w:t>
      </w:r>
      <w:r>
        <w:rPr>
          <w:rFonts w:hint="eastAsia" w:ascii="仿宋_GB2312" w:hAnsi="宋体" w:eastAsia="仿宋_GB2312"/>
          <w:kern w:val="0"/>
          <w:sz w:val="21"/>
          <w:szCs w:val="21"/>
        </w:rPr>
        <w:t xml:space="preserve">                           </w:t>
      </w:r>
    </w:p>
    <w:tbl>
      <w:tblPr>
        <w:tblStyle w:val="11"/>
        <w:tblW w:w="9420" w:type="dxa"/>
        <w:tblInd w:w="-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420"/>
        <w:gridCol w:w="465"/>
        <w:gridCol w:w="2437"/>
        <w:gridCol w:w="1855"/>
        <w:gridCol w:w="1856"/>
        <w:gridCol w:w="19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5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4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8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8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9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款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2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229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04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0" w:hanging="720" w:hangingChars="400"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福利彩票销售机构的业务费支出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85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85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85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表四：</w:t>
      </w:r>
    </w:p>
    <w:p>
      <w:pPr>
        <w:widowControl/>
        <w:spacing w:before="120" w:beforeLines="50" w:line="280" w:lineRule="exact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财政拨款收支预算总体情况表</w:t>
      </w:r>
    </w:p>
    <w:p>
      <w:pPr>
        <w:widowControl/>
        <w:spacing w:before="120" w:beforeLines="50" w:line="280" w:lineRule="exact"/>
        <w:outlineLvl w:val="1"/>
        <w:rPr>
          <w:rFonts w:ascii="仿宋_GB2312" w:hAnsi="宋体" w:eastAsia="仿宋_GB2312"/>
          <w:kern w:val="0"/>
          <w:szCs w:val="21"/>
        </w:rPr>
      </w:pPr>
      <w:r>
        <w:rPr>
          <w:rFonts w:hint="eastAsia" w:ascii="仿宋_GB2312" w:hAnsi="宋体" w:eastAsia="仿宋_GB2312"/>
          <w:kern w:val="0"/>
          <w:szCs w:val="21"/>
        </w:rPr>
        <w:t>编制部门（单位）：</w:t>
      </w:r>
      <w:r>
        <w:rPr>
          <w:rFonts w:hint="eastAsia" w:ascii="仿宋_GB2312" w:hAnsi="宋体" w:eastAsia="仿宋_GB2312"/>
          <w:kern w:val="0"/>
          <w:szCs w:val="21"/>
          <w:lang w:eastAsia="zh-CN"/>
        </w:rPr>
        <w:t>克孜勒苏柯尔克孜自治州福利彩票发行中心</w:t>
      </w:r>
      <w:r>
        <w:rPr>
          <w:rFonts w:hint="eastAsia" w:ascii="仿宋_GB2312" w:hAnsi="宋体" w:eastAsia="仿宋_GB2312"/>
          <w:kern w:val="0"/>
          <w:szCs w:val="21"/>
          <w:lang w:val="en-US" w:eastAsia="zh-CN"/>
        </w:rPr>
        <w:t xml:space="preserve">          单位：万元</w:t>
      </w:r>
      <w:r>
        <w:rPr>
          <w:rFonts w:hint="eastAsia" w:ascii="仿宋_GB2312" w:hAnsi="宋体" w:eastAsia="仿宋_GB2312"/>
          <w:kern w:val="0"/>
          <w:szCs w:val="21"/>
        </w:rPr>
        <w:t xml:space="preserve">                                                       </w:t>
      </w:r>
    </w:p>
    <w:tbl>
      <w:tblPr>
        <w:tblStyle w:val="11"/>
        <w:tblpPr w:leftFromText="180" w:rightFromText="180" w:vertAnchor="text" w:tblpY="1"/>
        <w:tblOverlap w:val="never"/>
        <w:tblW w:w="94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055"/>
        <w:gridCol w:w="2580"/>
        <w:gridCol w:w="901"/>
        <w:gridCol w:w="850"/>
        <w:gridCol w:w="1134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财政拨款收入</w:t>
            </w:r>
          </w:p>
        </w:tc>
        <w:tc>
          <w:tcPr>
            <w:tcW w:w="5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财政拨款支出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0"/>
                <w:szCs w:val="20"/>
                <w:highlight w:val="none"/>
              </w:rPr>
              <w:t>项    目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0"/>
                <w:szCs w:val="20"/>
                <w:highlight w:val="none"/>
              </w:rPr>
              <w:t>合  计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0"/>
                <w:szCs w:val="20"/>
                <w:highlight w:val="none"/>
              </w:rPr>
              <w:t>功  能  分  类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0"/>
                <w:szCs w:val="20"/>
                <w:highlight w:val="none"/>
              </w:rPr>
              <w:t>合 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0"/>
                <w:szCs w:val="20"/>
                <w:highlight w:val="none"/>
              </w:rPr>
              <w:t>一般公共预算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4"/>
                <w:highlight w:val="none"/>
              </w:rPr>
              <w:t>政府性基金预算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0"/>
                <w:szCs w:val="20"/>
                <w:highlight w:val="none"/>
              </w:rPr>
              <w:t>国有</w:t>
            </w:r>
            <w:r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  <w:highlight w:val="none"/>
              </w:rPr>
              <w:t>资本经营预算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</w:rPr>
              <w:t>一、财政拨款（补助）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 xml:space="preserve"> 一般公共预算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 xml:space="preserve"> 政府性基金预算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国有资本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经营预算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204 公共安全支出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209 社会保险基金支出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 医疗卫生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与计划生育支出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223 国有资本经营预算支出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234 抗疫特别国债还本支出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总  计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/>
              </w:rPr>
              <w:t>85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表五：</w:t>
      </w:r>
    </w:p>
    <w:tbl>
      <w:tblPr>
        <w:tblStyle w:val="11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92"/>
        <w:gridCol w:w="537"/>
        <w:gridCol w:w="2390"/>
        <w:gridCol w:w="1684"/>
        <w:gridCol w:w="1842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编制部门（单位）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克孜勒苏柯尔克孜自治州福利彩票发行中心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项   目</w:t>
            </w:r>
          </w:p>
        </w:tc>
        <w:tc>
          <w:tcPr>
            <w:tcW w:w="52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一般公共预算支出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3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6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3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32" w:hanging="632" w:hangingChars="300"/>
              <w:jc w:val="both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00" w:firstLineChars="3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00" w:firstLineChars="3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85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表六：</w:t>
      </w:r>
    </w:p>
    <w:tbl>
      <w:tblPr>
        <w:tblStyle w:val="11"/>
        <w:tblW w:w="9328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77"/>
        <w:gridCol w:w="2891"/>
        <w:gridCol w:w="1701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3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编制部门（单位）：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克孜勒苏柯尔克孜自治州福利彩票发行中心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一般公共预算基本支出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经济分类科目编码</w:t>
            </w:r>
          </w:p>
        </w:tc>
        <w:tc>
          <w:tcPr>
            <w:tcW w:w="28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经济分类科目名称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公用经费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2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147" w:rightChars="7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outlineLvl w:val="1"/>
        <w:rPr>
          <w:rFonts w:hint="default" w:ascii="仿宋_GB2312" w:hAnsi="宋体" w:eastAsia="仿宋_GB2312"/>
          <w:b/>
          <w:kern w:val="0"/>
          <w:sz w:val="28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</w:t>
      </w:r>
      <w:r>
        <w:rPr>
          <w:rFonts w:hint="eastAsia" w:ascii="仿宋_GB2312" w:hAnsi="宋体" w:eastAsia="仿宋_GB2312"/>
          <w:b/>
          <w:kern w:val="0"/>
          <w:sz w:val="28"/>
          <w:szCs w:val="32"/>
          <w:highlight w:val="none"/>
          <w:lang w:eastAsia="zh-CN"/>
        </w:rPr>
        <w:t>本单位</w:t>
      </w:r>
      <w:r>
        <w:rPr>
          <w:rFonts w:hint="eastAsia" w:ascii="仿宋_GB2312" w:hAnsi="宋体" w:eastAsia="仿宋_GB2312"/>
          <w:b/>
          <w:kern w:val="0"/>
          <w:sz w:val="28"/>
          <w:szCs w:val="32"/>
          <w:highlight w:val="none"/>
          <w:lang w:val="en-US" w:eastAsia="zh-CN"/>
        </w:rPr>
        <w:t>2021年</w:t>
      </w:r>
      <w:r>
        <w:rPr>
          <w:rFonts w:hint="eastAsia" w:ascii="仿宋_GB2312" w:hAnsi="宋体" w:eastAsia="仿宋_GB2312"/>
          <w:b/>
          <w:kern w:val="0"/>
          <w:sz w:val="28"/>
          <w:szCs w:val="32"/>
          <w:highlight w:val="none"/>
          <w:lang w:eastAsia="zh-CN"/>
        </w:rPr>
        <w:t>未安排基本支出</w:t>
      </w:r>
      <w:r>
        <w:rPr>
          <w:rFonts w:hint="eastAsia" w:ascii="仿宋_GB2312" w:hAnsi="宋体" w:eastAsia="仿宋_GB2312"/>
          <w:b/>
          <w:kern w:val="0"/>
          <w:sz w:val="28"/>
          <w:szCs w:val="32"/>
          <w:highlight w:val="none"/>
          <w:lang w:val="en-US" w:eastAsia="zh-CN"/>
        </w:rPr>
        <w:t>.</w:t>
      </w:r>
    </w:p>
    <w:p>
      <w:pPr>
        <w:widowControl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表七：</w:t>
      </w:r>
    </w:p>
    <w:tbl>
      <w:tblPr>
        <w:tblStyle w:val="11"/>
        <w:tblW w:w="9540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535"/>
        <w:gridCol w:w="465"/>
        <w:gridCol w:w="435"/>
        <w:gridCol w:w="1276"/>
        <w:gridCol w:w="779"/>
        <w:gridCol w:w="750"/>
        <w:gridCol w:w="569"/>
        <w:gridCol w:w="536"/>
        <w:gridCol w:w="652"/>
        <w:gridCol w:w="652"/>
        <w:gridCol w:w="578"/>
        <w:gridCol w:w="419"/>
        <w:gridCol w:w="578"/>
        <w:gridCol w:w="420"/>
        <w:gridCol w:w="420"/>
        <w:gridCol w:w="389"/>
        <w:gridCol w:w="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79" w:type="dxa"/>
          <w:trHeight w:val="375" w:hRule="atLeast"/>
        </w:trPr>
        <w:tc>
          <w:tcPr>
            <w:tcW w:w="945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一般公共预算项目支出情况表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79" w:type="dxa"/>
          <w:trHeight w:val="405" w:hRule="atLeast"/>
        </w:trPr>
        <w:tc>
          <w:tcPr>
            <w:tcW w:w="945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编制部门（单位）：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克孜勒苏柯尔克孜自治州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福利彩票发行中心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3" w:type="dxa"/>
            <w:gridSpan w:val="4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 目 编 码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科目</w:t>
            </w:r>
          </w:p>
        </w:tc>
        <w:tc>
          <w:tcPr>
            <w:tcW w:w="779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项目名称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项目支出合计</w:t>
            </w:r>
          </w:p>
        </w:tc>
        <w:tc>
          <w:tcPr>
            <w:tcW w:w="569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536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债务利息及费用支出</w:t>
            </w:r>
          </w:p>
        </w:tc>
        <w:tc>
          <w:tcPr>
            <w:tcW w:w="578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资本性支出（基本建设）</w:t>
            </w:r>
          </w:p>
        </w:tc>
        <w:tc>
          <w:tcPr>
            <w:tcW w:w="419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</w:t>
            </w:r>
          </w:p>
        </w:tc>
        <w:tc>
          <w:tcPr>
            <w:tcW w:w="578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对企业补助（基本建设）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对社会保障基金补助</w:t>
            </w:r>
          </w:p>
        </w:tc>
        <w:tc>
          <w:tcPr>
            <w:tcW w:w="468" w:type="dxa"/>
            <w:gridSpan w:val="2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其他支出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5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类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款</w:t>
            </w:r>
          </w:p>
        </w:tc>
        <w:tc>
          <w:tcPr>
            <w:tcW w:w="4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</w:t>
            </w:r>
          </w:p>
        </w:tc>
        <w:tc>
          <w:tcPr>
            <w:tcW w:w="12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3" w:type="dxa"/>
            <w:gridSpan w:val="2"/>
            <w:vAlign w:val="center"/>
          </w:tcPr>
          <w:p>
            <w:pPr>
              <w:widowControl/>
              <w:jc w:val="center"/>
              <w:outlineLvl w:val="1"/>
              <w:rPr>
                <w:rFonts w:hint="default" w:ascii="仿宋_GB2312" w:hAnsi="宋体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229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jc w:val="center"/>
              <w:outlineLvl w:val="1"/>
              <w:rPr>
                <w:rFonts w:hint="default" w:ascii="仿宋_GB2312" w:hAnsi="宋体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outlineLvl w:val="1"/>
              <w:rPr>
                <w:rFonts w:hint="default" w:ascii="仿宋_GB2312" w:hAnsi="宋体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04</w:t>
            </w:r>
          </w:p>
        </w:tc>
        <w:tc>
          <w:tcPr>
            <w:tcW w:w="1276" w:type="dxa"/>
            <w:vAlign w:val="top"/>
          </w:tcPr>
          <w:p>
            <w:pPr>
              <w:widowControl/>
              <w:jc w:val="left"/>
              <w:outlineLvl w:val="1"/>
              <w:rPr>
                <w:rFonts w:hint="eastAsia" w:ascii="仿宋_GB2312" w:hAnsi="宋体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福利彩票销售机构的业务费支出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仿宋_GB2312" w:hAnsi="宋体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0"/>
                <w:lang w:val="en-US" w:eastAsia="zh-CN" w:bidi="ar-SA"/>
              </w:rPr>
              <w:t>业务经费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outlineLvl w:val="1"/>
              <w:rPr>
                <w:rFonts w:hint="default" w:ascii="仿宋_GB2312" w:hAnsi="宋体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52" w:type="dxa"/>
            <w:vAlign w:val="center"/>
          </w:tcPr>
          <w:p>
            <w:pPr>
              <w:widowControl/>
              <w:jc w:val="center"/>
              <w:outlineLvl w:val="1"/>
              <w:rPr>
                <w:rFonts w:hint="default" w:ascii="仿宋_GB2312" w:hAnsi="宋体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3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27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77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3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27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77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3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27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77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3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27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77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3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27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77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3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27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77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3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27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77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3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27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77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3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27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77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3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27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77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3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77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6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3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27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77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3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27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77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3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27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Cs w:val="21"/>
              </w:rPr>
              <w:t>合 计</w:t>
            </w:r>
          </w:p>
        </w:tc>
        <w:tc>
          <w:tcPr>
            <w:tcW w:w="750" w:type="dxa"/>
            <w:vAlign w:val="bottom"/>
          </w:tcPr>
          <w:p>
            <w:pPr>
              <w:widowControl/>
              <w:jc w:val="center"/>
              <w:outlineLvl w:val="1"/>
              <w:rPr>
                <w:rFonts w:hint="default" w:ascii="仿宋_GB2312" w:hAnsi="宋体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569" w:type="dxa"/>
            <w:vAlign w:val="bottom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536" w:type="dxa"/>
            <w:vAlign w:val="bottom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vAlign w:val="bottom"/>
          </w:tcPr>
          <w:p>
            <w:pPr>
              <w:widowControl/>
              <w:jc w:val="center"/>
              <w:outlineLvl w:val="1"/>
              <w:rPr>
                <w:rFonts w:hint="default" w:ascii="仿宋_GB2312" w:hAnsi="宋体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表八：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一般公共预算“三公”经费支出情况表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编制部门（单位）：  克孜勒苏柯尔克孜自治州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福利彩票发行中心</w:t>
      </w:r>
      <w:r>
        <w:rPr>
          <w:rFonts w:hint="eastAsia" w:ascii="仿宋_GB2312" w:hAnsi="宋体" w:eastAsia="仿宋_GB2312"/>
          <w:kern w:val="0"/>
          <w:sz w:val="24"/>
        </w:rPr>
        <w:t xml:space="preserve"> 单位：万元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 xml:space="preserve">                                             </w:t>
      </w:r>
    </w:p>
    <w:tbl>
      <w:tblPr>
        <w:tblStyle w:val="11"/>
        <w:tblW w:w="9240" w:type="dxa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7"/>
        <w:gridCol w:w="1559"/>
        <w:gridCol w:w="1418"/>
        <w:gridCol w:w="1559"/>
        <w:gridCol w:w="17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b/>
          <w:kern w:val="0"/>
          <w:sz w:val="32"/>
          <w:szCs w:val="32"/>
          <w:highlight w:val="green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</w:t>
      </w:r>
      <w:r>
        <w:rPr>
          <w:rFonts w:hint="eastAsia" w:ascii="仿宋_GB2312" w:hAnsi="宋体" w:eastAsia="仿宋_GB2312"/>
          <w:b/>
          <w:kern w:val="0"/>
          <w:sz w:val="28"/>
          <w:szCs w:val="32"/>
          <w:highlight w:val="none"/>
          <w:lang w:eastAsia="zh-CN"/>
        </w:rPr>
        <w:t>本单位</w:t>
      </w:r>
      <w:r>
        <w:rPr>
          <w:rFonts w:hint="eastAsia" w:ascii="仿宋_GB2312" w:hAnsi="宋体" w:eastAsia="仿宋_GB2312"/>
          <w:b/>
          <w:kern w:val="0"/>
          <w:sz w:val="28"/>
          <w:szCs w:val="32"/>
          <w:highlight w:val="none"/>
          <w:lang w:val="en-US" w:eastAsia="zh-CN"/>
        </w:rPr>
        <w:t>2021年</w:t>
      </w:r>
      <w:r>
        <w:rPr>
          <w:rFonts w:hint="eastAsia" w:ascii="仿宋_GB2312" w:hAnsi="宋体" w:eastAsia="仿宋_GB2312"/>
          <w:b/>
          <w:kern w:val="0"/>
          <w:sz w:val="28"/>
          <w:szCs w:val="32"/>
          <w:highlight w:val="none"/>
          <w:lang w:eastAsia="zh-CN"/>
        </w:rPr>
        <w:t>未安排“三公”经费相关支出。</w:t>
      </w:r>
    </w:p>
    <w:p>
      <w:pPr>
        <w:widowControl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表九：</w:t>
      </w:r>
    </w:p>
    <w:p>
      <w:pPr>
        <w:widowControl/>
        <w:spacing w:line="280" w:lineRule="exact"/>
        <w:jc w:val="center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政府性基金预算支出情况表</w:t>
      </w:r>
    </w:p>
    <w:p>
      <w:pPr>
        <w:widowControl/>
        <w:spacing w:line="280" w:lineRule="exact"/>
        <w:jc w:val="both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编制部门（单位）：克孜勒苏柯尔克孜自治州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福利彩票发行中心</w:t>
      </w:r>
      <w:r>
        <w:rPr>
          <w:rFonts w:hint="eastAsia" w:ascii="仿宋_GB2312" w:hAnsi="宋体" w:eastAsia="仿宋_GB2312"/>
          <w:kern w:val="0"/>
          <w:sz w:val="24"/>
        </w:rPr>
        <w:t xml:space="preserve">  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kern w:val="0"/>
          <w:sz w:val="24"/>
        </w:rPr>
        <w:t>单位：万元</w:t>
      </w:r>
    </w:p>
    <w:p>
      <w:pPr>
        <w:widowControl/>
        <w:spacing w:line="280" w:lineRule="exact"/>
        <w:jc w:val="center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 xml:space="preserve">                                           </w:t>
      </w:r>
    </w:p>
    <w:tbl>
      <w:tblPr>
        <w:tblStyle w:val="11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57"/>
        <w:gridCol w:w="699"/>
        <w:gridCol w:w="2544"/>
        <w:gridCol w:w="1669"/>
        <w:gridCol w:w="1701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  目</w:t>
            </w:r>
          </w:p>
        </w:tc>
        <w:tc>
          <w:tcPr>
            <w:tcW w:w="4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政府性基金预算支出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5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6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合 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基本支出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类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款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25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229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04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left="630" w:hanging="630" w:hangingChars="300"/>
              <w:jc w:val="left"/>
              <w:outlineLvl w:val="1"/>
              <w:rPr>
                <w:rFonts w:hint="eastAsia" w:ascii="仿宋_GB2312" w:hAnsi="宋体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福利彩票销售机构的业务费支出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spacing w:line="280" w:lineRule="exact"/>
        <w:outlineLvl w:val="1"/>
        <w:rPr>
          <w:rFonts w:ascii="仿宋_GB2312" w:hAnsi="宋体" w:eastAsia="仿宋_GB2312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18" w:bottom="1928" w:left="1588" w:header="851" w:footer="992" w:gutter="0"/>
          <w:pgNumType w:fmt="numberInDash"/>
          <w:cols w:space="720" w:num="1"/>
          <w:docGrid w:linePitch="312" w:charSpace="0"/>
        </w:sectPr>
      </w:pPr>
    </w:p>
    <w:p>
      <w:pPr>
        <w:numPr>
          <w:ilvl w:val="0"/>
          <w:numId w:val="0"/>
        </w:numPr>
        <w:spacing w:line="560" w:lineRule="exact"/>
        <w:ind w:left="2558" w:leftChars="304" w:hanging="1920" w:hangingChars="600"/>
        <w:jc w:val="center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第三部分 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黑体" w:eastAsia="黑体"/>
          <w:kern w:val="0"/>
          <w:sz w:val="32"/>
          <w:szCs w:val="32"/>
        </w:rPr>
        <w:t>年克孜勒苏柯尔克孜自治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州福利彩票</w:t>
      </w:r>
    </w:p>
    <w:p>
      <w:pPr>
        <w:numPr>
          <w:ilvl w:val="0"/>
          <w:numId w:val="0"/>
        </w:numPr>
        <w:spacing w:line="560" w:lineRule="exact"/>
        <w:ind w:left="2558" w:leftChars="304" w:hanging="1920" w:hangingChars="600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发行中心</w:t>
      </w:r>
      <w:r>
        <w:rPr>
          <w:rFonts w:hint="eastAsia" w:ascii="黑体" w:hAnsi="黑体" w:eastAsia="黑体"/>
          <w:kern w:val="0"/>
          <w:sz w:val="32"/>
          <w:szCs w:val="32"/>
        </w:rPr>
        <w:t>预算情况说明</w:t>
      </w:r>
    </w:p>
    <w:p>
      <w:pPr>
        <w:numPr>
          <w:ilvl w:val="0"/>
          <w:numId w:val="0"/>
        </w:numPr>
        <w:spacing w:line="560" w:lineRule="exact"/>
        <w:ind w:leftChars="304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</w:rPr>
        <w:t>关于</w:t>
      </w:r>
      <w:r>
        <w:rPr>
          <w:rFonts w:hint="eastAsia" w:ascii="黑体" w:hAnsi="黑体" w:eastAsia="黑体"/>
          <w:kern w:val="0"/>
          <w:sz w:val="32"/>
          <w:szCs w:val="32"/>
        </w:rPr>
        <w:t>克孜勒苏柯尔克孜自治州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福利彩票发行中心</w:t>
      </w:r>
    </w:p>
    <w:p>
      <w:pPr>
        <w:numPr>
          <w:ilvl w:val="0"/>
          <w:numId w:val="0"/>
        </w:numPr>
        <w:spacing w:line="560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年收支预算情况的总体说明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照全口径预算的原则，克孜勒苏柯尔克孜自治州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年所有收入和支出均纳入部门（单位）预算管理。收支总预算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收入预算包括：政府性基金预算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85万元。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支出预算包括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：其他支出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85万元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left="1278" w:leftChars="304" w:hanging="640" w:hangingChars="200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关于</w:t>
      </w:r>
      <w:r>
        <w:rPr>
          <w:rFonts w:hint="eastAsia" w:ascii="黑体" w:hAnsi="黑体" w:eastAsia="黑体"/>
          <w:kern w:val="0"/>
          <w:sz w:val="32"/>
          <w:szCs w:val="32"/>
        </w:rPr>
        <w:t>克孜勒苏柯尔克孜自治州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福利彩票发行中心</w:t>
      </w:r>
    </w:p>
    <w:p>
      <w:pPr>
        <w:numPr>
          <w:ilvl w:val="0"/>
          <w:numId w:val="0"/>
        </w:numPr>
        <w:spacing w:line="560" w:lineRule="exact"/>
        <w:ind w:leftChars="104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年收入预算情况说明</w:t>
      </w:r>
    </w:p>
    <w:p>
      <w:pPr>
        <w:spacing w:line="560" w:lineRule="exact"/>
        <w:ind w:left="319" w:leftChars="152"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克孜勒苏柯尔克孜自治州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收入预算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</w:t>
      </w:r>
    </w:p>
    <w:p>
      <w:pPr>
        <w:spacing w:line="560" w:lineRule="exact"/>
        <w:ind w:left="319" w:leftChars="152"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国有资本经营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预算未安排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left="319" w:leftChars="152" w:firstLine="320" w:firstLineChars="1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政府性基金预算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85万元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%，比上年增加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上年无年初预算，今年开始做预算。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spacing w:line="560" w:lineRule="exact"/>
        <w:ind w:left="639" w:leftChars="152" w:hanging="320" w:hangingChars="10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三、关于</w:t>
      </w:r>
      <w:r>
        <w:rPr>
          <w:rFonts w:hint="eastAsia" w:ascii="黑体" w:hAnsi="黑体" w:eastAsia="黑体"/>
          <w:kern w:val="0"/>
          <w:sz w:val="32"/>
          <w:szCs w:val="32"/>
        </w:rPr>
        <w:t>克孜勒苏柯尔克孜自治州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年支出预算情况说明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克孜勒苏柯尔克孜自治州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年支出预算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</w:t>
      </w:r>
    </w:p>
    <w:p>
      <w:pPr>
        <w:spacing w:line="560" w:lineRule="exact"/>
        <w:ind w:left="319" w:leftChars="152" w:firstLine="320" w:firstLineChars="1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%，比上年增加（减少）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上年无年初预算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left="319" w:leftChars="152" w:firstLine="320" w:firstLineChars="100"/>
        <w:rPr>
          <w:rFonts w:ascii="仿宋_GB2312" w:hAnsi="宋体" w:eastAsia="仿宋_GB2312" w:cs="宋体"/>
          <w:b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%，比上年增加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上年无年初预算，今年开始做预算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四、关于</w:t>
      </w:r>
      <w:r>
        <w:rPr>
          <w:rFonts w:hint="eastAsia" w:ascii="黑体" w:hAnsi="黑体" w:eastAsia="黑体"/>
          <w:kern w:val="0"/>
          <w:sz w:val="32"/>
          <w:szCs w:val="32"/>
        </w:rPr>
        <w:t>克孜勒苏柯尔克孜自治州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年财政拨款收支预算情况的总体说明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年财政拨款收支总预算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left="319" w:leftChars="152"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收入预算包括：一般公共预算拨款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万元，政府性基金预算拨款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pStyle w:val="2"/>
        <w:rPr>
          <w:rFonts w:ascii="仿宋_GB2312" w:hAnsi="宋体" w:eastAsia="仿宋_GB2312" w:cs="宋体"/>
          <w:b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支出包括：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其他支出85万元，主要用于福利彩票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工作人员的人员支出及日常公用支出等费用。</w:t>
      </w:r>
    </w:p>
    <w:p>
      <w:pPr>
        <w:spacing w:line="560" w:lineRule="exact"/>
        <w:ind w:left="959" w:leftChars="152" w:hanging="640" w:hanging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五、关于</w:t>
      </w:r>
      <w:r>
        <w:rPr>
          <w:rFonts w:hint="eastAsia" w:ascii="黑体" w:hAnsi="黑体" w:eastAsia="黑体"/>
          <w:kern w:val="0"/>
          <w:sz w:val="32"/>
          <w:szCs w:val="32"/>
        </w:rPr>
        <w:t>克孜勒苏柯尔克孜自治州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年一般公共预算当年拨款情况说明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（一）一般公共预算当年拨款规模变化情况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克孜勒苏柯尔克孜自治州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年一般公共预算拨款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合计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增加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未安排基本支出相关预算，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2020年未纳入预算，所以无法比较数据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（二）一般公共预算当年拨款结构情况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其他支出（类：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229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0万元，占0%。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（三）一般公共预算当年拨款具体使用情况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其他支出</w:t>
      </w:r>
      <w:r>
        <w:rPr>
          <w:rFonts w:ascii="仿宋_GB2312" w:hAnsi="宋体" w:eastAsia="仿宋_GB2312" w:cs="宋体"/>
          <w:kern w:val="0"/>
          <w:sz w:val="32"/>
          <w:szCs w:val="32"/>
        </w:rPr>
        <w:t>（类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229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福利彩票销售机构的业务费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安排的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支出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（款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08）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福利彩票销售机构的业务费支出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04</w:t>
      </w:r>
      <w:r>
        <w:rPr>
          <w:rFonts w:ascii="仿宋_GB2312" w:hAnsi="宋体" w:eastAsia="仿宋_GB2312" w:cs="宋体"/>
          <w:kern w:val="0"/>
          <w:sz w:val="32"/>
          <w:szCs w:val="32"/>
        </w:rPr>
        <w:t>）: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预算增加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一般公共预算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bookmarkStart w:id="2" w:name="_GoBack"/>
      <w:bookmarkEnd w:id="2"/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关于</w:t>
      </w:r>
      <w:r>
        <w:rPr>
          <w:rFonts w:hint="eastAsia" w:ascii="黑体" w:hAnsi="黑体" w:eastAsia="黑体"/>
          <w:kern w:val="0"/>
          <w:sz w:val="32"/>
          <w:szCs w:val="32"/>
        </w:rPr>
        <w:t>克孜勒苏柯尔克孜自治州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年一般公共预算基本支出情况说明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克孜勒苏柯尔克孜自治州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年一般公共预算基本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支出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其中：</w:t>
      </w:r>
    </w:p>
    <w:p>
      <w:pPr>
        <w:pStyle w:val="2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-SA"/>
        </w:rPr>
        <w:t>人员经费0万元。</w:t>
      </w:r>
    </w:p>
    <w:p>
      <w:pPr>
        <w:ind w:firstLine="640" w:firstLineChars="200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-SA"/>
        </w:rPr>
        <w:t>公用经费0万元</w:t>
      </w:r>
    </w:p>
    <w:p>
      <w:pPr>
        <w:numPr>
          <w:ilvl w:val="0"/>
          <w:numId w:val="2"/>
        </w:numPr>
        <w:spacing w:line="560" w:lineRule="exact"/>
        <w:ind w:left="0" w:leftChars="0" w:firstLine="640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关于</w:t>
      </w:r>
      <w:r>
        <w:rPr>
          <w:rFonts w:hint="eastAsia" w:ascii="黑体" w:hAnsi="黑体" w:eastAsia="黑体"/>
          <w:kern w:val="0"/>
          <w:sz w:val="32"/>
          <w:szCs w:val="32"/>
        </w:rPr>
        <w:t>克孜勒苏柯尔克孜自治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州福利彩票发行中心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年一般公共预算项目支出情况说明</w:t>
      </w:r>
    </w:p>
    <w:p>
      <w:pPr>
        <w:pStyle w:val="2"/>
        <w:tabs>
          <w:tab w:val="left" w:pos="635"/>
        </w:tabs>
        <w:rPr>
          <w:rFonts w:hint="eastAsia" w:ascii="仿宋_GB2312" w:hAnsi="黑体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  <w:t>情况一：（项目支出、专项业务费按下列内容说明）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业务费支出</w:t>
      </w:r>
    </w:p>
    <w:p>
      <w:pPr>
        <w:spacing w:line="560" w:lineRule="exact"/>
        <w:ind w:left="958" w:leftChars="304" w:hanging="320" w:hangingChars="100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设立的政策依据：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克州民政局会议纪要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【20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】第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9期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预算安排规模：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</w:p>
    <w:p>
      <w:pPr>
        <w:spacing w:line="560" w:lineRule="exact"/>
        <w:ind w:left="2878" w:leftChars="304" w:hanging="2240" w:hangingChars="7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项目承担单位：克州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福利彩票发行中心</w:t>
      </w:r>
    </w:p>
    <w:p>
      <w:pPr>
        <w:spacing w:line="560" w:lineRule="exact"/>
        <w:ind w:left="319" w:leftChars="152" w:firstLine="320" w:firstLineChars="1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资金分配情况：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承担全州福利彩票发行中心工作人员工资、社保、公积金和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日常工作正常运行开支，有水、电、暖、物业、办公费、人员差旅费等费用，保证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2021年福利彩票销售目标任务顺利完成提供后勤保障。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资金执行时间：20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年全年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情况二：（</w:t>
      </w:r>
      <w:r>
        <w:rPr>
          <w:rFonts w:ascii="仿宋_GB2312" w:hAnsi="宋体" w:eastAsia="仿宋_GB2312"/>
          <w:b/>
          <w:sz w:val="32"/>
          <w:szCs w:val="22"/>
        </w:rPr>
        <w:t>属于</w:t>
      </w:r>
      <w:r>
        <w:rPr>
          <w:rFonts w:ascii="仿宋_GB2312" w:hAnsi="宋体" w:eastAsia="仿宋_GB2312"/>
          <w:b/>
          <w:spacing w:val="-8"/>
          <w:sz w:val="32"/>
          <w:szCs w:val="22"/>
        </w:rPr>
        <w:t>对个人补贴的项目支出</w:t>
      </w:r>
      <w:r>
        <w:rPr>
          <w:rFonts w:hint="eastAsia" w:ascii="仿宋_GB2312" w:hAnsi="黑体" w:eastAsia="仿宋_GB2312"/>
          <w:b/>
          <w:sz w:val="32"/>
          <w:szCs w:val="32"/>
        </w:rPr>
        <w:t>按下列内容说明）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</w:t>
      </w:r>
      <w:r>
        <w:rPr>
          <w:rFonts w:ascii="仿宋_GB2312" w:hAnsi="黑体" w:eastAsia="仿宋_GB2312"/>
          <w:sz w:val="32"/>
          <w:szCs w:val="32"/>
        </w:rPr>
        <w:t>名称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无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设立的政策依据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无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预算安排规模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无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项目承担单位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无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资金分配情况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无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资金执行时间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无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2"/>
        </w:rPr>
      </w:pPr>
      <w:r>
        <w:rPr>
          <w:rFonts w:ascii="仿宋_GB2312" w:hAnsi="宋体" w:eastAsia="仿宋_GB2312"/>
          <w:sz w:val="32"/>
          <w:szCs w:val="22"/>
        </w:rPr>
        <w:t>资金来源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无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2"/>
        </w:rPr>
      </w:pPr>
      <w:r>
        <w:rPr>
          <w:rFonts w:ascii="仿宋_GB2312" w:hAnsi="宋体" w:eastAsia="仿宋_GB2312"/>
          <w:sz w:val="32"/>
          <w:szCs w:val="22"/>
        </w:rPr>
        <w:t>补贴人数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无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2"/>
        </w:rPr>
      </w:pPr>
      <w:r>
        <w:rPr>
          <w:rFonts w:ascii="仿宋_GB2312" w:hAnsi="宋体" w:eastAsia="仿宋_GB2312"/>
          <w:sz w:val="32"/>
          <w:szCs w:val="22"/>
        </w:rPr>
        <w:t>补贴标准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无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2"/>
        </w:rPr>
      </w:pPr>
      <w:r>
        <w:rPr>
          <w:rFonts w:ascii="仿宋_GB2312" w:hAnsi="宋体" w:eastAsia="仿宋_GB2312"/>
          <w:sz w:val="32"/>
          <w:szCs w:val="22"/>
        </w:rPr>
        <w:t>补贴范围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无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/>
          <w:sz w:val="32"/>
          <w:szCs w:val="22"/>
        </w:rPr>
        <w:t>补贴方式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无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发放程序：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无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/>
          <w:sz w:val="32"/>
          <w:szCs w:val="22"/>
        </w:rPr>
        <w:t>受益人群和社会效益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无</w:t>
      </w:r>
    </w:p>
    <w:p>
      <w:pPr>
        <w:spacing w:line="560" w:lineRule="exact"/>
        <w:ind w:left="320" w:hanging="320" w:hangingChars="1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八、关于</w:t>
      </w:r>
      <w:r>
        <w:rPr>
          <w:rFonts w:hint="eastAsia" w:ascii="黑体" w:hAnsi="黑体" w:eastAsia="黑体"/>
          <w:kern w:val="0"/>
          <w:sz w:val="32"/>
          <w:szCs w:val="32"/>
        </w:rPr>
        <w:t>克孜勒苏柯尔克孜自治州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年一般公共预算“三公”经费预算情况说明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克孜勒苏柯尔克孜自治州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年一般公共预算“三公”经费数为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万元，其中：因公出国（境）费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万元，公务用车购置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万元，公务用车运行费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万元，公务接待费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black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scaled="0"/>
            </w14:gradFill>
          </w14:textFill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年一般公共预算“三公”经费比上年增加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万元，其中：因公出国（境）费增加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是未安排预算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；公务用车购置费为0，未安排预算；公务用车运行费增加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未安排预算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；公务接待费增加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未安排预算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line="560" w:lineRule="exact"/>
        <w:ind w:left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九、</w:t>
      </w:r>
      <w:r>
        <w:rPr>
          <w:rFonts w:hint="eastAsia" w:ascii="黑体" w:hAnsi="宋体" w:eastAsia="黑体" w:cs="宋体"/>
          <w:kern w:val="0"/>
          <w:sz w:val="32"/>
          <w:szCs w:val="32"/>
        </w:rPr>
        <w:t>关于</w:t>
      </w:r>
      <w:r>
        <w:rPr>
          <w:rFonts w:hint="eastAsia" w:ascii="黑体" w:hAnsi="黑体" w:eastAsia="黑体"/>
          <w:kern w:val="0"/>
          <w:sz w:val="32"/>
          <w:szCs w:val="32"/>
        </w:rPr>
        <w:t>克孜勒苏柯尔克孜自治州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年政府性基金预算拨款情况说明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克孜勒苏柯尔克孜自治州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年政府性基金支出预算支出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万元。与上年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上年无做预算安排。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十、其他重要事项的情况说明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（一）机关运行经费情况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年，克孜勒苏柯尔克孜自治州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本家行政单位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和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家事业单位的机关运行经费财政拨款预算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万元，比上年预算增加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（二）政府采购情况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年，克孜勒苏柯尔克孜自治州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采购预算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万元，其中：政府采购货物预算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万元，政府采购工程预算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万元，政府采购服务预算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2021</w:t>
      </w:r>
      <w:r>
        <w:rPr>
          <w:rFonts w:hint="eastAsia" w:ascii="仿宋_GB2312" w:hAnsi="仿宋_GB2312" w:eastAsia="仿宋_GB2312"/>
          <w:sz w:val="32"/>
        </w:rPr>
        <w:t>年度本部门（单位）面向中小企业预留政府采</w:t>
      </w:r>
      <w:r>
        <w:rPr>
          <w:rFonts w:hint="eastAsia" w:ascii="仿宋_GB2312" w:hAnsi="仿宋_GB2312" w:eastAsia="仿宋_GB2312"/>
          <w:sz w:val="32"/>
          <w:lang w:val="en-US" w:eastAsia="zh-CN"/>
        </w:rPr>
        <w:t>0</w:t>
      </w:r>
      <w:r>
        <w:rPr>
          <w:rFonts w:hint="eastAsia" w:ascii="仿宋_GB2312" w:hAnsi="仿宋_GB2312" w:eastAsia="仿宋_GB2312"/>
          <w:sz w:val="32"/>
        </w:rPr>
        <w:t>万元</w:t>
      </w:r>
      <w:r>
        <w:rPr>
          <w:rFonts w:hint="eastAsia" w:ascii="仿宋_GB2312" w:hAnsi="仿宋_GB2312" w:eastAsia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/>
          <w:sz w:val="32"/>
        </w:rPr>
        <w:t xml:space="preserve">购项目预算金额 </w:t>
      </w:r>
      <w:r>
        <w:rPr>
          <w:rFonts w:hint="eastAsia" w:ascii="仿宋_GB2312" w:hAnsi="仿宋_GB2312" w:eastAsia="仿宋_GB2312"/>
          <w:sz w:val="32"/>
          <w:lang w:val="en-US" w:eastAsia="zh-CN"/>
        </w:rPr>
        <w:t>0</w:t>
      </w:r>
      <w:r>
        <w:rPr>
          <w:rFonts w:hint="eastAsia" w:ascii="仿宋_GB2312" w:hAnsi="仿宋_GB2312" w:eastAsia="仿宋_GB2312"/>
          <w:sz w:val="32"/>
        </w:rPr>
        <w:t>万元，其中：面向小微企业预留政府采购项目预算金额</w:t>
      </w:r>
      <w:r>
        <w:rPr>
          <w:rFonts w:hint="eastAsia" w:ascii="仿宋_GB2312" w:hAnsi="仿宋_GB2312" w:eastAsia="仿宋_GB2312"/>
          <w:sz w:val="32"/>
          <w:lang w:val="en-US" w:eastAsia="zh-CN"/>
        </w:rPr>
        <w:t>0</w:t>
      </w:r>
      <w:r>
        <w:rPr>
          <w:rFonts w:hint="eastAsia" w:ascii="仿宋_GB2312" w:hAnsi="仿宋_GB2312" w:eastAsia="仿宋_GB2312"/>
          <w:sz w:val="32"/>
        </w:rPr>
        <w:t xml:space="preserve"> 万元。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（三）国有资产占用使用情况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截至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年底，克孜勒苏柯尔克孜自治州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福利彩票发行中心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及下属各预算单位占用使用国有资产总体情况为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1.房屋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平方米，价值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2.车辆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辆，价值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万元；其中：一般公务用车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辆，价值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万元；执法执勤用车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辆，价值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万元；其他车辆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辆，价值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3.办公家具价值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4.其他资产价值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单位价值50万元以上大型设备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台（套），单位价值100万元以上大型设备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台（套）。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年部门（单位）预算未安排购置车辆经费（或安排购置车辆经费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万元），安排购置50万元以上大型设备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台（套），单位价值100万元以上大型设备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台（套）。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（四）预算绩效情况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年度，本年度实行绩效管理的一般公共预算项目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个，涉及预算金额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万元。具体情况见下表（按项目分别填报）：</w:t>
      </w:r>
    </w:p>
    <w:tbl>
      <w:tblPr>
        <w:tblStyle w:val="11"/>
        <w:tblW w:w="85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628"/>
        <w:gridCol w:w="958"/>
        <w:gridCol w:w="1427"/>
        <w:gridCol w:w="887"/>
        <w:gridCol w:w="1549"/>
        <w:gridCol w:w="114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7" w:hRule="atLeast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480" w:lineRule="exact"/>
              <w:ind w:firstLine="964" w:firstLineChars="3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480" w:lineRule="exact"/>
              <w:ind w:firstLine="964" w:firstLineChars="3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480" w:lineRule="exact"/>
              <w:ind w:firstLine="964" w:firstLineChars="3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480" w:lineRule="exact"/>
              <w:ind w:firstLine="964" w:firstLineChars="3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480" w:lineRule="exact"/>
              <w:ind w:firstLine="964" w:firstLineChars="3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480" w:lineRule="exact"/>
              <w:ind w:firstLine="964" w:firstLineChars="3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480" w:lineRule="exact"/>
              <w:ind w:firstLine="964" w:firstLineChars="3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480" w:lineRule="exact"/>
              <w:ind w:firstLine="964" w:firstLineChars="3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480" w:lineRule="exact"/>
              <w:ind w:firstLine="964" w:firstLineChars="3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480" w:lineRule="exact"/>
              <w:ind w:firstLine="964" w:firstLineChars="3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480" w:lineRule="exact"/>
              <w:ind w:firstLine="964" w:firstLineChars="3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480" w:lineRule="exact"/>
              <w:ind w:firstLine="964" w:firstLineChars="3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480" w:lineRule="exact"/>
              <w:ind w:firstLine="964" w:firstLineChars="300"/>
              <w:jc w:val="both"/>
              <w:textAlignment w:val="bottom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  目  支  出  绩  效  目  标  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（2021年）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预算单位</w:t>
            </w:r>
          </w:p>
        </w:tc>
        <w:tc>
          <w:tcPr>
            <w:tcW w:w="4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克孜勒苏柯尔克孜自治州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福利彩票发行中心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业务经费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项目资金（万元）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年度资金总额：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其中：财政拨款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85</w:t>
            </w:r>
          </w:p>
        </w:tc>
        <w:tc>
          <w:tcPr>
            <w:tcW w:w="1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</w:t>
            </w:r>
          </w:p>
        </w:tc>
        <w:tc>
          <w:tcPr>
            <w:tcW w:w="11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项目总体目标</w:t>
            </w:r>
          </w:p>
        </w:tc>
        <w:tc>
          <w:tcPr>
            <w:tcW w:w="75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spacing w:line="480" w:lineRule="exact"/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保障我中心日常工作正常运行开支，有水、电、物业、办公费、人员差旅费等，保证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2021年福利彩票销售目标任务顺利完成提供后勤保障。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一级指标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二级指标</w:t>
            </w: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三级指标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指标值（包含数字及文字描述）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数量指标</w:t>
            </w: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彩票保障人员人数（人）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保障车辆数（辆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地区本级财政公益金收入（万元）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质量指标</w:t>
            </w: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彩票库存账实相符率(%)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=100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时效指标</w:t>
            </w: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资金拨付及时率（%）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成本指标</w:t>
            </w: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销售业务及机构运行经费（万元）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24"/>
                <w:rFonts w:hint="eastAsia"/>
                <w:sz w:val="21"/>
                <w:szCs w:val="21"/>
                <w:lang w:val="en-US" w:eastAsia="zh-CN" w:bidi="ar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经济效益指标</w:t>
            </w: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保证2021年日常业务正常运转，增加彩票发行费收入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有所提高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社会效益指标</w:t>
            </w: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提升社会公益事业的贡献度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有效提升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生态效益指标</w:t>
            </w: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可持续影响指标</w:t>
            </w: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满意度指标</w:t>
            </w: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代销者满意度（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≧90</w:t>
            </w:r>
          </w:p>
        </w:tc>
      </w:tr>
    </w:tbl>
    <w:p>
      <w:pPr>
        <w:widowControl/>
        <w:spacing w:line="48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8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8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8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8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80" w:lineRule="exact"/>
        <w:rPr>
          <w:rFonts w:ascii="仿宋_GB2312" w:hAnsi="宋体" w:eastAsia="仿宋_GB2312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 w:start="24"/>
          <w:cols w:space="720" w:num="1"/>
          <w:docGrid w:type="lines" w:linePitch="312" w:charSpace="0"/>
        </w:sectPr>
      </w:pPr>
    </w:p>
    <w:p>
      <w:pPr>
        <w:widowControl/>
        <w:spacing w:line="48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（五）其他需说明的事项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克孜勒苏柯尔克孜自治州福利彩票发行中心无其他说明事项</w:t>
      </w:r>
    </w:p>
    <w:p>
      <w:pPr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8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before="217" w:beforeLines="50" w:line="52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第四部分  名词解释</w:t>
      </w:r>
    </w:p>
    <w:p>
      <w:pPr>
        <w:widowControl/>
        <w:spacing w:before="217" w:beforeLines="50" w:line="52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pacing w:line="52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名词解释：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一、财政拨款：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指由政府性基金预算安排的财政拨款数。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、其他资金：</w:t>
      </w:r>
      <w:r>
        <w:rPr>
          <w:rFonts w:hint="eastAsia" w:ascii="仿宋_GB2312" w:eastAsia="仿宋_GB2312"/>
          <w:sz w:val="32"/>
          <w:szCs w:val="32"/>
        </w:rPr>
        <w:t>包括其他收入。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、基本支出：</w:t>
      </w:r>
      <w:r>
        <w:rPr>
          <w:rFonts w:hint="eastAsia" w:ascii="仿宋_GB2312" w:eastAsia="仿宋_GB2312"/>
          <w:sz w:val="32"/>
          <w:szCs w:val="32"/>
        </w:rPr>
        <w:t>包括人员经费、商品和服务支出（定额）。其中，人员经费包括工资福利支出、对个人和家庭的补助。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、项目支出：</w:t>
      </w:r>
      <w:r>
        <w:rPr>
          <w:rFonts w:hint="eastAsia" w:ascii="仿宋_GB2312" w:eastAsia="仿宋_GB2312"/>
          <w:sz w:val="32"/>
          <w:szCs w:val="32"/>
        </w:rPr>
        <w:t>部门（单位）支出预算的组成部分，是自治区本级部门（单位）为完成其特定的行政任务或事业发展目标，在基本支出预算之外编制的年度项目支出计划。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2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克孜勒苏柯尔克孜自治州福利彩票发行中心</w:t>
      </w:r>
    </w:p>
    <w:p>
      <w:pPr>
        <w:widowControl/>
        <w:spacing w:line="52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5日</w:t>
      </w:r>
    </w:p>
    <w:p>
      <w:pPr>
        <w:spacing w:line="600" w:lineRule="exact"/>
        <w:jc w:val="both"/>
        <w:rPr>
          <w:rFonts w:ascii="仿宋_GB2312" w:eastAsia="仿宋_GB2312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2041" w:right="1276" w:bottom="2041" w:left="1276" w:header="851" w:footer="1814" w:gutter="0"/>
      <w:pgNumType w:fmt="numberInDash"/>
      <w:cols w:space="720" w:num="1"/>
      <w:docGrid w:type="lines" w:linePitch="435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20 -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631" w:y="37"/>
      <w:jc w:val="right"/>
      <w:rPr>
        <w:rStyle w:val="10"/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Style w:val="10"/>
        <w:rFonts w:ascii="宋体" w:hAnsi="宋体" w:eastAsia="宋体"/>
        <w:sz w:val="28"/>
      </w:rPr>
      <w:instrText xml:space="preserve"> PAGE </w:instrText>
    </w:r>
    <w:r>
      <w:rPr>
        <w:rFonts w:ascii="宋体" w:hAnsi="宋体" w:eastAsia="宋体"/>
        <w:sz w:val="28"/>
      </w:rPr>
      <w:fldChar w:fldCharType="separate"/>
    </w:r>
    <w:r>
      <w:rPr>
        <w:rStyle w:val="10"/>
        <w:rFonts w:ascii="宋体" w:hAnsi="宋体" w:eastAsia="宋体"/>
        <w:sz w:val="28"/>
      </w:rPr>
      <w:t>- 33 -</w:t>
    </w:r>
    <w:r>
      <w:rPr>
        <w:rFonts w:ascii="宋体" w:hAnsi="宋体" w:eastAsia="宋体"/>
        <w:sz w:val="28"/>
      </w:rPr>
      <w:fldChar w:fldCharType="end"/>
    </w:r>
    <w:r>
      <w:rPr>
        <w:rStyle w:val="10"/>
        <w:rFonts w:hint="eastAsia" w:ascii="宋体" w:hAnsi="宋体" w:eastAsia="宋体"/>
        <w:sz w:val="28"/>
      </w:rPr>
      <w:t xml:space="preserve"> </w:t>
    </w:r>
  </w:p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756" w:y="37"/>
      <w:rPr>
        <w:rStyle w:val="10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- 34 -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03C143"/>
    <w:multiLevelType w:val="singleLevel"/>
    <w:tmpl w:val="8003C14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F932BD"/>
    <w:multiLevelType w:val="singleLevel"/>
    <w:tmpl w:val="4BF932B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21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BF"/>
    <w:rsid w:val="00054ABF"/>
    <w:rsid w:val="0009522A"/>
    <w:rsid w:val="000C2AA9"/>
    <w:rsid w:val="00121764"/>
    <w:rsid w:val="001662FE"/>
    <w:rsid w:val="00172C01"/>
    <w:rsid w:val="00186398"/>
    <w:rsid w:val="001D3009"/>
    <w:rsid w:val="002166BA"/>
    <w:rsid w:val="00324290"/>
    <w:rsid w:val="00396814"/>
    <w:rsid w:val="003B4B5F"/>
    <w:rsid w:val="003C61E3"/>
    <w:rsid w:val="00432267"/>
    <w:rsid w:val="004422D6"/>
    <w:rsid w:val="00493EEC"/>
    <w:rsid w:val="004C06DA"/>
    <w:rsid w:val="004F62F9"/>
    <w:rsid w:val="00520D5A"/>
    <w:rsid w:val="006A3660"/>
    <w:rsid w:val="006B6A8C"/>
    <w:rsid w:val="007219F8"/>
    <w:rsid w:val="007E2CEA"/>
    <w:rsid w:val="009035BA"/>
    <w:rsid w:val="00950B98"/>
    <w:rsid w:val="0096028F"/>
    <w:rsid w:val="0099744C"/>
    <w:rsid w:val="009C6198"/>
    <w:rsid w:val="00A9706D"/>
    <w:rsid w:val="00BA582F"/>
    <w:rsid w:val="00C117E5"/>
    <w:rsid w:val="00CA4E1E"/>
    <w:rsid w:val="00CE5389"/>
    <w:rsid w:val="00DC05BF"/>
    <w:rsid w:val="00E569BC"/>
    <w:rsid w:val="00EF4090"/>
    <w:rsid w:val="00F23808"/>
    <w:rsid w:val="00F54FE8"/>
    <w:rsid w:val="00F830A1"/>
    <w:rsid w:val="00F83503"/>
    <w:rsid w:val="00F90952"/>
    <w:rsid w:val="01AE1103"/>
    <w:rsid w:val="0CAE01CA"/>
    <w:rsid w:val="1C427A2E"/>
    <w:rsid w:val="30817D37"/>
    <w:rsid w:val="43631A72"/>
    <w:rsid w:val="4D231934"/>
    <w:rsid w:val="5F887051"/>
    <w:rsid w:val="60530DD4"/>
    <w:rsid w:val="7BE97E01"/>
    <w:rsid w:val="7C1B45E1"/>
    <w:rsid w:val="7DE6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ind w:firstLine="200" w:firstLineChars="200"/>
      <w:outlineLvl w:val="2"/>
    </w:pPr>
    <w:rPr>
      <w:rFonts w:ascii="仿宋" w:hAnsi="仿宋" w:cs="宋体"/>
      <w:color w:val="FF0000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Indent 3"/>
    <w:basedOn w:val="1"/>
    <w:link w:val="16"/>
    <w:qFormat/>
    <w:uiPriority w:val="0"/>
    <w:pPr>
      <w:pBdr>
        <w:top w:val="single" w:color="auto" w:sz="12" w:space="1"/>
        <w:bottom w:val="single" w:color="auto" w:sz="12" w:space="1"/>
      </w:pBdr>
      <w:spacing w:line="600" w:lineRule="exact"/>
      <w:ind w:left="1280" w:hanging="1280" w:hangingChars="400"/>
    </w:pPr>
    <w:rPr>
      <w:rFonts w:eastAsia="仿宋_GB2312" w:asciiTheme="minorHAnsi" w:hAnsiTheme="minorHAnsi" w:cstheme="minorBidi"/>
      <w:sz w:val="32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rFonts w:cs="Times New Roman"/>
      <w:b/>
      <w:bCs/>
    </w:rPr>
  </w:style>
  <w:style w:type="character" w:styleId="10">
    <w:name w:val="page number"/>
    <w:basedOn w:val="8"/>
    <w:qFormat/>
    <w:uiPriority w:val="0"/>
  </w:style>
  <w:style w:type="table" w:styleId="12">
    <w:name w:val="Table Grid"/>
    <w:basedOn w:val="11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link w:val="3"/>
    <w:semiHidden/>
    <w:qFormat/>
    <w:uiPriority w:val="0"/>
    <w:rPr>
      <w:sz w:val="18"/>
      <w:szCs w:val="18"/>
    </w:rPr>
  </w:style>
  <w:style w:type="character" w:customStyle="1" w:styleId="16">
    <w:name w:val="正文文本缩进 3 字符"/>
    <w:link w:val="6"/>
    <w:qFormat/>
    <w:uiPriority w:val="0"/>
    <w:rPr>
      <w:rFonts w:eastAsia="仿宋_GB2312"/>
      <w:sz w:val="32"/>
      <w:szCs w:val="24"/>
    </w:rPr>
  </w:style>
  <w:style w:type="paragraph" w:customStyle="1" w:styleId="17">
    <w:name w:val="普通(网站)2"/>
    <w:basedOn w:val="1"/>
    <w:qFormat/>
    <w:uiPriority w:val="0"/>
    <w:rPr>
      <w:rFonts w:ascii="Calibri" w:hAnsi="Calibri" w:cs="黑体"/>
      <w:sz w:val="24"/>
    </w:rPr>
  </w:style>
  <w:style w:type="character" w:customStyle="1" w:styleId="18">
    <w:name w:val="正文文本缩进 3 字符1"/>
    <w:basedOn w:val="8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普通(网站)3"/>
    <w:basedOn w:val="1"/>
    <w:qFormat/>
    <w:uiPriority w:val="0"/>
    <w:rPr>
      <w:rFonts w:ascii="Calibri" w:hAnsi="Calibri" w:cs="黑体"/>
      <w:sz w:val="24"/>
    </w:rPr>
  </w:style>
  <w:style w:type="character" w:customStyle="1" w:styleId="21">
    <w:name w:val="批注框文本 字符1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f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paragraph" w:customStyle="1" w:styleId="23">
    <w:name w:val="普通(网站)1"/>
    <w:basedOn w:val="1"/>
    <w:uiPriority w:val="0"/>
    <w:rPr>
      <w:rFonts w:ascii="Calibri" w:hAnsi="Calibri" w:cs="黑体"/>
      <w:sz w:val="24"/>
    </w:rPr>
  </w:style>
  <w:style w:type="character" w:customStyle="1" w:styleId="24">
    <w:name w:val="font0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2455</Words>
  <Characters>13996</Characters>
  <Lines>116</Lines>
  <Paragraphs>32</Paragraphs>
  <TotalTime>7</TotalTime>
  <ScaleCrop>false</ScaleCrop>
  <LinksUpToDate>false</LinksUpToDate>
  <CharactersWithSpaces>16419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2021-02-07T10:41:00Z</dcterms:created>
  <dc:creator>薛理升</dc:creator>
  <cp:lastModifiedBy> ﹏〆学荟緈諨</cp:lastModifiedBy>
  <dcterms:modified xsi:type="dcterms:W3CDTF">2021-02-21T05:01:08Z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