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csmb"/>
      <w:r>
        <w:rPr>
          <w:rFonts w:hint="eastAsia" w:ascii="楷体_GB2312" w:hAnsi="黑体" w:eastAsia="楷体_GB2312"/>
          <w:spacing w:val="-30000"/>
          <w:w w:val="1"/>
          <w:sz w:val="10"/>
          <w:szCs w:val="10"/>
        </w:rPr>
        <w:t>厅领导，本厅有关处室</w:t>
      </w:r>
      <w:bookmarkEnd w:id="0"/>
      <w:bookmarkStart w:id="1" w:name="yinfadanwei"/>
      <w:r>
        <w:rPr>
          <w:rFonts w:hint="eastAsia" w:ascii="楷体_GB2312" w:hAnsi="黑体" w:eastAsia="楷体_GB2312"/>
          <w:spacing w:val="-30000"/>
          <w:w w:val="1"/>
          <w:sz w:val="10"/>
          <w:szCs w:val="10"/>
        </w:rPr>
        <w:t>新疆维吾尔自治</w:t>
      </w:r>
      <w:bookmarkEnd w:id="1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hint="eastAsia" w:ascii="方正小标宋_GBK" w:hAnsi="宋体" w:eastAsia="方正小标宋_GBK"/>
          <w:kern w:val="0"/>
          <w:sz w:val="44"/>
          <w:szCs w:val="44"/>
          <w:lang w:val="en-US" w:eastAsia="zh-CN"/>
        </w:rPr>
      </w:pPr>
      <w:bookmarkStart w:id="2" w:name="_GoBack"/>
      <w:r>
        <w:rPr>
          <w:rFonts w:hint="eastAsia" w:ascii="方正小标宋_GBK" w:hAnsi="宋体" w:eastAsia="方正小标宋_GBK"/>
          <w:kern w:val="0"/>
          <w:sz w:val="44"/>
          <w:szCs w:val="44"/>
        </w:rPr>
        <w:t>克孜勒苏柯尔克孜自治州</w:t>
      </w:r>
      <w:r>
        <w:rPr>
          <w:rFonts w:hint="eastAsia" w:ascii="方正小标宋_GBK" w:hAnsi="宋体" w:eastAsia="方正小标宋_GBK"/>
          <w:kern w:val="0"/>
          <w:sz w:val="44"/>
          <w:szCs w:val="44"/>
          <w:lang w:val="en-US" w:eastAsia="zh-CN"/>
        </w:rPr>
        <w:t>社会保险管理局</w:t>
      </w:r>
    </w:p>
    <w:bookmarkEnd w:id="2"/>
    <w:p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  <w:lang w:val="en-US" w:eastAsia="zh-CN"/>
        </w:rPr>
        <w:t>2021</w:t>
      </w:r>
      <w:r>
        <w:rPr>
          <w:rFonts w:hint="eastAsia" w:ascii="方正小标宋_GBK" w:hAnsi="宋体" w:eastAsia="方正小标宋_GBK"/>
          <w:kern w:val="0"/>
          <w:sz w:val="44"/>
          <w:szCs w:val="44"/>
        </w:rPr>
        <w:t>年预算公开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pStyle w:val="2"/>
      </w:pPr>
    </w:p>
    <w:p>
      <w:pPr>
        <w:widowControl/>
        <w:spacing w:line="44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  <w:r>
        <w:rPr>
          <w:rFonts w:hint="eastAsia" w:ascii="黑体" w:hAnsi="黑体" w:eastAsia="黑体"/>
          <w:kern w:val="0"/>
          <w:sz w:val="36"/>
          <w:szCs w:val="32"/>
        </w:rPr>
        <w:t>目 录</w:t>
      </w:r>
    </w:p>
    <w:p>
      <w:pPr>
        <w:widowControl/>
        <w:spacing w:line="440" w:lineRule="exact"/>
        <w:ind w:firstLine="883" w:firstLineChars="200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第一部分 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val="en-US" w:eastAsia="zh-CN"/>
        </w:rPr>
        <w:t>克孜勒苏柯尔克孜自治州社会保险管理局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概况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二、机构设置及人员情况</w:t>
      </w:r>
    </w:p>
    <w:p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年部门（单位）预算公开表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一、</w:t>
      </w:r>
      <w:r>
        <w:rPr>
          <w:rFonts w:hint="eastAsia" w:ascii="仿宋_GB2312" w:hAnsi="宋体" w:eastAsia="仿宋_GB2312"/>
          <w:kern w:val="0"/>
          <w:sz w:val="32"/>
          <w:szCs w:val="32"/>
        </w:rPr>
        <w:t>部门（单位）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收支总体情况表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二、</w:t>
      </w:r>
      <w:r>
        <w:rPr>
          <w:rFonts w:hint="eastAsia" w:ascii="仿宋_GB2312" w:hAnsi="宋体" w:eastAsia="仿宋_GB2312"/>
          <w:kern w:val="0"/>
          <w:sz w:val="32"/>
          <w:szCs w:val="32"/>
        </w:rPr>
        <w:t>部门（单位）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收入总体情况表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三、</w:t>
      </w:r>
      <w:r>
        <w:rPr>
          <w:rFonts w:hint="eastAsia" w:ascii="仿宋_GB2312" w:hAnsi="宋体" w:eastAsia="仿宋_GB2312"/>
          <w:kern w:val="0"/>
          <w:sz w:val="32"/>
          <w:szCs w:val="32"/>
        </w:rPr>
        <w:t>部门（单位）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支出总体情况表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四、财政拨款收支总体情况表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五、一般公共预算支出情况表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六、一般公共预算基本支出情况表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七、一般公共预算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项目支出情况表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八、一般公共预算“三公”经费支出情况表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九、政府性基金预算支出情况表</w:t>
      </w:r>
    </w:p>
    <w:p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第三部分 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年部门（单位）预算情况说明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一、关于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年收支预算情况的总体说明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二、关于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年收入预算情况说明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三、关于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年支出预算情况说明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四、关于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年财政拨款收支预算情况的总体说明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五、关于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年一般公共预算当年拨款情况说明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六、关于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年一般公共预算基本支出情况说明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七、关于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年一般公共预算项目支出情况说明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八、关于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年一般公共预算“三公”经费预算情况说明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九、关于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年政府性基金预算拨款情况说明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十、其他重要事项的情况说明</w:t>
      </w:r>
    </w:p>
    <w:p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第四部分  名词解释</w:t>
      </w: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ab/>
      </w: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871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ab/>
      </w:r>
    </w:p>
    <w:p>
      <w:pPr>
        <w:widowControl/>
        <w:tabs>
          <w:tab w:val="left" w:pos="1871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第一部分  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克孜勒苏柯尔克孜自治州社会保险管理局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概</w:t>
      </w:r>
      <w:r>
        <w:rPr>
          <w:rFonts w:hint="eastAsia" w:ascii="黑体" w:hAnsi="黑体" w:eastAsia="黑体"/>
          <w:kern w:val="0"/>
          <w:sz w:val="32"/>
          <w:szCs w:val="32"/>
        </w:rPr>
        <w:t>况</w:t>
      </w:r>
    </w:p>
    <w:p>
      <w:pPr>
        <w:widowControl/>
        <w:jc w:val="center"/>
        <w:outlineLvl w:val="1"/>
        <w:rPr>
          <w:rFonts w:ascii="宋体" w:hAnsi="宋体"/>
          <w:b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一、主要职能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 xml:space="preserve">   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  <w:lang w:eastAsia="zh-CN"/>
        </w:rPr>
        <w:t>克孜勒苏柯尔克孜自治州社会保险管理局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承担着全州10亿基金及全州70万余人次的五项社会保险（养老保险、工伤保险、失业保险）基金的征缴、结算、审核、支付、运行、管理、下解上解分配。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jc w:val="left"/>
        <w:rPr>
          <w:rFonts w:ascii="仿宋_GB2312" w:hAnsi="黑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二、机构设置及人员情况</w:t>
      </w:r>
    </w:p>
    <w:p>
      <w:pPr>
        <w:widowControl/>
        <w:spacing w:line="560" w:lineRule="exact"/>
        <w:ind w:firstLine="645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  <w:lang w:val="en-US" w:eastAsia="zh-CN"/>
        </w:rPr>
        <w:t>克孜勒苏柯尔克孜自治州社会保险管理局</w:t>
      </w:r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</w:rPr>
        <w:t>单位无下属预算单位，下设</w:t>
      </w:r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</w:rPr>
        <w:t>个</w:t>
      </w:r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  <w:lang w:eastAsia="zh-CN"/>
        </w:rPr>
        <w:t>科</w:t>
      </w:r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</w:rPr>
        <w:t>室，分别是：办公室、计财科、社会基金征缴科、社会基金结算科、社会保险稽核科、档案管理科。</w:t>
      </w:r>
    </w:p>
    <w:p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  <w:lang w:eastAsia="zh-CN"/>
        </w:rPr>
        <w:t>克孜勒苏柯尔克孜自治州社会保险管理局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编制数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，实有人数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38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人，其中：在职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人，减少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人；退休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人，增加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人；离休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人，增加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人。</w:t>
      </w:r>
    </w:p>
    <w:p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b/>
          <w:color w:val="0000FF"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tbl>
      <w:tblPr>
        <w:tblStyle w:val="8"/>
        <w:tblpPr w:leftFromText="180" w:rightFromText="180" w:vertAnchor="text" w:horzAnchor="page" w:tblpX="62" w:tblpY="527"/>
        <w:tblOverlap w:val="never"/>
        <w:tblW w:w="11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0"/>
        <w:gridCol w:w="1830"/>
        <w:gridCol w:w="3360"/>
        <w:gridCol w:w="2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 xml:space="preserve">第二部分 </w:t>
            </w:r>
            <w:r>
              <w:rPr>
                <w:rFonts w:hint="eastAsia" w:ascii="黑体" w:hAnsi="黑体" w:eastAsia="黑体"/>
                <w:kern w:val="0"/>
                <w:sz w:val="32"/>
                <w:szCs w:val="32"/>
                <w:lang w:val="en-US" w:eastAsia="zh-CN"/>
              </w:rPr>
              <w:t>2021年克孜勒苏柯尔克孜自治州社会保险管理局</w:t>
            </w: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预算公开表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outlineLvl w:val="1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表一：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outlineLvl w:val="1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部门（单位）收支总体情况表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编制部门（单位）：克孜勒苏柯尔克孜自治州社会保险管理局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</w:t>
            </w:r>
          </w:p>
        </w:tc>
        <w:tc>
          <w:tcPr>
            <w:tcW w:w="5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                目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一、财政拨款（补助）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 一般公共服务支出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一般公共预算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 外交支出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政府性基金预算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 国防支出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 公共安全支出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教育收费（财政专户）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 教育支出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 科学技术支出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 文化体育与传媒支出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事业单位经营收入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 社会保障和就业支出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单位其他资金收入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 社会保险基金支出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上级专项收入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 卫生健康支出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用事业基金弥补收支差额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 节能环保支出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 城乡社区支出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 农林水支出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 交通运输支出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 资源勘探工业信息等支出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 商业服务业等支出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 金融支出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 援助其他地区支出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 自然资源海洋气象等支出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 住房保障支出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 粮油物资管理支出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 国有资本经营预算支出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 灾害防治及应急管理支出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 预备费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 其他支出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 转移性支出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 债务还本支出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 债务付息支出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 债务发行费支出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 抗疫特别国债安排的支出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年  收  入  小  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年  支  出  小  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363.82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收      入      总      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363.82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 出  总   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363.82</w:t>
            </w:r>
          </w:p>
        </w:tc>
      </w:tr>
    </w:tbl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tbl>
      <w:tblPr>
        <w:tblStyle w:val="8"/>
        <w:tblW w:w="90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88"/>
        <w:gridCol w:w="340"/>
        <w:gridCol w:w="428"/>
        <w:gridCol w:w="90"/>
        <w:gridCol w:w="828"/>
        <w:gridCol w:w="121"/>
        <w:gridCol w:w="641"/>
        <w:gridCol w:w="161"/>
        <w:gridCol w:w="595"/>
        <w:gridCol w:w="160"/>
        <w:gridCol w:w="424"/>
        <w:gridCol w:w="153"/>
        <w:gridCol w:w="584"/>
        <w:gridCol w:w="153"/>
        <w:gridCol w:w="363"/>
        <w:gridCol w:w="67"/>
        <w:gridCol w:w="450"/>
        <w:gridCol w:w="364"/>
        <w:gridCol w:w="118"/>
        <w:gridCol w:w="1"/>
        <w:gridCol w:w="292"/>
        <w:gridCol w:w="224"/>
        <w:gridCol w:w="187"/>
        <w:gridCol w:w="255"/>
        <w:gridCol w:w="156"/>
        <w:gridCol w:w="232"/>
        <w:gridCol w:w="179"/>
        <w:gridCol w:w="530"/>
        <w:gridCol w:w="319"/>
        <w:gridCol w:w="78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outlineLvl w:val="1"/>
              <w:rPr>
                <w:rFonts w:hint="eastAsia" w:ascii="宋体" w:hAnsi="宋体" w:eastAsia="仿宋_GB2312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表二</w:t>
            </w: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9" w:type="dxa"/>
          <w:trHeight w:val="412" w:hRule="atLeast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outlineLvl w:val="1"/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841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outlineLvl w:val="1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部门（单位）收入总体情况表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60" w:hRule="atLeast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5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编制部门（单位）：克孜勒苏柯尔克孜自治州社会保险管理局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8" w:type="dxa"/>
          <w:trHeight w:val="1022" w:hRule="atLeast"/>
        </w:trPr>
        <w:tc>
          <w:tcPr>
            <w:tcW w:w="1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功能分类科目编码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功能分类科目名称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一般公共预算拨款</w:t>
            </w:r>
          </w:p>
        </w:tc>
        <w:tc>
          <w:tcPr>
            <w:tcW w:w="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政府性基金预算拨款</w:t>
            </w: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教育收费（财政专户）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事业单位经营收入</w:t>
            </w: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单位其他资金收入</w:t>
            </w:r>
          </w:p>
        </w:tc>
        <w:tc>
          <w:tcPr>
            <w:tcW w:w="4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上级专项收入</w:t>
            </w:r>
          </w:p>
        </w:tc>
        <w:tc>
          <w:tcPr>
            <w:tcW w:w="4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用事业基金弥补收支差额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单位上年结余（不包含国库集中支付额度结余）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8" w:type="dxa"/>
          <w:trHeight w:val="24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8" w:type="dxa"/>
          <w:trHeight w:val="48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363.82 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8" w:type="dxa"/>
          <w:trHeight w:val="48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</w:t>
            </w: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人力资源和社会保障管理事务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363.82 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8" w:type="dxa"/>
          <w:trHeight w:val="48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</w:t>
            </w: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01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社会保险经办机构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358.82 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309.50 </w:t>
            </w:r>
          </w:p>
        </w:tc>
        <w:tc>
          <w:tcPr>
            <w:tcW w:w="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52" w:firstLineChars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8" w:type="dxa"/>
          <w:trHeight w:val="72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</w:t>
            </w: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01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其他人力资源和社会保障管理事务支出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8" w:type="dxa"/>
          <w:trHeight w:val="72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363.82 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49.32 </w:t>
            </w:r>
          </w:p>
        </w:tc>
      </w:tr>
    </w:tbl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tbl>
      <w:tblPr>
        <w:tblStyle w:val="8"/>
        <w:tblW w:w="79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455"/>
        <w:gridCol w:w="455"/>
        <w:gridCol w:w="1588"/>
        <w:gridCol w:w="1214"/>
        <w:gridCol w:w="1112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outlineLvl w:val="1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表三：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spacing w:line="280" w:lineRule="exact"/>
        <w:jc w:val="center"/>
        <w:outlineLvl w:val="1"/>
        <w:rPr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部门（单位）支出总体情况表</w:t>
      </w:r>
    </w:p>
    <w:tbl>
      <w:tblPr>
        <w:tblStyle w:val="8"/>
        <w:tblW w:w="77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504"/>
        <w:gridCol w:w="504"/>
        <w:gridCol w:w="1757"/>
        <w:gridCol w:w="1246"/>
        <w:gridCol w:w="97"/>
        <w:gridCol w:w="1015"/>
        <w:gridCol w:w="216"/>
        <w:gridCol w:w="896"/>
        <w:gridCol w:w="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5" w:type="dxa"/>
          <w:trHeight w:val="360" w:hRule="atLeast"/>
        </w:trPr>
        <w:tc>
          <w:tcPr>
            <w:tcW w:w="52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编制部门（单位）：克孜勒苏柯尔克孜自治州社会保险管理局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3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功能分类科目编码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功能分类科目名称</w:t>
            </w:r>
          </w:p>
        </w:tc>
        <w:tc>
          <w:tcPr>
            <w:tcW w:w="13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2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2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363.82 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344.52 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208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人力资源和社会保障管理事务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363.82 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344.52 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社会保险经办机构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358.82 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344.52 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其他人力资源和社会保障管理事务支出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363.82 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344.52 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19.30 </w:t>
            </w:r>
          </w:p>
        </w:tc>
      </w:tr>
    </w:tbl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tbl>
      <w:tblPr>
        <w:tblStyle w:val="8"/>
        <w:tblW w:w="10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425"/>
        <w:gridCol w:w="115"/>
        <w:gridCol w:w="72"/>
        <w:gridCol w:w="468"/>
        <w:gridCol w:w="488"/>
        <w:gridCol w:w="1867"/>
        <w:gridCol w:w="946"/>
        <w:gridCol w:w="637"/>
        <w:gridCol w:w="217"/>
        <w:gridCol w:w="440"/>
        <w:gridCol w:w="431"/>
        <w:gridCol w:w="225"/>
        <w:gridCol w:w="554"/>
        <w:gridCol w:w="140"/>
        <w:gridCol w:w="637"/>
        <w:gridCol w:w="281"/>
        <w:gridCol w:w="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63" w:hRule="atLeast"/>
        </w:trPr>
        <w:tc>
          <w:tcPr>
            <w:tcW w:w="2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120" w:beforeLines="50" w:line="280" w:lineRule="exact"/>
              <w:outlineLvl w:val="1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表四：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360" w:hRule="atLeast"/>
        </w:trPr>
        <w:tc>
          <w:tcPr>
            <w:tcW w:w="86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120" w:beforeLines="50" w:line="280" w:lineRule="exact"/>
              <w:jc w:val="center"/>
              <w:outlineLvl w:val="1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财政拨款收支预算总体情况表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120" w:beforeLines="50" w:line="280" w:lineRule="exact"/>
              <w:jc w:val="center"/>
              <w:outlineLvl w:val="1"/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81" w:hRule="atLeast"/>
        </w:trPr>
        <w:tc>
          <w:tcPr>
            <w:tcW w:w="66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编制部门（单位）：克孜勒苏柯尔克孜自治州社会保险管理局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34" w:hRule="atLeast"/>
        </w:trPr>
        <w:tc>
          <w:tcPr>
            <w:tcW w:w="3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54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财政拨款支出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360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                目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360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一、财政拨款（补助）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 一般公共服务支出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90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一般公共预算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 外交支出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07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政府性基金预算</w:t>
            </w:r>
          </w:p>
        </w:tc>
        <w:tc>
          <w:tcPr>
            <w:tcW w:w="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 国防支出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188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 公共安全支出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53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 教育支出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196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 科学技术支出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84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 文化旅游体育与传媒支出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53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 社会保障和就业支出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15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 社会保险基金支出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303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 卫生健康支出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71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 节能环保支出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34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 城乡社区支出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52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 农林水支出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196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 交通运输支出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53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 资源勘探工业信息等支出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34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 商业服务业等支出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07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 金融支出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07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 援助其他地区支出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25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 自然资源海洋气象等支出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25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 住房保障支出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44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 粮油物资管理支出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308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 国有资本经营预算支出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29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 灾害防治及应急管理支出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06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 预备费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169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 其他支出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62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 转移性支出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62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 债务还本支出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44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 债务付息支出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62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 债务发行费支出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52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 抗疫特别国债安排的支出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359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年  收  入  小  计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年  支  出  小  计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345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360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tbl>
            <w:tblPr>
              <w:tblStyle w:val="8"/>
              <w:tblW w:w="15495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0"/>
              <w:gridCol w:w="1830"/>
              <w:gridCol w:w="3360"/>
              <w:gridCol w:w="1770"/>
              <w:gridCol w:w="1740"/>
              <w:gridCol w:w="1560"/>
              <w:gridCol w:w="172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3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/>
                    </w:rPr>
                    <w:t>收   入   总    计</w:t>
                  </w: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314.50 </w:t>
                  </w:r>
                </w:p>
              </w:tc>
              <w:tc>
                <w:tcPr>
                  <w:tcW w:w="3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支   出  总   计</w:t>
                  </w: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314.50 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314.50 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Style w:val="24"/>
                      <w:lang w:val="en-US" w:eastAsia="zh-CN" w:bidi="ar"/>
                    </w:rPr>
                    <w:t>.00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314.5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 出  总   计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92" w:type="dxa"/>
          <w:trHeight w:val="243" w:hRule="atLeast"/>
        </w:trPr>
        <w:tc>
          <w:tcPr>
            <w:tcW w:w="957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表五：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92" w:type="dxa"/>
          <w:trHeight w:val="360" w:hRule="atLeast"/>
        </w:trPr>
        <w:tc>
          <w:tcPr>
            <w:tcW w:w="957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92" w:type="dxa"/>
          <w:trHeight w:val="280" w:hRule="atLeast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编制部门（单位）：</w:t>
            </w:r>
          </w:p>
        </w:tc>
        <w:tc>
          <w:tcPr>
            <w:tcW w:w="3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克孜勒苏柯尔克孜自治州社会保险管理局</w:t>
            </w:r>
          </w:p>
        </w:tc>
        <w:tc>
          <w:tcPr>
            <w:tcW w:w="1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51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功能分类科目编码</w:t>
            </w:r>
          </w:p>
        </w:tc>
        <w:tc>
          <w:tcPr>
            <w:tcW w:w="23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功能分类科目名称</w:t>
            </w:r>
          </w:p>
        </w:tc>
        <w:tc>
          <w:tcPr>
            <w:tcW w:w="18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6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</w:p>
        </w:tc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308.20 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208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308.20 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01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社会保险经办机构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308.20 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308.20 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01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社会保险经办机构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308.20 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</w:tr>
    </w:tbl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p/>
    <w:p/>
    <w:tbl>
      <w:tblPr>
        <w:tblStyle w:val="8"/>
        <w:tblW w:w="91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731"/>
        <w:gridCol w:w="2850"/>
        <w:gridCol w:w="994"/>
        <w:gridCol w:w="1687"/>
        <w:gridCol w:w="1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表六：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编制部门（单位）：</w:t>
            </w:r>
          </w:p>
        </w:tc>
        <w:tc>
          <w:tcPr>
            <w:tcW w:w="3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克孜勒苏柯尔克孜自治州社会保险管理局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3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一般公共预算基本支出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经济分类科目编码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经济分类科目名称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86.37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86.37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108.07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108.07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28.39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28.39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23.03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23.03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20.43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20.43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13.25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13.25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奖励金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308.20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288.48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19.73 </w:t>
            </w:r>
          </w:p>
        </w:tc>
      </w:tr>
    </w:tbl>
    <w:p>
      <w:pPr>
        <w:pStyle w:val="2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pStyle w:val="2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pStyle w:val="2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pStyle w:val="2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pStyle w:val="2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/>
    <w:tbl>
      <w:tblPr>
        <w:tblStyle w:val="8"/>
        <w:tblW w:w="89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468"/>
        <w:gridCol w:w="413"/>
        <w:gridCol w:w="1237"/>
        <w:gridCol w:w="957"/>
        <w:gridCol w:w="768"/>
        <w:gridCol w:w="525"/>
        <w:gridCol w:w="638"/>
        <w:gridCol w:w="656"/>
        <w:gridCol w:w="405"/>
        <w:gridCol w:w="329"/>
        <w:gridCol w:w="268"/>
        <w:gridCol w:w="345"/>
        <w:gridCol w:w="231"/>
        <w:gridCol w:w="313"/>
        <w:gridCol w:w="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outlineLvl w:val="1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表七：</w:t>
            </w:r>
          </w:p>
        </w:tc>
        <w:tc>
          <w:tcPr>
            <w:tcW w:w="2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9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一般公共预算项目支出情况表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编制部门（单位）：</w:t>
            </w:r>
          </w:p>
        </w:tc>
        <w:tc>
          <w:tcPr>
            <w:tcW w:w="39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克孜勒苏柯尔克孜自治州社会保险管理局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项目支出合计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资本性支出(基本建设)</w:t>
            </w:r>
          </w:p>
        </w:tc>
        <w:tc>
          <w:tcPr>
            <w:tcW w:w="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对企业补助(基本建设)</w:t>
            </w:r>
          </w:p>
        </w:tc>
        <w:tc>
          <w:tcPr>
            <w:tcW w:w="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对社会保障基金补助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人力资源和社会保障管理事务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01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其他人力资源和社会保障管理事务支出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线路租赁费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01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社会保险经办机构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岗位见习补贴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pStyle w:val="2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pStyle w:val="2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pStyle w:val="2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pStyle w:val="2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</w:pPr>
    </w:p>
    <w:p/>
    <w:tbl>
      <w:tblPr>
        <w:tblStyle w:val="8"/>
        <w:tblW w:w="89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7"/>
        <w:gridCol w:w="1581"/>
        <w:gridCol w:w="995"/>
        <w:gridCol w:w="995"/>
        <w:gridCol w:w="996"/>
        <w:gridCol w:w="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outlineLvl w:val="1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表八：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一般公共预算“三公”经费支出情况表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编制部门（单位）：</w:t>
            </w:r>
          </w:p>
        </w:tc>
        <w:tc>
          <w:tcPr>
            <w:tcW w:w="3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克孜勒苏柯尔克孜自治州社会保险管理局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因公出国(境)费用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tbl>
      <w:tblPr>
        <w:tblStyle w:val="8"/>
        <w:tblW w:w="89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303"/>
        <w:gridCol w:w="303"/>
        <w:gridCol w:w="1724"/>
        <w:gridCol w:w="1341"/>
        <w:gridCol w:w="1210"/>
        <w:gridCol w:w="1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outlineLvl w:val="1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表九：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outlineLvl w:val="1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编制部门（单位）：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克孜勒苏柯尔克孜自治州社会保险管理局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3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功能分类科目编码</w:t>
            </w:r>
          </w:p>
        </w:tc>
        <w:tc>
          <w:tcPr>
            <w:tcW w:w="1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功能分类科目名称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562" w:firstLineChars="200"/>
        <w:rPr>
          <w:rFonts w:ascii="仿宋_GB2312" w:hAnsi="宋体" w:eastAsia="仿宋_GB2312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18" w:bottom="1928" w:left="1588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年没有使用政府性基金预算拨款安排的支出，政府性基金预算支出情况表为空。</w:t>
      </w:r>
    </w:p>
    <w:p>
      <w:pPr>
        <w:spacing w:line="560" w:lineRule="exac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第三部分  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黑体" w:eastAsia="黑体"/>
          <w:kern w:val="0"/>
          <w:sz w:val="32"/>
          <w:szCs w:val="32"/>
        </w:rPr>
        <w:t>年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克孜勒苏柯尔克孜自治州社会保险管理局</w:t>
      </w:r>
      <w:r>
        <w:rPr>
          <w:rFonts w:hint="eastAsia" w:ascii="黑体" w:hAnsi="黑体" w:eastAsia="黑体"/>
          <w:kern w:val="0"/>
          <w:sz w:val="32"/>
          <w:szCs w:val="32"/>
        </w:rPr>
        <w:t>预算情况说明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</w:rPr>
        <w:t>关于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年收支预算情况的总体说明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按照全口径预算的原则，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年所有收入和支出均纳入部门（单位）预算管理。收支总预算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363.82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收入预算包括：一般公共预算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314.5万元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、单位上年结余（不包括国库集中支付额度结余）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49.32万元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支出预算包括：社会保障和就业支出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363.82万元。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二、关于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年收入预算情况说明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克州社会保险给局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363.82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314.5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86.44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190.16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在职人员14人整体划转到克州医疗保障局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；    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政府性基金预算未安排。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国有资本经营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预算未安排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单位上年结余（不包括国库集中支付额度结余）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49.32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13.56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21.4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上年财政拨款结余弥补2020年支出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年末财政拨款无结余，只有其他资金户的结余。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三、关于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年支出预算情况说明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年支出预算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363.82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344.52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94.7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240.24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在职人员14人整体划转到克州医疗保障局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19.3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1.32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2021年我单位上核心三版系统，原来的系统交换数据在地方服务器上进行交换，上核心三版后交换数据由自治区统一管理，故单位延续项目机房服务费在2021年项目里减少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四、关于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年财政拨款收支预算情况的总体说明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年财政拨款收支总预算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314.5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16" w:firstLineChars="200"/>
        <w:rPr>
          <w:rFonts w:ascii="仿宋_GB2312" w:hAnsi="宋体" w:eastAsia="仿宋_GB2312" w:cs="宋体"/>
          <w:b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收入全部为一般公共预算拨款，无政府性基金预算拨款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和</w:t>
      </w:r>
      <w:r>
        <w:rPr>
          <w:rFonts w:ascii="仿宋_GB2312" w:hAnsi="宋体" w:eastAsia="仿宋_GB2312" w:cs="宋体"/>
          <w:spacing w:val="-6"/>
          <w:kern w:val="0"/>
          <w:sz w:val="32"/>
          <w:szCs w:val="32"/>
          <w:highlight w:val="none"/>
        </w:rPr>
        <w:t>国有资本经营预算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。</w:t>
      </w:r>
    </w:p>
    <w:p>
      <w:pPr>
        <w:spacing w:line="560" w:lineRule="exact"/>
        <w:ind w:firstLine="616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</w:rPr>
        <w:t>收入预算</w:t>
      </w:r>
      <w:r>
        <w:rPr>
          <w:rFonts w:ascii="仿宋_GB2312" w:hAnsi="宋体" w:eastAsia="仿宋_GB2312" w:cs="宋体"/>
          <w:spacing w:val="-6"/>
          <w:kern w:val="0"/>
          <w:sz w:val="32"/>
          <w:szCs w:val="32"/>
          <w:highlight w:val="none"/>
        </w:rPr>
        <w:t>包括：一般公共预算拨款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314.5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lang w:val="en-US" w:eastAsia="zh-CN"/>
        </w:rPr>
        <w:t>.</w:t>
      </w:r>
    </w:p>
    <w:p>
      <w:pPr>
        <w:spacing w:line="560" w:lineRule="exact"/>
        <w:ind w:firstLine="616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</w:rPr>
        <w:t>一般</w:t>
      </w:r>
      <w:r>
        <w:rPr>
          <w:rFonts w:ascii="仿宋_GB2312" w:hAnsi="宋体" w:eastAsia="仿宋_GB2312" w:cs="宋体"/>
          <w:spacing w:val="-6"/>
          <w:kern w:val="0"/>
          <w:sz w:val="32"/>
          <w:szCs w:val="32"/>
          <w:highlight w:val="none"/>
        </w:rPr>
        <w:t>公共预算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社会保障和就业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314.5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万元，主要用于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社会保障经办机构309.5万元、其他人力资源和社会保障管理事务支出5万元。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五、关于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年一般公共预算当年拨款情况说明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（一）一般公共预算当年拨款规模变化情况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年一般公共预算拨款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合计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314.5万元，其中：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308.2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减少183.06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万元，下降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37.26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在职人员14人整体划转到克州医疗保障局。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19.3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减少1.32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下降6.4%，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主要原因是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2021年有减少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项目经费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机房托管服务费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（二）一般公共预算当年拨款结构情况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社会保障和就业支出（类：208）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314.5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（三）一般公共预算当年拨款具体使用情况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社会保障和就业支出（类：208）人力资源和社会保障管理事务（款：01）社会保险经办机构（项：09）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:2021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309.5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数减少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181.76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万元，下降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37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在职人员14人整体划转到克州医疗保障局。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社会保障和就业支出（类：208）人力资源和社会保障管理事务（款：01）其他人力资源和社会保障管理事务支出（项：99）：2021年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数减少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8.4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万元，下降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62.69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主要原因为2021年预算中减少项目机房托管服务费。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六、关于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年一般公共预算基本支出情况说明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308.2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万元，其中：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人员经费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288.48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万元，主要包括：基本工资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86.37万元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、津贴补贴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108.07万元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、奖金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7.2万元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、机关事业单位基本养老保险缴费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28.39万元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、其他社会保障缴费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23.03万元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、住房公积金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20.43万元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、退休费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13.25万元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、奖励金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1.74万元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公用经费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19.73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万元，主要包括：差旅费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、会议费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1.6万元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、公务接待费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1.2万元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、工会经费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1.22万元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、福利费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2.2万元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、公务用车运行维护费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8万元、水费0.5万元、电费2万元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七、关于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年一般公共预算项目支出情况说明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情况一：（项目支出、专项业务费按下列内容说明）</w:t>
      </w:r>
    </w:p>
    <w:p>
      <w:pPr>
        <w:spacing w:line="56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项目</w:t>
      </w:r>
      <w:r>
        <w:rPr>
          <w:rFonts w:ascii="仿宋_GB2312" w:hAnsi="黑体" w:eastAsia="仿宋_GB2312"/>
          <w:sz w:val="32"/>
          <w:szCs w:val="32"/>
        </w:rPr>
        <w:t>名称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线路租赁费</w:t>
      </w:r>
    </w:p>
    <w:p>
      <w:pPr>
        <w:spacing w:line="56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设立的政策依据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州本级项目</w:t>
      </w:r>
    </w:p>
    <w:p>
      <w:pPr>
        <w:spacing w:line="56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预算安排规模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5万元</w:t>
      </w:r>
    </w:p>
    <w:p>
      <w:pPr>
        <w:spacing w:line="56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项目承担单位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资金分配</w:t>
      </w:r>
      <w:r>
        <w:rPr>
          <w:rFonts w:ascii="仿宋_GB2312" w:hAnsi="黑体" w:eastAsia="仿宋_GB2312" w:cs="Times New Roman"/>
          <w:sz w:val="32"/>
          <w:szCs w:val="32"/>
        </w:rPr>
        <w:t>情况</w:t>
      </w:r>
      <w:r>
        <w:rPr>
          <w:rFonts w:hint="eastAsia" w:ascii="仿宋_GB2312" w:hAnsi="黑体" w:eastAsia="仿宋_GB2312" w:cs="Times New Roman"/>
          <w:sz w:val="32"/>
          <w:szCs w:val="32"/>
        </w:rPr>
        <w:t>：承担着全州60万人的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 w:cs="Times New Roman"/>
          <w:sz w:val="32"/>
          <w:szCs w:val="32"/>
        </w:rPr>
        <w:t>项社会保险（养老保险、工伤保险、失业保险、城镇居民基本养老保险）基金的征缴、审核、结算、支付、运行、管理、上解下解分配工作；负责社会保险待遇支付标准核定与发放工作；管理全州养老保险、失业保险、工伤保险工作；负责社会保险关系的登记、中断、接续、转移工作；承担全州各项社会保险的社会化管理和服务工作；管理和维护“克州社会保险管理信息系统”，负责全州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机关事业单位养老待遇、工伤保险、失业保险、城乡居民养老待遇和职业年金的征收</w:t>
      </w:r>
      <w:r>
        <w:rPr>
          <w:rFonts w:hint="eastAsia" w:ascii="仿宋_GB2312" w:hAnsi="黑体" w:eastAsia="仿宋_GB2312" w:cs="Times New Roman"/>
          <w:sz w:val="32"/>
          <w:szCs w:val="32"/>
        </w:rPr>
        <w:t>费用的审核、结算、报销及社保业务档案管理、报表定期上报工作；同时担负全州社会保险经办部门业务指导、基金监管运行分析等工作。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资金执行时间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2021年全年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情况二：（</w:t>
      </w:r>
      <w:r>
        <w:rPr>
          <w:rFonts w:ascii="仿宋_GB2312" w:hAnsi="宋体" w:eastAsia="仿宋_GB2312"/>
          <w:b/>
          <w:sz w:val="32"/>
          <w:szCs w:val="22"/>
        </w:rPr>
        <w:t>属于</w:t>
      </w:r>
      <w:r>
        <w:rPr>
          <w:rFonts w:ascii="仿宋_GB2312" w:hAnsi="宋体" w:eastAsia="仿宋_GB2312"/>
          <w:b/>
          <w:spacing w:val="-8"/>
          <w:sz w:val="32"/>
          <w:szCs w:val="22"/>
        </w:rPr>
        <w:t>对个人补贴的项目支出</w:t>
      </w:r>
      <w:r>
        <w:rPr>
          <w:rFonts w:hint="eastAsia" w:ascii="仿宋_GB2312" w:hAnsi="黑体" w:eastAsia="仿宋_GB2312"/>
          <w:b/>
          <w:sz w:val="32"/>
          <w:szCs w:val="32"/>
        </w:rPr>
        <w:t>按下列内容说明）</w:t>
      </w:r>
    </w:p>
    <w:p>
      <w:pPr>
        <w:spacing w:line="56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项目</w:t>
      </w:r>
      <w:r>
        <w:rPr>
          <w:rFonts w:ascii="仿宋_GB2312" w:hAnsi="黑体" w:eastAsia="仿宋_GB2312"/>
          <w:sz w:val="32"/>
          <w:szCs w:val="32"/>
        </w:rPr>
        <w:t>名称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岗位见习补贴</w:t>
      </w:r>
    </w:p>
    <w:p>
      <w:pPr>
        <w:spacing w:line="56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设立的政策依据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落实自治区常态化疫情防控工作。克财社【2020】86号</w:t>
      </w:r>
    </w:p>
    <w:p>
      <w:pPr>
        <w:spacing w:line="56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预算安排规模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1.3万元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ascii="仿宋_GB2312" w:hAnsi="黑体" w:eastAsia="仿宋_GB2312"/>
          <w:sz w:val="32"/>
          <w:szCs w:val="32"/>
        </w:rPr>
        <w:t>项目承担单位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克孜勒苏柯尔克孜自治州社会保险管理局</w:t>
      </w:r>
    </w:p>
    <w:p>
      <w:pPr>
        <w:spacing w:line="56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资金分配情况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岗位见习补贴3人，540元/月，2021年补贴8个月。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资金执行时间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2021年1月至2021年8月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/>
          <w:sz w:val="32"/>
          <w:szCs w:val="22"/>
          <w:lang w:val="en-US" w:eastAsia="zh-CN"/>
        </w:rPr>
      </w:pPr>
      <w:r>
        <w:rPr>
          <w:rFonts w:ascii="仿宋_GB2312" w:hAnsi="宋体" w:eastAsia="仿宋_GB2312"/>
          <w:sz w:val="32"/>
          <w:szCs w:val="22"/>
        </w:rPr>
        <w:t>资金来源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财政拨款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/>
          <w:sz w:val="32"/>
          <w:szCs w:val="22"/>
          <w:lang w:val="en-US" w:eastAsia="zh-CN"/>
        </w:rPr>
      </w:pPr>
      <w:r>
        <w:rPr>
          <w:rFonts w:ascii="仿宋_GB2312" w:hAnsi="宋体" w:eastAsia="仿宋_GB2312"/>
          <w:sz w:val="32"/>
          <w:szCs w:val="22"/>
        </w:rPr>
        <w:t>补贴人数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3人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2"/>
        </w:rPr>
      </w:pPr>
      <w:r>
        <w:rPr>
          <w:rFonts w:ascii="仿宋_GB2312" w:hAnsi="宋体" w:eastAsia="仿宋_GB2312"/>
          <w:sz w:val="32"/>
          <w:szCs w:val="22"/>
        </w:rPr>
        <w:t>补贴标准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540元/月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22"/>
          <w:lang w:eastAsia="zh-CN"/>
        </w:rPr>
      </w:pPr>
      <w:r>
        <w:rPr>
          <w:rFonts w:ascii="仿宋_GB2312" w:hAnsi="宋体" w:eastAsia="仿宋_GB2312"/>
          <w:sz w:val="32"/>
          <w:szCs w:val="22"/>
        </w:rPr>
        <w:t>补贴范围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见习生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sz w:val="32"/>
          <w:szCs w:val="22"/>
        </w:rPr>
        <w:t>补贴方式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按月发放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/>
          <w:sz w:val="32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发放程序：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走银行工资代发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sz w:val="32"/>
          <w:szCs w:val="22"/>
        </w:rPr>
        <w:t>受益人群和社会效益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加大了大中专学生的就业率，维护了社会稳定。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八、关于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年一般公共预算“三公”经费预算情况说明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年一般公共预算“三公”经费数为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万元，其中：因公出国（境）费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万元，公务用车购置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万元，公务用车运行费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万元，公务接待费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年一般公共预算“三公”经费比上年减少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万元，其中：因公出国（境）费减少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单位未安排因公出国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的开支；公务用车购置费为0，未安排预算。主要原因是压缩三公经费的开支；公务用车运行费减少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万元，主要原因是压缩三公经费的开支；公务接待费减少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万元，主要原因是压缩三公经费的开支。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九、关于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年政府性基金预算拨款情况说明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年没有使用政府性基金预算拨款安排的支出，政府性基金预算支出情况表为空表。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十、其他重要事项的情况说明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（一）机关运行经费情况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本级及下属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家行政单位和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家事业单位的机关运行经费财政拨款预算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19.73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万元，比上年预算减少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万元，下降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37.82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人员减少人头经费减少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（二）政府采购情况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政府采购预算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45.82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万元，其中：政府采购货物预算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35.82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万元，政府采购工程预算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万元，政府采购服务预算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2021</w:t>
      </w:r>
      <w:r>
        <w:rPr>
          <w:rFonts w:hint="eastAsia" w:ascii="仿宋_GB2312" w:hAnsi="仿宋_GB2312" w:eastAsia="仿宋_GB2312"/>
          <w:sz w:val="32"/>
        </w:rPr>
        <w:t>年度本部门面向中小企业预留政府采购项目预算金额</w:t>
      </w:r>
      <w:r>
        <w:rPr>
          <w:rFonts w:hint="eastAsia" w:ascii="仿宋_GB2312" w:hAnsi="仿宋_GB2312" w:eastAsia="仿宋_GB2312"/>
          <w:sz w:val="32"/>
          <w:lang w:val="en-US" w:eastAsia="zh-CN"/>
        </w:rPr>
        <w:t>0</w:t>
      </w:r>
      <w:r>
        <w:rPr>
          <w:rFonts w:hint="eastAsia" w:ascii="仿宋_GB2312" w:hAnsi="仿宋_GB2312" w:eastAsia="仿宋_GB2312"/>
          <w:sz w:val="32"/>
        </w:rPr>
        <w:t>万元，其中：面向小微企业预留政府采购项目预算金额</w:t>
      </w:r>
      <w:r>
        <w:rPr>
          <w:rFonts w:hint="eastAsia" w:ascii="仿宋_GB2312" w:hAnsi="仿宋_GB2312" w:eastAsia="仿宋_GB2312"/>
          <w:sz w:val="32"/>
          <w:lang w:val="en-US" w:eastAsia="zh-CN"/>
        </w:rPr>
        <w:t>0</w:t>
      </w:r>
      <w:r>
        <w:rPr>
          <w:rFonts w:hint="eastAsia" w:ascii="仿宋_GB2312" w:hAnsi="仿宋_GB2312" w:eastAsia="仿宋_GB2312"/>
          <w:sz w:val="32"/>
        </w:rPr>
        <w:t>万元。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（三）国有资产占用使用情况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年底，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及下属各预算单位占用使用国有资产总体情况为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1.房屋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2.车辆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万元；其中：一般公务用车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辆，价值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万元；执法执勤用车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万元；其他车辆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3.办公家具价值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37.34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4.其他资产价值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333.26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单位价值50万元以上大型设备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台（套），单位价值100万元以上大型设备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预算未安排购置车辆经费（或安排购置车辆经费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万元），安排购置50万元以上大型设备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台（套），单位价值100万元以上大型设备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（四）预算绩效情况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年度，本年度实行绩效管理的一般公共预算项目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个，涉及预算金额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6.3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万元。具体情况见下表（按项目分别填报）：</w:t>
      </w:r>
    </w:p>
    <w:p>
      <w:pPr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8"/>
        <w:tblW w:w="9043" w:type="dxa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"/>
        <w:gridCol w:w="317"/>
        <w:gridCol w:w="604"/>
        <w:gridCol w:w="2194"/>
        <w:gridCol w:w="2681"/>
        <w:gridCol w:w="3150"/>
        <w:gridCol w:w="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454" w:hRule="atLeast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  目  支  出  绩  效  目  标  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454" w:hRule="atLeast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（2021年）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线路租赁费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克孜勒苏柯尔克孜自治州社会保险管理局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11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年度资金总额：5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11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其中：财政拨款：5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11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其他资金：0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17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着全州60万人的九项社会保险（养老保险、工伤保险、失业保险、城镇居民基本养老保险）基金的征缴、审核、结算、支付、运行、管理、上解下解分配工作；负责社会保险待遇支付标准核定与发放工作；管理全州养老保险、失业保险、工伤保险、负责社会保险关系的登记、中断、接续、转移工作；承担全州各项社会保险的社会化管理和服务工作；管理和维护“克州社会保险管理信息系统”和“医疗保险管理信息系统”，负责全州定点医院、门诊、零售药店服务协议管理工作；填表审批、审核、结算、报销及社保业务档案管理、报表定期上报工作；同时担负全州社会保险经办部门业务指导、基金监管运行分析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租用专线网络数量（条）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信息自动化运行保障率（%）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项目完成及时率（%）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网络线路租赁标准（万元/年）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提高工作服务水平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保障就医结算日常需要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受益群众满意度（%）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widowControl/>
        <w:spacing w:line="480" w:lineRule="exact"/>
        <w:rPr>
          <w:rFonts w:ascii="仿宋_GB2312" w:hAnsi="宋体" w:eastAsia="仿宋_GB2312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8"/>
        <w:tblW w:w="87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521"/>
        <w:gridCol w:w="1605"/>
        <w:gridCol w:w="3437"/>
        <w:gridCol w:w="2751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80" w:hRule="atLeast"/>
        </w:trPr>
        <w:tc>
          <w:tcPr>
            <w:tcW w:w="8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部门预算项目支出绩效目标表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8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2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岗位见习补贴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2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6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克孜勒苏柯尔克孜自治州社会保险管理局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25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年度资金总额：1.3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25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其中：财政拨款：1.3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25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其他资金：0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3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6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落实自治区常态化疫情防控工作。克财社【2020】86号，加大了大中专学生的就业率，维护了社会稳定。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补贴人数（人）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岗位补贴保障率（%）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项目完成及时率（%）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岗位补贴标准（万元/月）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提高工作服务水平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保障岗位补贴需要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受益群众满意度（%）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widowControl/>
        <w:spacing w:line="480" w:lineRule="exact"/>
        <w:jc w:val="left"/>
        <w:rPr>
          <w:rFonts w:hint="eastAsia" w:ascii="楷体_GB2312" w:hAnsi="宋体" w:eastAsia="楷体_GB2312" w:cs="宋体"/>
          <w:b/>
          <w:kern w:val="0"/>
          <w:sz w:val="32"/>
          <w:szCs w:val="32"/>
        </w:rPr>
      </w:pPr>
    </w:p>
    <w:p>
      <w:pPr>
        <w:widowControl/>
        <w:spacing w:line="48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（五）其他需说明的事项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克孜勒苏柯尔克孜自治州社会保险管理局无其他事项说明。</w:t>
      </w:r>
    </w:p>
    <w:p>
      <w:pPr>
        <w:widowControl/>
        <w:spacing w:before="217" w:beforeLines="50" w:line="52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第四部分  名词解释</w:t>
      </w:r>
    </w:p>
    <w:p>
      <w:pPr>
        <w:widowControl/>
        <w:spacing w:line="52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名词解释：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一、财政拨款：</w:t>
      </w:r>
      <w:r>
        <w:rPr>
          <w:rFonts w:hint="eastAsia" w:ascii="仿宋_GB2312" w:eastAsia="仿宋_GB2312"/>
          <w:sz w:val="32"/>
          <w:szCs w:val="32"/>
        </w:rPr>
        <w:t>指由一般公共预算、政府性基金预算</w:t>
      </w:r>
      <w:r>
        <w:rPr>
          <w:rFonts w:hint="eastAsia" w:ascii="仿宋_GB2312" w:eastAsia="仿宋_GB2312"/>
          <w:sz w:val="32"/>
          <w:szCs w:val="32"/>
          <w:lang w:eastAsia="zh-CN"/>
        </w:rPr>
        <w:t>、国有资本经营预算</w:t>
      </w:r>
      <w:r>
        <w:rPr>
          <w:rFonts w:hint="eastAsia" w:ascii="仿宋_GB2312" w:eastAsia="仿宋_GB2312"/>
          <w:sz w:val="32"/>
          <w:szCs w:val="32"/>
        </w:rPr>
        <w:t>安排的财政拨款数。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二、一般公共预算：</w:t>
      </w:r>
      <w:r>
        <w:rPr>
          <w:rFonts w:hint="eastAsia" w:ascii="仿宋_GB2312" w:eastAsia="仿宋_GB2312"/>
          <w:spacing w:val="-6"/>
          <w:sz w:val="32"/>
          <w:szCs w:val="32"/>
        </w:rPr>
        <w:t>包括公共财政拨款（补助）资金、专项收入。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、其他资金：</w:t>
      </w:r>
      <w:r>
        <w:rPr>
          <w:rFonts w:hint="eastAsia" w:ascii="仿宋_GB2312" w:eastAsia="仿宋_GB2312"/>
          <w:sz w:val="32"/>
          <w:szCs w:val="32"/>
        </w:rPr>
        <w:t>包括其他收入等。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、基本支出：</w:t>
      </w:r>
      <w:r>
        <w:rPr>
          <w:rFonts w:hint="eastAsia" w:ascii="仿宋_GB2312" w:eastAsia="仿宋_GB2312"/>
          <w:sz w:val="32"/>
          <w:szCs w:val="32"/>
        </w:rPr>
        <w:t>包括人员经费、商品和服务支出（定额）。其中，人员经费包括工资福利支出、对个人和家庭的补助。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、项目支出：</w:t>
      </w:r>
      <w:r>
        <w:rPr>
          <w:rFonts w:hint="eastAsia" w:ascii="仿宋_GB2312" w:eastAsia="仿宋_GB2312"/>
          <w:sz w:val="32"/>
          <w:szCs w:val="32"/>
        </w:rPr>
        <w:t>部门（单位）支出预算的组成部分，是自治区本级部门（单位）为完成其特定的行政任务或事业发展目标，在基本支出预算之外编制的年度项目支出计划。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、“三公”经费：</w:t>
      </w:r>
      <w:r>
        <w:rPr>
          <w:rFonts w:hint="eastAsia" w:ascii="仿宋_GB2312" w:eastAsia="仿宋_GB2312"/>
          <w:sz w:val="32"/>
          <w:szCs w:val="32"/>
        </w:rPr>
        <w:t>指自治州本级部门（单位）用一般公共预算财政拨款安排的公务用车运行费和公务接待费。其中公务用车运行费指单位公务用车租用费、燃料费、维修费、过路过桥费、保险费、安全奖励费用等支出；公务接待费指单位按规定开支的各类公务接待（含外宾接待）支出。</w:t>
      </w:r>
    </w:p>
    <w:p>
      <w:pPr>
        <w:spacing w:line="520" w:lineRule="exact"/>
        <w:ind w:firstLine="642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、机关运行经费：</w:t>
      </w:r>
      <w:r>
        <w:rPr>
          <w:rFonts w:hint="eastAsia" w:ascii="仿宋_GB2312" w:eastAsia="仿宋_GB2312"/>
          <w:sz w:val="32"/>
          <w:szCs w:val="32"/>
        </w:rPr>
        <w:t>指各部门（单位）的公用经费，包括办公及差旅费、会议费、福利费、办公用房水电费、公务用车运行维护费。</w:t>
      </w:r>
    </w:p>
    <w:p>
      <w:pPr>
        <w:widowControl/>
        <w:spacing w:line="520" w:lineRule="exact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</w:t>
      </w:r>
    </w:p>
    <w:p>
      <w:pPr>
        <w:widowControl/>
        <w:spacing w:line="520" w:lineRule="exact"/>
        <w:jc w:val="center"/>
        <w:rPr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 2021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</w:rPr>
        <w:t>日</w:t>
      </w:r>
    </w:p>
    <w:sectPr>
      <w:footerReference r:id="rId5" w:type="default"/>
      <w:footerReference r:id="rId6" w:type="even"/>
      <w:pgSz w:w="11906" w:h="16838"/>
      <w:pgMar w:top="2041" w:right="1276" w:bottom="2041" w:left="1276" w:header="851" w:footer="1814" w:gutter="0"/>
      <w:pgNumType w:fmt="numberInDash"/>
      <w:cols w:space="720" w:num="1"/>
      <w:docGrid w:type="lines" w:linePitch="435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20 -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631" w:y="37"/>
      <w:jc w:val="right"/>
      <w:rPr>
        <w:rStyle w:val="12"/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Style w:val="12"/>
        <w:rFonts w:ascii="宋体" w:hAnsi="宋体" w:eastAsia="宋体"/>
        <w:sz w:val="28"/>
      </w:rPr>
      <w:instrText xml:space="preserve"> PAGE </w:instrText>
    </w:r>
    <w:r>
      <w:rPr>
        <w:rFonts w:ascii="宋体" w:hAnsi="宋体" w:eastAsia="宋体"/>
        <w:sz w:val="28"/>
      </w:rPr>
      <w:fldChar w:fldCharType="separate"/>
    </w:r>
    <w:r>
      <w:rPr>
        <w:rStyle w:val="12"/>
        <w:rFonts w:ascii="宋体" w:hAnsi="宋体" w:eastAsia="宋体"/>
        <w:sz w:val="28"/>
      </w:rPr>
      <w:t>- 33 -</w:t>
    </w:r>
    <w:r>
      <w:rPr>
        <w:rFonts w:ascii="宋体" w:hAnsi="宋体" w:eastAsia="宋体"/>
        <w:sz w:val="28"/>
      </w:rPr>
      <w:fldChar w:fldCharType="end"/>
    </w:r>
    <w:r>
      <w:rPr>
        <w:rStyle w:val="12"/>
        <w:rFonts w:hint="eastAsia" w:ascii="宋体" w:hAnsi="宋体" w:eastAsia="宋体"/>
        <w:sz w:val="28"/>
      </w:rPr>
      <w:t xml:space="preserve"> </w:t>
    </w:r>
  </w:p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756" w:y="37"/>
      <w:rPr>
        <w:rStyle w:val="12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- 34 -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213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BF"/>
    <w:rsid w:val="0009522A"/>
    <w:rsid w:val="00121764"/>
    <w:rsid w:val="001410DA"/>
    <w:rsid w:val="001662FE"/>
    <w:rsid w:val="00172C01"/>
    <w:rsid w:val="00186398"/>
    <w:rsid w:val="001D3009"/>
    <w:rsid w:val="002166BA"/>
    <w:rsid w:val="00324290"/>
    <w:rsid w:val="00396814"/>
    <w:rsid w:val="003B4B5F"/>
    <w:rsid w:val="003C61E3"/>
    <w:rsid w:val="00432267"/>
    <w:rsid w:val="00493EEC"/>
    <w:rsid w:val="004B5A44"/>
    <w:rsid w:val="004D2619"/>
    <w:rsid w:val="004F62F9"/>
    <w:rsid w:val="00520D5A"/>
    <w:rsid w:val="006B6A8C"/>
    <w:rsid w:val="006D5EAD"/>
    <w:rsid w:val="007219F8"/>
    <w:rsid w:val="007E2CEA"/>
    <w:rsid w:val="009035BA"/>
    <w:rsid w:val="00907796"/>
    <w:rsid w:val="0096028F"/>
    <w:rsid w:val="0099744C"/>
    <w:rsid w:val="009C6198"/>
    <w:rsid w:val="00A9706D"/>
    <w:rsid w:val="00B127E0"/>
    <w:rsid w:val="00BA582F"/>
    <w:rsid w:val="00C117E5"/>
    <w:rsid w:val="00CA4E1E"/>
    <w:rsid w:val="00DC05BF"/>
    <w:rsid w:val="00E72E1E"/>
    <w:rsid w:val="00F23808"/>
    <w:rsid w:val="00F54FE8"/>
    <w:rsid w:val="00F830A1"/>
    <w:rsid w:val="00F83503"/>
    <w:rsid w:val="00F90952"/>
    <w:rsid w:val="021D0585"/>
    <w:rsid w:val="02E274C1"/>
    <w:rsid w:val="07753405"/>
    <w:rsid w:val="081C071F"/>
    <w:rsid w:val="08973B4C"/>
    <w:rsid w:val="09155887"/>
    <w:rsid w:val="091D5DBC"/>
    <w:rsid w:val="0A051F3E"/>
    <w:rsid w:val="0D873062"/>
    <w:rsid w:val="0D947D80"/>
    <w:rsid w:val="0DBD458C"/>
    <w:rsid w:val="0F5506A7"/>
    <w:rsid w:val="0FB80240"/>
    <w:rsid w:val="104C253E"/>
    <w:rsid w:val="10781D50"/>
    <w:rsid w:val="113D7CA2"/>
    <w:rsid w:val="115D0178"/>
    <w:rsid w:val="11B44FE2"/>
    <w:rsid w:val="12A65F05"/>
    <w:rsid w:val="137A6A9E"/>
    <w:rsid w:val="14232ACA"/>
    <w:rsid w:val="147D4BE8"/>
    <w:rsid w:val="14AD7C2C"/>
    <w:rsid w:val="14C83DDF"/>
    <w:rsid w:val="14EA0D7F"/>
    <w:rsid w:val="15C9535E"/>
    <w:rsid w:val="15CA62B2"/>
    <w:rsid w:val="16453FC1"/>
    <w:rsid w:val="16563838"/>
    <w:rsid w:val="16B61FA4"/>
    <w:rsid w:val="173700AA"/>
    <w:rsid w:val="17EA5C0F"/>
    <w:rsid w:val="1A2D081E"/>
    <w:rsid w:val="1AD73975"/>
    <w:rsid w:val="1ADB67D3"/>
    <w:rsid w:val="1C6E770C"/>
    <w:rsid w:val="1C992671"/>
    <w:rsid w:val="1CA533A4"/>
    <w:rsid w:val="1CB8585A"/>
    <w:rsid w:val="1F7E1B88"/>
    <w:rsid w:val="20253063"/>
    <w:rsid w:val="20E13D1E"/>
    <w:rsid w:val="215109FB"/>
    <w:rsid w:val="22116CF7"/>
    <w:rsid w:val="223C3A0D"/>
    <w:rsid w:val="22486F10"/>
    <w:rsid w:val="22C737D2"/>
    <w:rsid w:val="23C51557"/>
    <w:rsid w:val="240B2E9A"/>
    <w:rsid w:val="25214FC4"/>
    <w:rsid w:val="252E1EB1"/>
    <w:rsid w:val="265D0F10"/>
    <w:rsid w:val="266B7B0F"/>
    <w:rsid w:val="27CD7BA2"/>
    <w:rsid w:val="27EA4446"/>
    <w:rsid w:val="289C3394"/>
    <w:rsid w:val="28BA314B"/>
    <w:rsid w:val="28F773B8"/>
    <w:rsid w:val="290269BD"/>
    <w:rsid w:val="2A834221"/>
    <w:rsid w:val="2AAA7371"/>
    <w:rsid w:val="2B503BC6"/>
    <w:rsid w:val="2B903AC2"/>
    <w:rsid w:val="2C5E374E"/>
    <w:rsid w:val="2D203B1D"/>
    <w:rsid w:val="2EB65FA6"/>
    <w:rsid w:val="31244695"/>
    <w:rsid w:val="32071BA8"/>
    <w:rsid w:val="33330E19"/>
    <w:rsid w:val="34D3748D"/>
    <w:rsid w:val="35DB0DD1"/>
    <w:rsid w:val="366F1946"/>
    <w:rsid w:val="36B2261A"/>
    <w:rsid w:val="371F7608"/>
    <w:rsid w:val="37207BAD"/>
    <w:rsid w:val="37947EE4"/>
    <w:rsid w:val="394C0139"/>
    <w:rsid w:val="3A972F15"/>
    <w:rsid w:val="3BF053E9"/>
    <w:rsid w:val="3DC9248E"/>
    <w:rsid w:val="3EB009F9"/>
    <w:rsid w:val="3EB872E7"/>
    <w:rsid w:val="3EF16309"/>
    <w:rsid w:val="3F4A7FC6"/>
    <w:rsid w:val="3F7147BD"/>
    <w:rsid w:val="3F8A5433"/>
    <w:rsid w:val="3FAF3952"/>
    <w:rsid w:val="414C1EC9"/>
    <w:rsid w:val="425D2DBB"/>
    <w:rsid w:val="433B15EB"/>
    <w:rsid w:val="434341AA"/>
    <w:rsid w:val="44AA127B"/>
    <w:rsid w:val="45567DFC"/>
    <w:rsid w:val="47041F5F"/>
    <w:rsid w:val="47C97ED6"/>
    <w:rsid w:val="4A9B5C6A"/>
    <w:rsid w:val="4BF0705E"/>
    <w:rsid w:val="4C477745"/>
    <w:rsid w:val="4D060492"/>
    <w:rsid w:val="4D674206"/>
    <w:rsid w:val="4E5A1518"/>
    <w:rsid w:val="4EA14C73"/>
    <w:rsid w:val="4EE514F8"/>
    <w:rsid w:val="4FBF3C4E"/>
    <w:rsid w:val="4FD5459E"/>
    <w:rsid w:val="4FDD744B"/>
    <w:rsid w:val="50AD5FB2"/>
    <w:rsid w:val="50B80127"/>
    <w:rsid w:val="522702FD"/>
    <w:rsid w:val="524B63CA"/>
    <w:rsid w:val="52964524"/>
    <w:rsid w:val="54B1050F"/>
    <w:rsid w:val="55C2020E"/>
    <w:rsid w:val="5630647A"/>
    <w:rsid w:val="566A323C"/>
    <w:rsid w:val="57782F9F"/>
    <w:rsid w:val="58451C20"/>
    <w:rsid w:val="58EC401C"/>
    <w:rsid w:val="59786C79"/>
    <w:rsid w:val="59C954E0"/>
    <w:rsid w:val="59E9270E"/>
    <w:rsid w:val="5AE4571C"/>
    <w:rsid w:val="5B8E693E"/>
    <w:rsid w:val="5BD04F44"/>
    <w:rsid w:val="5CE37FFD"/>
    <w:rsid w:val="5D2B69EB"/>
    <w:rsid w:val="5D615190"/>
    <w:rsid w:val="5E561347"/>
    <w:rsid w:val="5FE264BC"/>
    <w:rsid w:val="607B4F03"/>
    <w:rsid w:val="61194EF6"/>
    <w:rsid w:val="61DE7F35"/>
    <w:rsid w:val="61FB7BB0"/>
    <w:rsid w:val="622B472A"/>
    <w:rsid w:val="633546D0"/>
    <w:rsid w:val="638A1D16"/>
    <w:rsid w:val="641662F8"/>
    <w:rsid w:val="64751A98"/>
    <w:rsid w:val="647F30BE"/>
    <w:rsid w:val="65964F7F"/>
    <w:rsid w:val="67DD5D53"/>
    <w:rsid w:val="68021551"/>
    <w:rsid w:val="68BE0A03"/>
    <w:rsid w:val="693D3B86"/>
    <w:rsid w:val="6A35060F"/>
    <w:rsid w:val="6B4028E1"/>
    <w:rsid w:val="6BA57E1C"/>
    <w:rsid w:val="6BE32DB0"/>
    <w:rsid w:val="6C830213"/>
    <w:rsid w:val="71A765C5"/>
    <w:rsid w:val="72067338"/>
    <w:rsid w:val="720B50D5"/>
    <w:rsid w:val="72554AD8"/>
    <w:rsid w:val="72576D27"/>
    <w:rsid w:val="74C00F6E"/>
    <w:rsid w:val="74E31C52"/>
    <w:rsid w:val="75325F88"/>
    <w:rsid w:val="768B3A86"/>
    <w:rsid w:val="769351A7"/>
    <w:rsid w:val="77B218BA"/>
    <w:rsid w:val="77BC17EF"/>
    <w:rsid w:val="77E9218B"/>
    <w:rsid w:val="77F15EB3"/>
    <w:rsid w:val="7A313FC4"/>
    <w:rsid w:val="7A8F3160"/>
    <w:rsid w:val="7D2236B8"/>
    <w:rsid w:val="7E636F27"/>
    <w:rsid w:val="7FA7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200" w:firstLineChars="200"/>
      <w:outlineLvl w:val="2"/>
    </w:pPr>
    <w:rPr>
      <w:rFonts w:ascii="仿宋" w:hAnsi="仿宋" w:cs="宋体"/>
      <w:color w:val="FF000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Indent 3"/>
    <w:basedOn w:val="1"/>
    <w:link w:val="16"/>
    <w:qFormat/>
    <w:uiPriority w:val="0"/>
    <w:pPr>
      <w:pBdr>
        <w:top w:val="single" w:color="auto" w:sz="12" w:space="1"/>
        <w:bottom w:val="single" w:color="auto" w:sz="12" w:space="1"/>
      </w:pBdr>
      <w:spacing w:line="600" w:lineRule="exact"/>
      <w:ind w:left="1280" w:hanging="1280" w:hangingChars="400"/>
    </w:pPr>
    <w:rPr>
      <w:rFonts w:eastAsia="仿宋_GB2312" w:asciiTheme="minorHAnsi" w:hAnsiTheme="minorHAnsi" w:cstheme="minorBidi"/>
      <w:sz w:val="32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cs="Times New Roman"/>
      <w:b/>
      <w:bCs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页眉 字符"/>
    <w:basedOn w:val="10"/>
    <w:link w:val="5"/>
    <w:qFormat/>
    <w:uiPriority w:val="0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link w:val="3"/>
    <w:semiHidden/>
    <w:qFormat/>
    <w:uiPriority w:val="0"/>
    <w:rPr>
      <w:sz w:val="18"/>
      <w:szCs w:val="18"/>
    </w:rPr>
  </w:style>
  <w:style w:type="character" w:customStyle="1" w:styleId="16">
    <w:name w:val="正文文本缩进 3 字符"/>
    <w:link w:val="6"/>
    <w:qFormat/>
    <w:uiPriority w:val="0"/>
    <w:rPr>
      <w:rFonts w:eastAsia="仿宋_GB2312"/>
      <w:sz w:val="32"/>
      <w:szCs w:val="24"/>
    </w:rPr>
  </w:style>
  <w:style w:type="paragraph" w:customStyle="1" w:styleId="17">
    <w:name w:val="普通(网站)2"/>
    <w:basedOn w:val="1"/>
    <w:qFormat/>
    <w:uiPriority w:val="0"/>
    <w:rPr>
      <w:rFonts w:ascii="Calibri" w:hAnsi="Calibri" w:cs="黑体"/>
      <w:sz w:val="24"/>
    </w:rPr>
  </w:style>
  <w:style w:type="character" w:customStyle="1" w:styleId="18">
    <w:name w:val="正文文本缩进 3 字符1"/>
    <w:basedOn w:val="10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普通(网站)3"/>
    <w:basedOn w:val="1"/>
    <w:qFormat/>
    <w:uiPriority w:val="0"/>
    <w:rPr>
      <w:rFonts w:ascii="Calibri" w:hAnsi="Calibri" w:cs="黑体"/>
      <w:sz w:val="24"/>
    </w:rPr>
  </w:style>
  <w:style w:type="character" w:customStyle="1" w:styleId="21">
    <w:name w:val="批注框文本 字符1"/>
    <w:basedOn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paragraph" w:customStyle="1" w:styleId="23">
    <w:name w:val="普通(网站)1"/>
    <w:basedOn w:val="1"/>
    <w:qFormat/>
    <w:uiPriority w:val="0"/>
    <w:rPr>
      <w:rFonts w:ascii="Calibri" w:hAnsi="Calibri" w:cs="黑体"/>
      <w:sz w:val="24"/>
    </w:rPr>
  </w:style>
  <w:style w:type="character" w:customStyle="1" w:styleId="24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2401</Words>
  <Characters>13686</Characters>
  <Lines>114</Lines>
  <Paragraphs>32</Paragraphs>
  <TotalTime>7</TotalTime>
  <ScaleCrop>false</ScaleCrop>
  <LinksUpToDate>false</LinksUpToDate>
  <CharactersWithSpaces>16055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2021-01-27T08:28:00Z</dcterms:created>
  <dc:creator>薛理升</dc:creator>
  <cp:lastModifiedBy>lenovo</cp:lastModifiedBy>
  <dcterms:modified xsi:type="dcterms:W3CDTF">2021-08-18T09:35:22Z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