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csmb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厅领导，本厅有关处室</w:t>
      </w:r>
      <w:bookmarkEnd w:id="0"/>
      <w:bookmarkStart w:id="1" w:name="yinfadanwei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新疆维吾尔自治</w:t>
      </w:r>
      <w:bookmarkEnd w:id="1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克孜勒苏柯尔克孜自治州</w:t>
      </w:r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  <w:t>社会保险管理局2021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年预算公开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40" w:lineRule="exact"/>
        <w:ind w:firstLine="883" w:firstLineChars="200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概况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年部门（单位）预算公开表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/>
          <w:kern w:val="0"/>
          <w:sz w:val="32"/>
          <w:szCs w:val="32"/>
        </w:rPr>
        <w:t>部门（单位）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二、</w:t>
      </w:r>
      <w:r>
        <w:rPr>
          <w:rFonts w:hint="eastAsia" w:ascii="仿宋_GB2312" w:hAnsi="宋体" w:eastAsia="仿宋_GB2312"/>
          <w:kern w:val="0"/>
          <w:sz w:val="32"/>
          <w:szCs w:val="32"/>
        </w:rPr>
        <w:t>部门（单位）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收入总体情况表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三、</w:t>
      </w:r>
      <w:r>
        <w:rPr>
          <w:rFonts w:hint="eastAsia" w:ascii="仿宋_GB2312" w:hAnsi="宋体" w:eastAsia="仿宋_GB2312"/>
          <w:kern w:val="0"/>
          <w:sz w:val="32"/>
          <w:szCs w:val="32"/>
        </w:rPr>
        <w:t>部门（单位）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支出总体情况表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年一般公共预算项目支出情况说明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ab/>
      </w: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702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tabs>
          <w:tab w:val="left" w:pos="1871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ab/>
      </w:r>
    </w:p>
    <w:p>
      <w:pPr>
        <w:widowControl/>
        <w:tabs>
          <w:tab w:val="left" w:pos="1871"/>
        </w:tabs>
        <w:jc w:val="left"/>
        <w:outlineLvl w:val="1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both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概</w:t>
      </w:r>
      <w:r>
        <w:rPr>
          <w:rFonts w:hint="eastAsia" w:ascii="黑体" w:hAnsi="黑体" w:eastAsia="黑体"/>
          <w:kern w:val="0"/>
          <w:sz w:val="32"/>
          <w:szCs w:val="32"/>
        </w:rPr>
        <w:t>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  <w:t>克孜勒苏柯尔克孜自治州社会保险管理局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承担着全州10亿基金及全州70万余人次的五项社会保险（养老保险、工伤保险、失业保险）基金的征缴、结算、审核、支付、运行、管理、下解上解分配。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hAnsi="黑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单位无下属预算单位，下设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个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室，分别是：办公室、计财科、社会基金征缴科、社会基金结算科、社会保险稽核科、档案管理科。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编制数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，实有人数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人，其中：在职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</w:t>
      </w:r>
      <w:bookmarkStart w:id="2" w:name="_GoBack"/>
      <w:bookmarkEnd w:id="2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，减少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人；退休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人，增加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人；离休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人，增加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color w:val="0000FF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tbl>
      <w:tblPr>
        <w:tblStyle w:val="11"/>
        <w:tblpPr w:leftFromText="180" w:rightFromText="180" w:vertAnchor="text" w:horzAnchor="page" w:tblpX="62" w:tblpY="527"/>
        <w:tblOverlap w:val="never"/>
        <w:tblW w:w="11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0"/>
        <w:gridCol w:w="1830"/>
        <w:gridCol w:w="3360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表一：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部门（单位）收支总体情况表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       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一、财政拨款（补助）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 一般公共服务支出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一般公共预算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外交支出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政府性基金预算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 国防支出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 公共安全支出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教育收费（财政专户）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 教育支出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 科学技术支出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1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 文化体育与传媒支出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 社会保障和就业支出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单位其他资金收入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 社会保险基金支出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上级专项收入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 卫生健康支出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 节能环保支出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 城乡社区支出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 农林水支出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 交通运输支出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 资源勘探工业信息等支出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 商业服务业等支出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 金融支出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 援助其他地区支出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自然资源海洋气象等支出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 住房保障支出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 粮油物资管理支出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 国有资本经营预算支出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 灾害防治及应急管理支出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 预备费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 其他支出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 债务还本支出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 债务付息支出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 债务发行费支出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 抗疫特别国债安排的支出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收  入  小  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支  出  小  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单位上年结余（不包含国库集中支付额度结余）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49.32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 转移性支出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收      入      总      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出  总   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363.82</w:t>
            </w:r>
          </w:p>
        </w:tc>
      </w:tr>
    </w:tbl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2021年克孜勒苏柯尔克孜自治州社会保险管理局</w:t>
      </w:r>
      <w:r>
        <w:rPr>
          <w:rFonts w:hint="eastAsia" w:ascii="黑体" w:hAnsi="黑体" w:eastAsia="黑体"/>
          <w:kern w:val="0"/>
          <w:sz w:val="32"/>
          <w:szCs w:val="32"/>
        </w:rPr>
        <w:t>预算公开表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tbl>
      <w:tblPr>
        <w:tblStyle w:val="11"/>
        <w:tblW w:w="9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88"/>
        <w:gridCol w:w="340"/>
        <w:gridCol w:w="428"/>
        <w:gridCol w:w="90"/>
        <w:gridCol w:w="828"/>
        <w:gridCol w:w="121"/>
        <w:gridCol w:w="641"/>
        <w:gridCol w:w="161"/>
        <w:gridCol w:w="595"/>
        <w:gridCol w:w="160"/>
        <w:gridCol w:w="424"/>
        <w:gridCol w:w="153"/>
        <w:gridCol w:w="584"/>
        <w:gridCol w:w="153"/>
        <w:gridCol w:w="363"/>
        <w:gridCol w:w="67"/>
        <w:gridCol w:w="403"/>
        <w:gridCol w:w="45"/>
        <w:gridCol w:w="1"/>
        <w:gridCol w:w="365"/>
        <w:gridCol w:w="118"/>
        <w:gridCol w:w="1"/>
        <w:gridCol w:w="292"/>
        <w:gridCol w:w="224"/>
        <w:gridCol w:w="187"/>
        <w:gridCol w:w="255"/>
        <w:gridCol w:w="156"/>
        <w:gridCol w:w="232"/>
        <w:gridCol w:w="179"/>
        <w:gridCol w:w="530"/>
        <w:gridCol w:w="319"/>
        <w:gridCol w:w="78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outlineLvl w:val="1"/>
              <w:rPr>
                <w:rFonts w:hint="eastAsia" w:ascii="宋体" w:hAnsi="宋体" w:eastAsia="仿宋_GB2312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表二</w:t>
            </w: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9" w:type="dxa"/>
          <w:trHeight w:val="412" w:hRule="atLeast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84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部门（单位）收入总体情况表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60" w:hRule="atLeast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5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75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7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政府性基金预算拨款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4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教育收费（财政专户）</w:t>
            </w:r>
          </w:p>
        </w:tc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41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41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4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单位其他资金收入</w:t>
            </w:r>
          </w:p>
        </w:tc>
        <w:tc>
          <w:tcPr>
            <w:tcW w:w="4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上级专项收入</w:t>
            </w:r>
          </w:p>
        </w:tc>
        <w:tc>
          <w:tcPr>
            <w:tcW w:w="4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单位上年结余（不包含国库集中支付额度结余）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75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36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2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4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4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4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358.82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309.50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98" w:type="dxa"/>
          <w:trHeight w:val="7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tbl>
      <w:tblPr>
        <w:tblStyle w:val="11"/>
        <w:tblW w:w="7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455"/>
        <w:gridCol w:w="455"/>
        <w:gridCol w:w="1588"/>
        <w:gridCol w:w="1214"/>
        <w:gridCol w:w="1112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outlineLvl w:val="1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表三：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280" w:lineRule="exact"/>
        <w:jc w:val="center"/>
        <w:outlineLvl w:val="1"/>
        <w:rPr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部门（单位）支出总体情况表</w:t>
      </w:r>
    </w:p>
    <w:tbl>
      <w:tblPr>
        <w:tblStyle w:val="11"/>
        <w:tblW w:w="7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504"/>
        <w:gridCol w:w="504"/>
        <w:gridCol w:w="1757"/>
        <w:gridCol w:w="1246"/>
        <w:gridCol w:w="97"/>
        <w:gridCol w:w="1015"/>
        <w:gridCol w:w="216"/>
        <w:gridCol w:w="896"/>
        <w:gridCol w:w="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5" w:type="dxa"/>
          <w:trHeight w:val="360" w:hRule="atLeast"/>
        </w:trPr>
        <w:tc>
          <w:tcPr>
            <w:tcW w:w="5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支出预算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358.82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344.52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</w:tbl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tbl>
      <w:tblPr>
        <w:tblStyle w:val="11"/>
        <w:tblW w:w="10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425"/>
        <w:gridCol w:w="115"/>
        <w:gridCol w:w="72"/>
        <w:gridCol w:w="468"/>
        <w:gridCol w:w="488"/>
        <w:gridCol w:w="1867"/>
        <w:gridCol w:w="946"/>
        <w:gridCol w:w="637"/>
        <w:gridCol w:w="217"/>
        <w:gridCol w:w="440"/>
        <w:gridCol w:w="431"/>
        <w:gridCol w:w="225"/>
        <w:gridCol w:w="554"/>
        <w:gridCol w:w="140"/>
        <w:gridCol w:w="637"/>
        <w:gridCol w:w="281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63" w:hRule="atLeast"/>
        </w:trPr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20" w:beforeLines="50" w:line="280" w:lineRule="exact"/>
              <w:outlineLvl w:val="1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表四：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86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20" w:beforeLines="50" w:line="280" w:lineRule="exact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财政拨款收支预算总体情况表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20" w:beforeLines="50" w:line="280" w:lineRule="exact"/>
              <w:jc w:val="center"/>
              <w:outlineLvl w:val="1"/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81" w:hRule="atLeast"/>
        </w:trPr>
        <w:tc>
          <w:tcPr>
            <w:tcW w:w="6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编制部门（单位）：克孜勒苏柯尔克孜自治州社会保险管理局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3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           目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一、财政拨款（补助）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 一般公共服务支出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9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一般公共预算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 外交支出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7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政府性基金预算</w:t>
            </w:r>
          </w:p>
        </w:tc>
        <w:tc>
          <w:tcPr>
            <w:tcW w:w="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 国防支出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88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 公共安全支出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 教育支出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96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 科学技术支出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8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 文化旅游体育与传媒支出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 社会保障和就业支出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15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 社会保险基金支出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0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 卫生健康支出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71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 节能环保支出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3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 城乡社区支出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 农林水支出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96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 交通运输支出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3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 资源勘探工业信息等支出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3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 商业服务业等支出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7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 金融支出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7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 援助其他地区支出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25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自然资源海洋气象等支出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25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 住房保障支出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4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 粮油物资管理支出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08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 国有资本经营预算支出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29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 灾害防治及应急管理支出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06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 预备费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169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 其他支出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6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 债务还本支出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44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 债务付息支出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6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 债务发行费支出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252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 抗疫特别国债安排的支出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59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收  入  小  计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年  支  出  小  计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单位上年结余（不包含国库集中支付额度结余）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49.32 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 转移性支出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73" w:type="dxa"/>
          <w:trHeight w:val="360" w:hRule="atLeast"/>
        </w:trPr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11"/>
              <w:tblW w:w="1549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0"/>
              <w:gridCol w:w="1830"/>
              <w:gridCol w:w="3360"/>
              <w:gridCol w:w="1770"/>
              <w:gridCol w:w="1740"/>
              <w:gridCol w:w="1560"/>
              <w:gridCol w:w="172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/>
                    </w:rPr>
                    <w:t>收   入   总    计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314.50 </w:t>
                  </w:r>
                </w:p>
              </w:tc>
              <w:tc>
                <w:tcPr>
                  <w:tcW w:w="3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支   出  总   计</w:t>
                  </w:r>
                </w:p>
              </w:tc>
              <w:tc>
                <w:tcPr>
                  <w:tcW w:w="1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314.50 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314.50 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1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Style w:val="24"/>
                      <w:lang w:val="en-US" w:eastAsia="zh-CN" w:bidi="ar"/>
                    </w:rPr>
                    <w:t>.00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314.5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出  总   计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2" w:type="dxa"/>
          <w:trHeight w:val="243" w:hRule="atLeast"/>
        </w:trPr>
        <w:tc>
          <w:tcPr>
            <w:tcW w:w="95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2" w:type="dxa"/>
          <w:trHeight w:val="360" w:hRule="atLeast"/>
        </w:trPr>
        <w:tc>
          <w:tcPr>
            <w:tcW w:w="95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92" w:type="dxa"/>
          <w:trHeight w:val="280" w:hRule="atLeast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3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1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6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314.50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tbl>
      <w:tblPr>
        <w:tblStyle w:val="11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731"/>
        <w:gridCol w:w="2850"/>
        <w:gridCol w:w="994"/>
        <w:gridCol w:w="1687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经济分类科目名称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288.48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86.37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108.07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23.03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20.43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13.25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奖励金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/>
    <w:tbl>
      <w:tblPr>
        <w:tblStyle w:val="11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468"/>
        <w:gridCol w:w="413"/>
        <w:gridCol w:w="1237"/>
        <w:gridCol w:w="957"/>
        <w:gridCol w:w="768"/>
        <w:gridCol w:w="525"/>
        <w:gridCol w:w="638"/>
        <w:gridCol w:w="656"/>
        <w:gridCol w:w="405"/>
        <w:gridCol w:w="329"/>
        <w:gridCol w:w="268"/>
        <w:gridCol w:w="345"/>
        <w:gridCol w:w="231"/>
        <w:gridCol w:w="313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表七：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项目支出合计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资本性支出(基本建设)</w:t>
            </w:r>
          </w:p>
        </w:tc>
        <w:tc>
          <w:tcPr>
            <w:tcW w:w="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对企业补助(基本建设)</w:t>
            </w:r>
          </w:p>
        </w:tc>
        <w:tc>
          <w:tcPr>
            <w:tcW w:w="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线路租赁费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岗位见习补贴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pStyle w:val="2"/>
        <w:ind w:left="0" w:leftChars="0" w:firstLine="0" w:firstLineChars="0"/>
      </w:pPr>
    </w:p>
    <w:p/>
    <w:p>
      <w:pPr>
        <w:pStyle w:val="2"/>
      </w:pPr>
    </w:p>
    <w:tbl>
      <w:tblPr>
        <w:tblStyle w:val="11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7"/>
        <w:gridCol w:w="1581"/>
        <w:gridCol w:w="995"/>
        <w:gridCol w:w="995"/>
        <w:gridCol w:w="996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表八：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因公出国(境)费用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tbl>
      <w:tblPr>
        <w:tblStyle w:val="11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303"/>
        <w:gridCol w:w="303"/>
        <w:gridCol w:w="1724"/>
        <w:gridCol w:w="1341"/>
        <w:gridCol w:w="1210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outlineLvl w:val="1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表九：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克孜勒苏柯尔克孜自治州社会保险管理局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562" w:firstLineChars="200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年没有使用政府性基金预算拨款安排的支出，政府性基金预算支出情况表为空。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第三部分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/>
          <w:kern w:val="0"/>
          <w:sz w:val="32"/>
          <w:szCs w:val="32"/>
        </w:rPr>
        <w:t>年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黑体" w:hAnsi="黑体" w:eastAsia="黑体"/>
          <w:kern w:val="0"/>
          <w:sz w:val="32"/>
          <w:szCs w:val="32"/>
        </w:rPr>
        <w:t>预算情况说明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年所有收入和支出均纳入部门（单位）预算管理。收支总预算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、单位上年结余（不包括国库集中支付额度结余）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49.32万元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363.82万元。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克州社会保险给局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86.44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190.16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；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国有资本经营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预算未安排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单位上年结余（不包括国库集中支付额度结余）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49.32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13.56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上年财政拨款结余弥补2020年支出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年末财政拨款无结余，只有其他资金户的结余。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363.82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344.52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94.7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240.24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2021年我单位上核心三版系统，原来的系统交换数据在地方服务器上进行交换，上核心三版后交换数据由自治区统一管理，故单位延续项目机房服务费在2021年项目里减少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年财政拨款收支预算情况的总体说明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和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国有资本经营预算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。</w:t>
      </w:r>
    </w:p>
    <w:p>
      <w:pPr>
        <w:spacing w:line="560" w:lineRule="exact"/>
        <w:ind w:firstLine="616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收入预算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包括：一般公共预算拨款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.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一般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社会保障和就业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社会保障经办机构309.5万元、其他人力资源和社会保障管理事务支出5万元。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（一）一般公共预算当年拨款规模变化情况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合计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314.5万元，其中：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308.2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减少183.06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37.26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在职人员14人整体划转到克州医疗保障局。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减少1.32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下降6.4%，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主要原因是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2021年有减少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项目经费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机房托管服务费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社会保障和就业支出（类：208）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社会保障和就业支出（类：208）人力资源和社会保障管理事务（款：01）社会保险经办机构（项：09）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:2021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309.5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数减少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181.76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在职人员14人整体划转到克州医疗保障局。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社会保障和就业支出（类：208）人力资源和社会保障管理事务（款：01）其他人力资源和社会保障管理事务支出（项：99）：2021年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数减少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8.4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62.69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主要原因为2021年预算中减少项目机房托管服务费。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308.2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288.48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86.37万元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、津贴补贴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108.07万元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、奖金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、机关事业单位基本养老保险缴费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28.39万元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、其他社会保障缴费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23.03万元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、住房公积金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20.43万元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、退休费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13.25万元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、奖励金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1.74万元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19.73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万元，主要包括：差旅费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、会议费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1.6万元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、工会经费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、福利费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、公务用车运行维护费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8万元、水费0.5万元、电费2万元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年一般公共预算项目支出情况说明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情况一：（项目支出、专项业务费按下列内容说明）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线路租赁费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州本级项目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5万元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</w:t>
      </w:r>
      <w:r>
        <w:rPr>
          <w:rFonts w:ascii="仿宋_GB2312" w:hAnsi="黑体" w:eastAsia="仿宋_GB2312" w:cs="Times New Roman"/>
          <w:sz w:val="32"/>
          <w:szCs w:val="32"/>
        </w:rPr>
        <w:t>情况</w:t>
      </w:r>
      <w:r>
        <w:rPr>
          <w:rFonts w:hint="eastAsia" w:ascii="仿宋_GB2312" w:hAnsi="黑体" w:eastAsia="仿宋_GB2312" w:cs="Times New Roman"/>
          <w:sz w:val="32"/>
          <w:szCs w:val="32"/>
        </w:rPr>
        <w:t>：承担着全州60万人的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Times New Roman"/>
          <w:sz w:val="32"/>
          <w:szCs w:val="32"/>
        </w:rPr>
        <w:t>项社会保险（养老保险、工伤保险、失业保险、城镇居民基本养老保险）基金的征缴、审核、结算、支付、运行、管理、上解下解分配工作；负责社会保险待遇支付标准核定与发放工作；管理全州养老保险、失业保险、工伤保险工作；负责社会保险关系的登记、中断、接续、转移工作；承担全州各项社会保险的社会化管理和服务工作；管理和维护“克州社会保险管理信息系统”，负责全州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机关事业单位养老待遇、工伤保险、失业保险、城乡居民养老待遇和职业年金的征收</w:t>
      </w:r>
      <w:r>
        <w:rPr>
          <w:rFonts w:hint="eastAsia" w:ascii="仿宋_GB2312" w:hAnsi="黑体" w:eastAsia="仿宋_GB2312" w:cs="Times New Roman"/>
          <w:sz w:val="32"/>
          <w:szCs w:val="32"/>
        </w:rPr>
        <w:t>费用的审核、结算、报销及社保业务档案管理、报表定期上报工作；同时担负全州社会保险经办部门业务指导、基金监管运行分析等工作。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2021年全年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情况二：（</w:t>
      </w:r>
      <w:r>
        <w:rPr>
          <w:rFonts w:ascii="仿宋_GB2312" w:hAnsi="宋体" w:eastAsia="仿宋_GB2312"/>
          <w:b/>
          <w:sz w:val="32"/>
          <w:szCs w:val="22"/>
        </w:rPr>
        <w:t>属于</w:t>
      </w:r>
      <w:r>
        <w:rPr>
          <w:rFonts w:ascii="仿宋_GB2312" w:hAnsi="宋体" w:eastAsia="仿宋_GB2312"/>
          <w:b/>
          <w:spacing w:val="-8"/>
          <w:sz w:val="32"/>
          <w:szCs w:val="22"/>
        </w:rPr>
        <w:t>对个人补贴的项目支出</w:t>
      </w:r>
      <w:r>
        <w:rPr>
          <w:rFonts w:hint="eastAsia" w:ascii="仿宋_GB2312" w:hAnsi="黑体" w:eastAsia="仿宋_GB2312"/>
          <w:b/>
          <w:sz w:val="32"/>
          <w:szCs w:val="32"/>
        </w:rPr>
        <w:t>按下列内容说明）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岗位见习补贴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落实自治区常态化疫情防控工作。克财社【2020】86号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1.3万元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克孜勒苏柯尔克孜自治州社会保险管理局</w:t>
      </w:r>
    </w:p>
    <w:p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岗位见习补贴3人，540元/月，2021年补贴8个月。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2021年1月至2021年8月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2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资金来源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财政拨款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2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补贴人数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3人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2"/>
        </w:rPr>
      </w:pPr>
      <w:r>
        <w:rPr>
          <w:rFonts w:ascii="仿宋_GB2312" w:hAnsi="宋体" w:eastAsia="仿宋_GB2312"/>
          <w:sz w:val="32"/>
          <w:szCs w:val="22"/>
        </w:rPr>
        <w:t>补贴标准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540元/月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补贴范围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见习生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补贴方式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按月发放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发放程序：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走银行工资代发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受益人群和社会效益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加大了大中专学生的就业率，维护了社会稳定。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年一般公共预算“三公”经费预算情况说明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年一般公共预算“三公”经费数为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年一般公共预算“三公”经费比上年减少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单位未安排因公出国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的开支；公务用车购置费为0，未安排预算。主要原因是压缩三公经费的开支；公务用车运行费减少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万元，主要原因是压缩三公经费的开支；公务接待费减少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万元，主要原因是压缩三公经费的开支。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年政府性基金预算拨款情况说明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年没有使用政府性基金预算拨款安排的支出，政府性基金预算支出情况表为空表。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本级及下属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家行政单位和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家事业单位的机关运行经费财政拨款预算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19.73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37.82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人员减少人头经费减少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政府采购预算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45.82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35.82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万元，政府采购工程预算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万元，政府采购服务预算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</w:rPr>
        <w:t>年度本部门面向中小企业预留政府采购项目预算金额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万元，其中：面向小微企业预留政府采购项目预算金额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及下属各预算单位占用使用国有资产总体情况为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万元；其中：一般公务用车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辆，价值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万元；执法执勤用车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万元；其他车辆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37.34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333.26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预算未安排购置车辆经费（或安排购置车辆经费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万元），安排购置50万元以上大型设备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年度，本年度实行绩效管理的一般公共预算项目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个，涉及预算金额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万元。具体情况见下表（按项目分别填报）：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11"/>
        <w:tblW w:w="9043" w:type="dxa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317"/>
        <w:gridCol w:w="604"/>
        <w:gridCol w:w="2194"/>
        <w:gridCol w:w="2681"/>
        <w:gridCol w:w="3150"/>
        <w:gridCol w:w="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54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  目  支  出  绩  效  目  标 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54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（2021年）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线路租赁费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克孜勒苏柯尔克孜自治州社会保险管理局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其中：财政拨款：5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1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其他资金：0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7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着全州60万人的九项社会保险（养老保险、工伤保险、失业保险、城镇居民基本养老保险）基金的征缴、审核、结算、支付、运行、管理、上解下解分配工作；负责社会保险待遇支付标准核定与发放工作；管理全州养老保险、失业保险、工伤保险、负责社会保险关系的登记、中断、接续、转移工作；承担全州各项社会保险的社会化管理和服务工作；管理和维护“克州社会保险管理信息系统”和“医疗保险管理信息系统”，负责全州定点医院、门诊、零售药店服务协议管理工作；填表审批、审核、结算、报销及社保业务档案管理、报表定期上报工作；同时担负全州社会保险经办部门业务指导、基金监管运行分析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租用专线网络数量（条）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信息自动化运行保障率（%）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项目完成及时率（%）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网络线路租赁标准（万元/年）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提高工作服务水平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保障就医结算日常需要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00" w:hRule="atLeast"/>
        </w:trPr>
        <w:tc>
          <w:tcPr>
            <w:tcW w:w="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tbl>
      <w:tblPr>
        <w:tblStyle w:val="11"/>
        <w:tblW w:w="87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521"/>
        <w:gridCol w:w="1605"/>
        <w:gridCol w:w="3437"/>
        <w:gridCol w:w="275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0" w:hRule="atLeast"/>
        </w:trPr>
        <w:tc>
          <w:tcPr>
            <w:tcW w:w="8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8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岗位见习补贴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克孜勒苏柯尔克孜自治州社会保险管理局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其中：财政拨款：1.3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25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其他资金：0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6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落实自治区常态化疫情防控工作。克财社【2020】86号，加大了大中专学生的就业率，维护了社会稳定。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岗位补贴保障率（%）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项目完成及时率（%）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岗位补贴标准（万元/月）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提高工作服务水平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保障岗位补贴需要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widowControl/>
        <w:spacing w:line="480" w:lineRule="exact"/>
        <w:jc w:val="left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</w:p>
    <w:p>
      <w:pPr>
        <w:widowControl/>
        <w:spacing w:line="48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克孜勒苏柯尔克孜自治州社会保险管理局无其他事项说明。</w:t>
      </w: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</w:t>
      </w:r>
      <w:r>
        <w:rPr>
          <w:rFonts w:hint="eastAsia" w:ascii="仿宋_GB2312" w:eastAsia="仿宋_GB2312"/>
          <w:sz w:val="32"/>
          <w:szCs w:val="32"/>
          <w:lang w:eastAsia="zh-CN"/>
        </w:rPr>
        <w:t>、国有资本经营预算</w:t>
      </w:r>
      <w:r>
        <w:rPr>
          <w:rFonts w:hint="eastAsia" w:ascii="仿宋_GB2312" w:eastAsia="仿宋_GB2312"/>
          <w:sz w:val="32"/>
          <w:szCs w:val="32"/>
        </w:rPr>
        <w:t>安排的财政拨款数。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、其他资金：</w:t>
      </w:r>
      <w:r>
        <w:rPr>
          <w:rFonts w:hint="eastAsia" w:ascii="仿宋_GB2312" w:eastAsia="仿宋_GB2312"/>
          <w:sz w:val="32"/>
          <w:szCs w:val="32"/>
        </w:rPr>
        <w:t>包括其他收入等。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部门（单位）支出预算的组成部分，是自治区本级部门（单位）为完成其特定的行政任务或事业发展目标，在基本支出预算之外编制的年度项目支出计划。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、“三公”经费：</w:t>
      </w:r>
      <w:r>
        <w:rPr>
          <w:rFonts w:hint="eastAsia" w:ascii="仿宋_GB2312" w:eastAsia="仿宋_GB2312"/>
          <w:sz w:val="32"/>
          <w:szCs w:val="32"/>
        </w:rPr>
        <w:t>指自治州本级部门（单位）用一般公共预算财政拨款安排的公务用车运行费和公务接待费。其中公务用车运行费指单位公务用车租用费、燃料费、维修费、过路过桥费、保险费、安全奖励费用等支出；公务接待费指单位按规定开支的各类公务接待（含外宾接待）支出。</w:t>
      </w:r>
    </w:p>
    <w:p>
      <w:pPr>
        <w:spacing w:line="520" w:lineRule="exact"/>
        <w:ind w:firstLine="64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指各部门（单位）的公用经费，包括办公及差旅费、会议费、福利费、办公用房水电费、公务用车运行维护费。</w:t>
      </w:r>
    </w:p>
    <w:p>
      <w:pPr>
        <w:widowControl/>
        <w:spacing w:line="520" w:lineRule="exact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克孜勒苏柯尔克孜自治州社会保险管理局</w:t>
      </w:r>
    </w:p>
    <w:p>
      <w:pPr>
        <w:widowControl/>
        <w:spacing w:line="520" w:lineRule="exact"/>
        <w:jc w:val="center"/>
        <w:rPr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2021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sectPr>
      <w:footerReference r:id="rId5" w:type="default"/>
      <w:footerReference r:id="rId6" w:type="even"/>
      <w:pgSz w:w="11906" w:h="16838"/>
      <w:pgMar w:top="2041" w:right="1276" w:bottom="2041" w:left="1276" w:header="851" w:footer="1814" w:gutter="0"/>
      <w:pgNumType w:fmt="numberInDash"/>
      <w:cols w:space="720" w:num="1"/>
      <w:docGrid w:type="lines" w:linePitch="43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631" w:y="37"/>
      <w:jc w:val="right"/>
      <w:rPr>
        <w:rStyle w:val="10"/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10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- 33 -</w:t>
    </w:r>
    <w:r>
      <w:rPr>
        <w:rFonts w:ascii="宋体" w:hAnsi="宋体" w:eastAsia="宋体"/>
        <w:sz w:val="28"/>
      </w:rPr>
      <w:fldChar w:fldCharType="end"/>
    </w:r>
    <w:r>
      <w:rPr>
        <w:rStyle w:val="10"/>
        <w:rFonts w:hint="eastAsia" w:ascii="宋体" w:hAnsi="宋体" w:eastAsia="宋体"/>
        <w:sz w:val="28"/>
      </w:rPr>
      <w:t xml:space="preserve"> 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756" w:y="37"/>
      <w:rPr>
        <w:rStyle w:val="10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- 34 -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BF"/>
    <w:rsid w:val="0009522A"/>
    <w:rsid w:val="00121764"/>
    <w:rsid w:val="001410DA"/>
    <w:rsid w:val="001662FE"/>
    <w:rsid w:val="00172C01"/>
    <w:rsid w:val="00186398"/>
    <w:rsid w:val="001D3009"/>
    <w:rsid w:val="002166BA"/>
    <w:rsid w:val="00324290"/>
    <w:rsid w:val="00396814"/>
    <w:rsid w:val="003B4B5F"/>
    <w:rsid w:val="003C61E3"/>
    <w:rsid w:val="00432267"/>
    <w:rsid w:val="00493EEC"/>
    <w:rsid w:val="004B5A44"/>
    <w:rsid w:val="004D2619"/>
    <w:rsid w:val="004F62F9"/>
    <w:rsid w:val="00520D5A"/>
    <w:rsid w:val="006B6A8C"/>
    <w:rsid w:val="006D5EAD"/>
    <w:rsid w:val="007219F8"/>
    <w:rsid w:val="007E2CEA"/>
    <w:rsid w:val="009035BA"/>
    <w:rsid w:val="00907796"/>
    <w:rsid w:val="0096028F"/>
    <w:rsid w:val="0099744C"/>
    <w:rsid w:val="009C6198"/>
    <w:rsid w:val="00A9706D"/>
    <w:rsid w:val="00B127E0"/>
    <w:rsid w:val="00BA582F"/>
    <w:rsid w:val="00C117E5"/>
    <w:rsid w:val="00CA4E1E"/>
    <w:rsid w:val="00DC05BF"/>
    <w:rsid w:val="00E72E1E"/>
    <w:rsid w:val="00F23808"/>
    <w:rsid w:val="00F54FE8"/>
    <w:rsid w:val="00F830A1"/>
    <w:rsid w:val="00F83503"/>
    <w:rsid w:val="00F90952"/>
    <w:rsid w:val="02E274C1"/>
    <w:rsid w:val="08973B4C"/>
    <w:rsid w:val="09155887"/>
    <w:rsid w:val="091D5DBC"/>
    <w:rsid w:val="0D873062"/>
    <w:rsid w:val="0D947D80"/>
    <w:rsid w:val="0DBD458C"/>
    <w:rsid w:val="0F5506A7"/>
    <w:rsid w:val="104C253E"/>
    <w:rsid w:val="113D7CA2"/>
    <w:rsid w:val="115D0178"/>
    <w:rsid w:val="12A65F05"/>
    <w:rsid w:val="14232ACA"/>
    <w:rsid w:val="147D4BE8"/>
    <w:rsid w:val="14AD7C2C"/>
    <w:rsid w:val="14C83DDF"/>
    <w:rsid w:val="14EA0D7F"/>
    <w:rsid w:val="15C9535E"/>
    <w:rsid w:val="15CA62B2"/>
    <w:rsid w:val="16453FC1"/>
    <w:rsid w:val="16563838"/>
    <w:rsid w:val="16B61FA4"/>
    <w:rsid w:val="173700AA"/>
    <w:rsid w:val="17EA5C0F"/>
    <w:rsid w:val="1A2D081E"/>
    <w:rsid w:val="1AD73975"/>
    <w:rsid w:val="1ADB67D3"/>
    <w:rsid w:val="1C6E770C"/>
    <w:rsid w:val="1C992671"/>
    <w:rsid w:val="1CA533A4"/>
    <w:rsid w:val="1CB8585A"/>
    <w:rsid w:val="1F7E1B88"/>
    <w:rsid w:val="20253063"/>
    <w:rsid w:val="215109FB"/>
    <w:rsid w:val="22116CF7"/>
    <w:rsid w:val="223C3A0D"/>
    <w:rsid w:val="23C51557"/>
    <w:rsid w:val="240B2E9A"/>
    <w:rsid w:val="25214FC4"/>
    <w:rsid w:val="252E1EB1"/>
    <w:rsid w:val="265D0F10"/>
    <w:rsid w:val="266B7B0F"/>
    <w:rsid w:val="289C3394"/>
    <w:rsid w:val="28BA314B"/>
    <w:rsid w:val="290269BD"/>
    <w:rsid w:val="2AAA7371"/>
    <w:rsid w:val="2C5E374E"/>
    <w:rsid w:val="2D203B1D"/>
    <w:rsid w:val="2EB65FA6"/>
    <w:rsid w:val="31244695"/>
    <w:rsid w:val="33330E19"/>
    <w:rsid w:val="35DB0DD1"/>
    <w:rsid w:val="366F1946"/>
    <w:rsid w:val="36B2261A"/>
    <w:rsid w:val="37207BAD"/>
    <w:rsid w:val="37947EE4"/>
    <w:rsid w:val="394C0139"/>
    <w:rsid w:val="3A972F15"/>
    <w:rsid w:val="3EB009F9"/>
    <w:rsid w:val="3EB872E7"/>
    <w:rsid w:val="3EF16309"/>
    <w:rsid w:val="3F7147BD"/>
    <w:rsid w:val="3FAF3952"/>
    <w:rsid w:val="414C1EC9"/>
    <w:rsid w:val="425D2DBB"/>
    <w:rsid w:val="433B15EB"/>
    <w:rsid w:val="45567DFC"/>
    <w:rsid w:val="4A9B5C6A"/>
    <w:rsid w:val="4BF0705E"/>
    <w:rsid w:val="4C477745"/>
    <w:rsid w:val="4D060492"/>
    <w:rsid w:val="4D674206"/>
    <w:rsid w:val="4EA14C73"/>
    <w:rsid w:val="4EE514F8"/>
    <w:rsid w:val="4FBF3C4E"/>
    <w:rsid w:val="50AD5FB2"/>
    <w:rsid w:val="50B80127"/>
    <w:rsid w:val="522702FD"/>
    <w:rsid w:val="524B63CA"/>
    <w:rsid w:val="54B1050F"/>
    <w:rsid w:val="5630647A"/>
    <w:rsid w:val="566A323C"/>
    <w:rsid w:val="57782F9F"/>
    <w:rsid w:val="58451C20"/>
    <w:rsid w:val="59786C79"/>
    <w:rsid w:val="59E9270E"/>
    <w:rsid w:val="5AE4571C"/>
    <w:rsid w:val="5BD04F44"/>
    <w:rsid w:val="5CE37FFD"/>
    <w:rsid w:val="5D2B69EB"/>
    <w:rsid w:val="5D615190"/>
    <w:rsid w:val="5E561347"/>
    <w:rsid w:val="5FE264BC"/>
    <w:rsid w:val="607B4F03"/>
    <w:rsid w:val="61194EF6"/>
    <w:rsid w:val="61DE7F35"/>
    <w:rsid w:val="622B472A"/>
    <w:rsid w:val="641662F8"/>
    <w:rsid w:val="64751A98"/>
    <w:rsid w:val="647F30BE"/>
    <w:rsid w:val="67DD5D53"/>
    <w:rsid w:val="68021551"/>
    <w:rsid w:val="68BE0A03"/>
    <w:rsid w:val="693D3B86"/>
    <w:rsid w:val="6B4028E1"/>
    <w:rsid w:val="6BA57E1C"/>
    <w:rsid w:val="6C830213"/>
    <w:rsid w:val="71A765C5"/>
    <w:rsid w:val="72067338"/>
    <w:rsid w:val="720B50D5"/>
    <w:rsid w:val="72554AD8"/>
    <w:rsid w:val="72576D27"/>
    <w:rsid w:val="74C00F6E"/>
    <w:rsid w:val="75325F88"/>
    <w:rsid w:val="768B3A86"/>
    <w:rsid w:val="77B218BA"/>
    <w:rsid w:val="77BC17EF"/>
    <w:rsid w:val="77E9218B"/>
    <w:rsid w:val="77F15EB3"/>
    <w:rsid w:val="7A313FC4"/>
    <w:rsid w:val="7E63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 w:asciiTheme="minorHAnsi" w:hAnsiTheme="minorHAnsi" w:cstheme="minorBidi"/>
      <w:sz w:val="32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link w:val="3"/>
    <w:semiHidden/>
    <w:qFormat/>
    <w:uiPriority w:val="0"/>
    <w:rPr>
      <w:sz w:val="18"/>
      <w:szCs w:val="18"/>
    </w:rPr>
  </w:style>
  <w:style w:type="character" w:customStyle="1" w:styleId="16">
    <w:name w:val="正文文本缩进 3 字符"/>
    <w:link w:val="6"/>
    <w:qFormat/>
    <w:uiPriority w:val="0"/>
    <w:rPr>
      <w:rFonts w:eastAsia="仿宋_GB2312"/>
      <w:sz w:val="32"/>
      <w:szCs w:val="24"/>
    </w:rPr>
  </w:style>
  <w:style w:type="paragraph" w:customStyle="1" w:styleId="17">
    <w:name w:val="普通(网站)2"/>
    <w:basedOn w:val="1"/>
    <w:qFormat/>
    <w:uiPriority w:val="0"/>
    <w:rPr>
      <w:rFonts w:ascii="Calibri" w:hAnsi="Calibri" w:cs="黑体"/>
      <w:sz w:val="24"/>
    </w:rPr>
  </w:style>
  <w:style w:type="character" w:customStyle="1" w:styleId="18">
    <w:name w:val="正文文本缩进 3 字符1"/>
    <w:basedOn w:val="8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  <w:style w:type="character" w:customStyle="1" w:styleId="21">
    <w:name w:val="批注框文本 字符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23">
    <w:name w:val="普通(网站)1"/>
    <w:basedOn w:val="1"/>
    <w:qFormat/>
    <w:uiPriority w:val="0"/>
    <w:rPr>
      <w:rFonts w:ascii="Calibri" w:hAnsi="Calibri" w:cs="黑体"/>
      <w:sz w:val="24"/>
    </w:rPr>
  </w:style>
  <w:style w:type="character" w:customStyle="1" w:styleId="24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2401</Words>
  <Characters>13686</Characters>
  <Lines>114</Lines>
  <Paragraphs>32</Paragraphs>
  <TotalTime>17</TotalTime>
  <ScaleCrop>false</ScaleCrop>
  <LinksUpToDate>false</LinksUpToDate>
  <CharactersWithSpaces>16055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2021-01-27T08:28:00Z</dcterms:created>
  <dc:creator>薛理升</dc:creator>
  <cp:lastModifiedBy> ﹏〆学荟緈諨</cp:lastModifiedBy>
  <dcterms:modified xsi:type="dcterms:W3CDTF">2021-02-20T10:59:40Z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