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0" w:afterAutospacing="0" w:line="450" w:lineRule="atLeast"/>
        <w:ind w:right="0" w:firstLine="600" w:firstLineChars="20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第一部分克州奥依塔克国有林管理局部门单位概况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一、主要职能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二、机构设置及人员情况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第二部分2019年部门预算公开表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一、部门收支总体情况表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二、部门收入总体情况表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三、部门支出总体情况表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四、财政拨款收支总体情况表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五、一般公共预算支出情况表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六、一般公共预算基本支出情况表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七、项目支出情况表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八、一般公共预算“三公”经费支出情况表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九、政府性基金预算支出情况表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第三部分2019年部门预算情况说明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一、关于克州奥依塔克国有林管理局部门2019年收支预算情况的总体说明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二、关于克州奥依塔克国有林管理局部门2019年收入预算情况说明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三、关于克州奥依塔克国有林管理局部门2019年支出预算情况说明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四、关于克州奥依塔克国有林管理局部门2019年财政拨款收支预算情况的总体说明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五、关于克州奥依塔克国有林管理局部门2019年一般公共预算当年拨款情况说明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六、关于克州奥依塔克国有林管理局部门2019年一般公共预算基本支出情况说明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七、关于克州奥依塔克国有林管理局部门2019年项目支出情况说明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八、关于克州奥依塔克国有林管理局部门2019年一般公共预算“三公”经费预算情况说明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九、关于克州奥依塔克国有林管理局部门2019年政府性基金预算拨款情况说明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十、其他重要事项的情况说明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第四部分名词解释</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第一部分克州奥依塔克国有林管理局部门单位概况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　一、主要职能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克孜勒苏柯尔克孜自治州奥依塔克国有林管理局是自治州林业局下属的造林与管护相结合，生态与产业相结合发展的公益性事业单位，机构规格相当于正科级。具体职能为：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（1）依法管理好现有的森林、林木和林地资源，很大程度的发挥现有资源的生态效益、社会效益和经济效益。</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（2）根据《自治区党委、人民政府关于进一步加快林业发展的意见》精神充分利用现有荒地资源建设好生态公益林对于自治州的生态建设做贡献。</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（3）根据上级林业部门的要求建立好林果业发展示范基地，对于自治州的的特色林果业建设起到样板作用。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（4）做好林场的多种经营工作，为职工子女安置积极创造条件缓解社会就业压力。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（5）完成上级党委政府和业务部门安排的相关工作任务。</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二、机构设置及人员情况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克州奥依塔克国有林国有林管理局无下属单位，下设5科室，分别：办公室，天保办公室，公益林办公室，护林防火办公室，财务室。</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克州奥依塔克国有林国有林管理局编制数35名，实有人数31 人，其中：在职31人，减少0 人;退休43人，增加或减少0人；离休20人，增加或减少0人。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第二部分2019年部门预算公开表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部门收支总体情况表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编制部门：克州奥依塔克国有林管理局单位：万元</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3793"/>
        <w:gridCol w:w="1066"/>
        <w:gridCol w:w="2389"/>
        <w:gridCol w:w="106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收入</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预算数</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预算数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一、财政拨款（补助）</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201 一般公共服务支出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202 外交支出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政府性基金预算</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203 国防支出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教育收费（财政专户）</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204 公共安全支出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事业收入</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205 教育支出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上级补助收入</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206 科学技术支出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事业单位经营收入</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207 文化体育与传媒支出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其他收入</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33.40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208 社会保障和就业支出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预算外收入</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209 社会保险基金支出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用事业基金弥补收支差额</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210 医疗卫生与计划生育支出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211 节能环保支出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212 城乡社区支出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 农林水支出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1116.56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214 交通运输支出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215 资源勘探信息等支出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216 商业服务业等支出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217 金融支出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219 援助其他地区支出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220 国土资源气象等支出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221 住房保障支出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222 粮油物资管理支出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223 国有资本经营预算支出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227 预备费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229 其他支出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231 债务还本支出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232 债务付息支出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233 债务发行费支出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本年收入小计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576.61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本年支出小计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1116.56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单位上年结余（不包含国库集中支付额度结余）</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539.96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230 转移性支出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收入总计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1116.57</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支出总计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1116.56</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表二：</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部门收入总体情况表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填报部门：克州奥依塔克国有林管理局单位：万元</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90"/>
        <w:gridCol w:w="332"/>
        <w:gridCol w:w="332"/>
        <w:gridCol w:w="406"/>
        <w:gridCol w:w="1066"/>
        <w:gridCol w:w="980"/>
        <w:gridCol w:w="419"/>
        <w:gridCol w:w="406"/>
        <w:gridCol w:w="354"/>
        <w:gridCol w:w="380"/>
        <w:gridCol w:w="406"/>
        <w:gridCol w:w="785"/>
        <w:gridCol w:w="367"/>
        <w:gridCol w:w="444"/>
        <w:gridCol w:w="114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功能分类科目编码</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总计</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一般公共预算拨款</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政府性基金预算拨款</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财政专户管理资金</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事业收入</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上级补助收入</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事业单位经营收入</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其他收入</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预算外收入</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用事业基金弥补收支差额</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单位上年结余（不包含国库集中支付额度结余）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类</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款</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林事业机构</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1116.56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33.40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539.96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1116.56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33.40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539.96</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表三：</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部门支出总体情况表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编制部门：克州奥依塔克国有林管理局单位：万元</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981"/>
        <w:gridCol w:w="666"/>
        <w:gridCol w:w="665"/>
        <w:gridCol w:w="2551"/>
        <w:gridCol w:w="1066"/>
        <w:gridCol w:w="1192"/>
        <w:gridCol w:w="119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支出预算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功能分类科目编码</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基本支出</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类</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款</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99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其他林业和草原支出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176.20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176.20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07</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森林资源管理</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05</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森林培育（林业）</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11.31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11.31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事业机构</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592.64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585.28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森林生态效益补偿</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122.41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122.41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1116.56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585.28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531.28</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财政拨款收支预算总体情况表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编制部门：克州奥依塔克国有林管理局单位：万元</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2621"/>
        <w:gridCol w:w="916"/>
        <w:gridCol w:w="1679"/>
        <w:gridCol w:w="916"/>
        <w:gridCol w:w="1233"/>
        <w:gridCol w:w="9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财政拨款收入</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财政拨款支出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政府性基金预算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财政拨款（补助）</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201 一般公共服务支出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202 外交支出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政府性基金预算</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203 国防支出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204 公共安全支出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205 教育支出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206 科学技术支出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207 文化体育与传媒支出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208 社会保障和就业支出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209 社会保险基金支出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210 医疗卫生与计划生育支出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211 节能环保支出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212 城乡社区支出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 农林水支出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214 交通运输支出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215 资源勘探信息等支出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216 商业服务业等支出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217 金融支出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219 援助其他地区支出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220 国土资源气象等支出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221 住房保障支出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222 粮油物资管理支出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223 国有资本经营预算支出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227 预备费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229 其他支出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231 债务还本支出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232 债务付息支出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233 债务发行费支出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本年收入小计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本年支出小计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单位上年结余（不包含国库集中支付额度结余）</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230 转移性支出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收入总计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支出总计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表五：</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98"/>
        <w:gridCol w:w="611"/>
        <w:gridCol w:w="610"/>
        <w:gridCol w:w="2797"/>
        <w:gridCol w:w="916"/>
        <w:gridCol w:w="1149"/>
        <w:gridCol w:w="1246"/>
        <w:gridCol w:w="8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gridAfter w:val="1"/>
          <w:wAfter w:w="74" w:type="dxa"/>
        </w:trPr>
        <w:tc>
          <w:tcPr>
            <w:tcW w:w="0" w:type="auto"/>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一般公共预算支出情况表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编制部门：克州奥依塔克国有林管理局</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一般公共预算支出</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功能分类科目编码</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小计</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基本支出</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项目支出</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类</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款</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林事业机构</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522.85</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530.21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522.85</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w:t>
            </w:r>
          </w:p>
        </w:tc>
        <w:tc>
          <w:tcPr>
            <w:tcW w:w="0" w:type="auto"/>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b w:val="0"/>
                <w:bCs w:val="0"/>
                <w:color w:val="000000"/>
                <w:sz w:val="30"/>
                <w:szCs w:val="30"/>
              </w:rPr>
            </w:pP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表六：</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70"/>
        <w:gridCol w:w="1266"/>
        <w:gridCol w:w="2966"/>
        <w:gridCol w:w="916"/>
        <w:gridCol w:w="1120"/>
        <w:gridCol w:w="127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一般公共预算基本支出情况表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编制部门：克州奥依塔克国有林管理局</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一般公共预算基本支出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经济分类科目编码</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经济分类科目名称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小计</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人员经费</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公用经费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类</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款</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30103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奖金</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8.32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8.32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30305</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生活补助</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7.84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7.84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30108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机关事业单位基本养老保险缴费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59.29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59.29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30217</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公务接待费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30228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工会经费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30242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办公用品及设备采购</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办公费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30209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物业管理费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30216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培训费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30211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差旅费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30229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福利费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4.12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4.12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30309</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奖励金</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1.66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1.66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印刷费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0.30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维修费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30112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其他社会保障缴费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39.61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39.61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津贴补贴</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226.88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226.88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基本工资</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99.81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99.81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30218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专用材料费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30206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电费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30207</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邮电费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0.30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退休费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26.68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26.68</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30204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手续费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0.10</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30231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公务用车运行维护费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1.41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1.41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30113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住房公积金</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35.11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35.11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522.85</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505.22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17.62</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表七：</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70"/>
        <w:gridCol w:w="319"/>
        <w:gridCol w:w="319"/>
        <w:gridCol w:w="441"/>
        <w:gridCol w:w="515"/>
        <w:gridCol w:w="590"/>
        <w:gridCol w:w="176"/>
        <w:gridCol w:w="146"/>
        <w:gridCol w:w="148"/>
        <w:gridCol w:w="465"/>
        <w:gridCol w:w="790"/>
        <w:gridCol w:w="515"/>
        <w:gridCol w:w="840"/>
        <w:gridCol w:w="208"/>
        <w:gridCol w:w="208"/>
        <w:gridCol w:w="420"/>
        <w:gridCol w:w="420"/>
        <w:gridCol w:w="208"/>
        <w:gridCol w:w="208"/>
        <w:gridCol w:w="258"/>
        <w:gridCol w:w="258"/>
        <w:gridCol w:w="195"/>
        <w:gridCol w:w="195"/>
        <w:gridCol w:w="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gridAfter w:val="1"/>
          <w:wAfter w:w="2" w:type="dxa"/>
        </w:trPr>
        <w:tc>
          <w:tcPr>
            <w:tcW w:w="0" w:type="auto"/>
            <w:gridSpan w:val="2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项目支出情况表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2" w:type="dxa"/>
        </w:trPr>
        <w:tc>
          <w:tcPr>
            <w:tcW w:w="0" w:type="auto"/>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编制部门：克州奥依塔克国有林管理局</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1" w:type="dxa"/>
        </w:trPr>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科目编码</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科目</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项目名称</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项目支出合计</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工资福利支出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商品和服务支出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对个人和家庭的补助</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债务利息及费用支出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资本性支出（基本建设）</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资本性支出</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对企业补助（基本建设）</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对企业补助</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对社会保障基金补助</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其他支出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类</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款</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213</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04</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林业事业机构</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为民办实事工作经费</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表八：</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一般公共预算“三公”经费支出情况表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编制单位：克州奥依塔克国有林管理局单位：万元</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616"/>
        <w:gridCol w:w="2131"/>
        <w:gridCol w:w="616"/>
        <w:gridCol w:w="1774"/>
        <w:gridCol w:w="1831"/>
        <w:gridCol w:w="134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因公出国（境）费</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公务用车购置及运行费</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公务接待费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小计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公务用车购置费</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公务用车运行费</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1.61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1.41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1.41</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0.20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表九：</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政府性基金预算支出情况表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编制单位：克州平原林场单位：万元</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05"/>
        <w:gridCol w:w="806"/>
        <w:gridCol w:w="805"/>
        <w:gridCol w:w="2416"/>
        <w:gridCol w:w="616"/>
        <w:gridCol w:w="1216"/>
        <w:gridCol w:w="121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政府性基金预算支出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功能分类科目编码</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功能分类科目名称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小计</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基本支出</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类</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款</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合计</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备注：</w:t>
      </w:r>
      <w:r>
        <w:rPr>
          <w:rFonts w:hint="eastAsia" w:ascii="宋体" w:hAnsi="宋体" w:eastAsia="宋体" w:cs="宋体"/>
          <w:i w:val="0"/>
          <w:iCs w:val="0"/>
          <w:caps w:val="0"/>
          <w:color w:val="000000"/>
          <w:spacing w:val="0"/>
          <w:sz w:val="30"/>
          <w:szCs w:val="30"/>
          <w:shd w:val="clear" w:fill="FFFFFF"/>
        </w:rPr>
        <w:t>2019年没有安排政府性基金预算支出，政府性基金预算支出情况表为空表。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第三部分2019年部门预算情况说明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一、关于克州奥依塔克国有林管理局部门2019年收支预算情况的总体说明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按照全口径预算的原则，克州奥依塔克国有林管理局部门2019年所有收入和支出均纳入部门预算管理。收支总预算1116.57万元。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收入预算包括：一般公共预算530.21万元、上级补助收入13万元、其他收入33.40万元，单位上年结余539.96万元（不包括国库集中支付额度结余）等。</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支出预算包括：农林水支出1116.56万元。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二、关于克州奥依塔克国有林管理局部门2019年收入预算情况说明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克州奥依塔克国有林管理局部门收入预算1116.57万元，其中：</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一般公共预算530.21万元，占7.6%，比上年增加37.67万元，主要原因是一是、人员经费增加（全体在职人员基本工资及中央艰苦边远地区津贴补贴工资增加）。二是福利费，工会费比2018年部门预算增加；</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政府性基金预算未安排。</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上级补助收入资金13万元，占4.4 %，比上年增加9万元，主要原因是2019年部门预算中新增9万元的国有贫困林场扶贫项目资金；</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其他收入资金33.40万元，占29.3 %，比上年增加24.9万元，主要原因是2019年部门预算中新增24.9万元项目资金；</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单位上年结余（不包括国库集中支付额度结余）539.96万元，占31.32%，比上年增加409.30万元，主要原因是一是、2018年的50万元森林抚育项目资金因该项目资金的有关批复文件没按时下发及该项目资金的作用设计编号原因2018你没能执行该项目资金；二是、州林业局2018年12月26日给我单位拨4万元的援疆工作经费，该笔资金当年没能执行完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三、关于克州奥依塔克国有林管理局2019年支出预算情况说明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克州奥依塔克国有林管理局2019年支出预算1116.56元，其中：</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基本支出585.28万元，占65.01%，比上年减少35.66万元，降低5.7%，主要原因是：上年预算中基本支出数里含预算其他收入107.6万元，无形中加大了支出，所以相比2018年预算基本支出减少了。</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项目支出531.28万元，占34.99%，比上年增加516.52万元，主要原因是（增加项目）2019年部门预算中有176.20万元其他森林和草原项目资金，214万元森林资源管理资金、11.31万元森林培育资金资金，122.41万元森林生态效益资金资金。</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四、关于克州奥依塔克国有林管理局部门2019年财政拨款收支预算情况的总体说明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2019年财政拨款收支总预算530.21万元。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收入全部为一般公共预算拨款，无政府性基金预算拨款。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支出预算包括：一般公预算农林水事务林业支出530.21万元，主要用于支付职工工资，津贴补贴、社会保障缴费和住房公积金及公用经费等。</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五、关于克州奥依塔克国有林管理局部门2019年一般公共预算当年拨款情况说明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（一）一般公用预算当年拨款规模变化情况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管理局部门2019年一般公共预算拨款基本支出522.85万元，比上年执行数减少74.69万元，下降12.5%。主要原因是：1.2018年执行数中包含当年追加工资、中央艰苦边远地区津贴补贴工资的20个月补发及基本工资7个月的补发；2.2018年执行数中包含2017年的绩效工资及综合治理奖励工资，而2019年预算中只含当年人员工资和办公经费。</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（二）一般公共预算当年拨款结构情况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1.一般公共预算农林水支出（213）1116.56万元，占74.69 %。</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（三）一般公共预算当年拨款具体使用情况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般公共预算农林水支出（213）财政事务林业（02）事业运行（04）:2019年预算数为1116.56万元，比上年执行数增加480.86万元，下降7.56%，主要原因是：1.2018年执行数中包含当年追加工资、中央艰苦边远地区津贴补贴工资的20个月补发及基本工资7个月的补发；2.2018年执行数中包含2017年的绩效工资及综合治理奖励工资，而2019年预算中只含当年人员工资和办公经费。</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六、关于克州奥依塔克国有林管理局部门2019年一般公共预算基本支出情况说明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克州奥依塔克国有林管理局部门2019年一般公共预算基本支出522.85万元，其中：</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人员经费505.22万元，主要包括：基本工资99.81万元、津贴补贴226.88万元、奖金8.32万元、机关事业单位基本养老保险缴费59.29万元、其他社会保障缴费39.61万元、住房公积金35.11万元、退休费26.68、生活补助7.84万元、奖励金1.66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公用经费17.62万元，主要包括：办公费1.0万元、手续费0.1万元、印刷费0.30万元、办公费1.0万元，水费0.2万元，电费1.0万元、邮电费0.3万元、取暖费4.71万元、差旅费1.0万元、公务接待费0.2万元、公务用车运行维护费1.41万元、维修费1.0万元、福利费4.12万元、工会经费2.29万元等。</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七、关于克州奥依塔克国有林管理局部门2019年项目支出情况说明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1.项目名称：群众工作人员生活补助</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设立的政策依据：根据州财政局2019年预算编审内容预算安排规模：7.36万元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项目承担单位：克州奥依塔克国有林管理局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资金分配情况：主要用于群众工作人员生活方面的支出资金执行时间：2019年1月-12月</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资金来源：财政拨款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补贴人数：3人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补贴标准：群众工作人员1人*1800元*12个月=2.16万元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补贴标准：群众工作人员2人*2600元*10个月=5.2万元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补贴范围：群众工作人员</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补贴方式：发放至个人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发放程序：每月根据群众工作组汇总考勤表，由财务室审核造表经主管财务领导签字之后发放。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受益人群和社会效益：主要是发放给群众工作人员的生活补助。</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八、关于克州奥依塔克国有林管理局部门2019年一般公共预算“三公”经费预算情况说明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克州奥依塔克国有林管理局2019年“三公”经费财政拨款预算数为1.61万元，其中：因公出国（境）费0万元，公务用车购置0万元，公务用车运行费1.41万元，公务接待费0.2万元。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2019年“三公”经费财政拨款预算比上年增加1万元，其中：因公出国（境）费增加0万元，未安排预算；公务用车购置费增加0万元，未安排预算；公务用车运行费增加1万元，主要原因是：今年生产工作、群众工作比较多所以这方面安排的油费也比较多；公务接待费增加0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九、关于克州奥依塔克国有林管理局部门2019年政府性基金预算拨款情况说明</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克州奥依塔克国有林管理局2019年没有使用政府性基金预算拨款安排的支出，政府性基金预算支出情况表为空表。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（一）机关运行经费情况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2019年，克州奥依塔克国有林管理局本级0家行政单位、0家参公管理事业单位和0家事业单位的机关运行经费财政拨款预算17.62万元，比上年预算增加0.97万元，增长5.8%。主要原因是2019年预算中的工会费福利费比2018年增加所以相应的支出也增加。</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（二）政府采购情况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2019年，克州奥依塔克国有林管理局政府采购预算144.56万元，其中：政府采购货物预算144.56万元，政府采购工程预算129.56万元，政府采购服务预算15万元。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2019年度本部门面向中小企业预留政府采购项目预算金额144.56万元，其中：面向小微企业预留政府采购项目预算金额129.56万元。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（三）国有资产占用使用情况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截至2018年底，克州奥依塔克国有林管理局占用使用国有资产总体情况为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1.房屋3700平方米，价值289.85万元。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2.车辆3辆，价值26.14万元；其中：一般公务用车0 辆，价值0万元；执法执勤用车0 辆，价值0万元；其他车辆3辆，价值289.85万元。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3.办公家具价值0万元。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4.其他资产价值117.31万元。</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单位价值50万元以上大型设备0台（套），单位价值100万元以上大型设备0台（套）。</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2019年部门预算未安排购置车辆经费，安排购置50万元以上大型设备0台（套），单位价值100万元以上大型设备0台（套）。</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（四）预算绩效情况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2019年度，本年度实行绩效管理的项目1个，涉及预算金额7.36万元。具体情况见下表（按项目分别填报）：</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项目支出绩效目标表</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94"/>
        <w:gridCol w:w="1667"/>
        <w:gridCol w:w="854"/>
        <w:gridCol w:w="1667"/>
        <w:gridCol w:w="622"/>
        <w:gridCol w:w="582"/>
        <w:gridCol w:w="1979"/>
        <w:gridCol w:w="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预算单位</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克州奥依塔克国有林管理局</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项目名称</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群众工作人员生活补助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项目资金（万元）</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年度资金总额：</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7.36　</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其中：财政拨款</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7.36</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其他资金</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项目总体目标</w:t>
            </w:r>
          </w:p>
        </w:tc>
        <w:tc>
          <w:tcPr>
            <w:tcW w:w="0" w:type="auto"/>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通过开展群众工作，加强民族团结，增进民族互信，突出现代文化引领，促进宗教和谐，落实民生建设任务，增加农牧民收入，关心关爱贫困户、低保户、残疾人等特殊家庭，帮助解决生产生活中的实际困难，实现维护社会稳定和长治久安总目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一级指标</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二级指标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三级指标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指标值（包含数字及文字描述）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成本指标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教育工作生活补助标准　</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26000元/人/年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时效指标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兑现时限</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2019年1月-12月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数量指标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开展教育工作人数　</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3人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质量指标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年底对工作总体情况进行考核</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1次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经济效益指标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教育工作发放生活补助</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2600元/人/月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可持续影响指标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通过</w:t>
            </w:r>
            <w:r>
              <w:rPr>
                <w:rFonts w:hint="eastAsia" w:ascii="宋体" w:hAnsi="宋体" w:eastAsia="宋体" w:cs="宋体"/>
                <w:b w:val="0"/>
                <w:bCs w:val="0"/>
                <w:color w:val="000000"/>
                <w:sz w:val="30"/>
                <w:szCs w:val="30"/>
                <w:lang w:val="en-US" w:eastAsia="zh-CN"/>
              </w:rPr>
              <w:t>国家通用语言</w:t>
            </w:r>
            <w:r>
              <w:rPr>
                <w:rFonts w:hint="eastAsia" w:ascii="宋体" w:hAnsi="宋体" w:eastAsia="宋体" w:cs="宋体"/>
                <w:b w:val="0"/>
                <w:bCs w:val="0"/>
                <w:color w:val="000000"/>
                <w:sz w:val="30"/>
                <w:szCs w:val="30"/>
              </w:rPr>
              <w:t>教学达到覆盖率　</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≥75%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社会效益指标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提高</w:t>
            </w:r>
            <w:r>
              <w:rPr>
                <w:rFonts w:hint="eastAsia" w:ascii="宋体" w:hAnsi="宋体" w:eastAsia="宋体" w:cs="宋体"/>
                <w:b w:val="0"/>
                <w:bCs w:val="0"/>
                <w:color w:val="000000"/>
                <w:sz w:val="30"/>
                <w:szCs w:val="30"/>
                <w:lang w:val="en-US" w:eastAsia="zh-CN"/>
              </w:rPr>
              <w:t>国家通用语言</w:t>
            </w:r>
            <w:r>
              <w:rPr>
                <w:rFonts w:hint="eastAsia" w:ascii="宋体" w:hAnsi="宋体" w:eastAsia="宋体" w:cs="宋体"/>
                <w:b w:val="0"/>
                <w:bCs w:val="0"/>
                <w:color w:val="000000"/>
                <w:sz w:val="30"/>
                <w:szCs w:val="30"/>
              </w:rPr>
              <w:t>教学水平</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≥75%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生态效益指标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hAnsi="宋体" w:eastAsia="宋体" w:cs="宋体"/>
                <w:b w:val="0"/>
                <w:bCs w:val="0"/>
                <w:color w:val="000000"/>
                <w:sz w:val="30"/>
                <w:szCs w:val="30"/>
              </w:rPr>
            </w:pP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满意度指标</w:t>
            </w:r>
          </w:p>
        </w:tc>
        <w:tc>
          <w:tcPr>
            <w:tcW w:w="0" w:type="auto"/>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满意度指标</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受益群众人员满意度　</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225" w:beforeAutospacing="0" w:line="450" w:lineRule="atLeast"/>
              <w:rPr>
                <w:rFonts w:hint="eastAsia" w:ascii="宋体" w:hAnsi="宋体" w:eastAsia="宋体" w:cs="宋体"/>
                <w:sz w:val="30"/>
                <w:szCs w:val="30"/>
              </w:rPr>
            </w:pPr>
            <w:r>
              <w:rPr>
                <w:rFonts w:hint="eastAsia" w:ascii="宋体" w:hAnsi="宋体" w:eastAsia="宋体" w:cs="宋体"/>
                <w:b w:val="0"/>
                <w:bCs w:val="0"/>
                <w:color w:val="000000"/>
                <w:sz w:val="30"/>
                <w:szCs w:val="30"/>
              </w:rPr>
              <w:t>≥75%　</w:t>
            </w:r>
          </w:p>
        </w:tc>
      </w:tr>
    </w:tbl>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（五）其他需说明的事项</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第四部分名词解释</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名词解释：</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一、财政拨款：指由一般公共预算、政府性基金预算安排的财政拨款数。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二、一般公共预算：包括公共财政拨款（补助）资金、专项收入。</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三、财政专户管理资金：包括专户管理行政事业性收费（主要是教育收费）、其他非税收入。</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四、其他资金：包括事业收入、经营收入、其他收入等。</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五、基本支出：包括人员经费、商品和服务支出（定额）。其中，人员经费包括工资福利支出、对个人和家庭的补助。</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六、项目支出：部门支出预算的组成部分，是自治区本级部门为完成其特定的行政任务或事业发展目标，在基本支出预算之外编制的年度项目支出计划。</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30"/>
          <w:szCs w:val="30"/>
        </w:rPr>
      </w:pPr>
      <w:r>
        <w:rPr>
          <w:rFonts w:hint="eastAsia" w:ascii="宋体" w:hAnsi="宋体" w:eastAsia="宋体" w:cs="宋体"/>
          <w:b w:val="0"/>
          <w:bCs w:val="0"/>
          <w:color w:val="414141"/>
          <w:sz w:val="30"/>
          <w:szCs w:val="30"/>
          <w:shd w:val="clear" w:fill="FFFFFF"/>
        </w:rPr>
        <w:t>七、“三公”经费：指自治区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b w:val="0"/>
          <w:bCs w:val="0"/>
          <w:color w:val="414141"/>
          <w:sz w:val="30"/>
          <w:szCs w:val="30"/>
          <w:shd w:val="clear" w:fill="FFFFFF"/>
        </w:rPr>
      </w:pPr>
      <w:r>
        <w:rPr>
          <w:rFonts w:hint="eastAsia" w:ascii="宋体" w:hAnsi="宋体" w:eastAsia="宋体" w:cs="宋体"/>
          <w:b w:val="0"/>
          <w:bCs w:val="0"/>
          <w:color w:val="414141"/>
          <w:sz w:val="30"/>
          <w:szCs w:val="30"/>
          <w:shd w:val="clear" w:fill="FFFFFF"/>
        </w:rPr>
        <w:t>八、机关运行经费：指各部门的公用经费，包括办公及印刷费、邮电费、差旅费、会议费、福利费、日常维修费、专用材料及一般设备购置费、办公用房水电费、办公用房取暖费、办公用房物业管理费、公务用车运行维护费及其他费用。</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b w:val="0"/>
          <w:bCs w:val="0"/>
          <w:color w:val="414141"/>
          <w:sz w:val="30"/>
          <w:szCs w:val="30"/>
          <w:shd w:val="clear" w:fill="FFFFFF"/>
        </w:rPr>
      </w:pP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b w:val="0"/>
          <w:bCs w:val="0"/>
          <w:color w:val="414141"/>
          <w:sz w:val="30"/>
          <w:szCs w:val="30"/>
          <w:shd w:val="clear" w:fill="FFFFFF"/>
        </w:rPr>
      </w:pP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b w:val="0"/>
          <w:bCs w:val="0"/>
          <w:color w:val="414141"/>
          <w:sz w:val="30"/>
          <w:szCs w:val="30"/>
          <w:shd w:val="clear" w:fill="FFFFFF"/>
        </w:rPr>
      </w:pP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b w:val="0"/>
          <w:bCs w:val="0"/>
          <w:color w:val="414141"/>
          <w:sz w:val="30"/>
          <w:szCs w:val="30"/>
          <w:shd w:val="clear" w:fill="FFFFFF"/>
        </w:rPr>
      </w:pP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b w:val="0"/>
          <w:bCs w:val="0"/>
          <w:color w:val="414141"/>
          <w:sz w:val="30"/>
          <w:szCs w:val="30"/>
          <w:shd w:val="clear" w:fill="FFFFFF"/>
        </w:rPr>
      </w:pPr>
    </w:p>
    <w:p>
      <w:pPr>
        <w:pStyle w:val="2"/>
        <w:keepNext w:val="0"/>
        <w:keepLines w:val="0"/>
        <w:widowControl/>
        <w:suppressLineNumbers w:val="0"/>
        <w:spacing w:before="226" w:beforeAutospacing="0" w:after="0" w:afterAutospacing="0" w:line="450" w:lineRule="atLeast"/>
        <w:ind w:left="0" w:right="0" w:firstLine="420"/>
        <w:jc w:val="right"/>
        <w:rPr>
          <w:rFonts w:hint="eastAsia" w:ascii="宋体" w:hAnsi="宋体" w:eastAsia="宋体" w:cs="宋体"/>
          <w:b w:val="0"/>
          <w:bCs w:val="0"/>
          <w:color w:val="414141"/>
          <w:sz w:val="32"/>
          <w:szCs w:val="32"/>
          <w:shd w:val="clear" w:fill="FFFFFF"/>
          <w:lang w:val="en-US" w:eastAsia="zh-CN"/>
        </w:rPr>
      </w:pPr>
      <w:r>
        <w:rPr>
          <w:rFonts w:hint="eastAsia" w:ascii="宋体" w:hAnsi="宋体" w:eastAsia="宋体" w:cs="宋体"/>
          <w:b w:val="0"/>
          <w:bCs w:val="0"/>
          <w:color w:val="414141"/>
          <w:sz w:val="32"/>
          <w:szCs w:val="32"/>
          <w:shd w:val="clear" w:fill="FFFFFF"/>
          <w:lang w:val="en-US" w:eastAsia="zh-CN"/>
        </w:rPr>
        <w:t>克州奥依塔</w:t>
      </w:r>
      <w:bookmarkStart w:id="0" w:name="_GoBack"/>
      <w:bookmarkEnd w:id="0"/>
      <w:r>
        <w:rPr>
          <w:rFonts w:hint="eastAsia" w:ascii="宋体" w:hAnsi="宋体" w:eastAsia="宋体" w:cs="宋体"/>
          <w:b w:val="0"/>
          <w:bCs w:val="0"/>
          <w:color w:val="414141"/>
          <w:sz w:val="32"/>
          <w:szCs w:val="32"/>
          <w:shd w:val="clear" w:fill="FFFFFF"/>
          <w:lang w:val="en-US" w:eastAsia="zh-CN"/>
        </w:rPr>
        <w:t>克国有林管理局</w:t>
      </w:r>
    </w:p>
    <w:p>
      <w:pPr>
        <w:pStyle w:val="2"/>
        <w:keepNext w:val="0"/>
        <w:keepLines w:val="0"/>
        <w:widowControl/>
        <w:suppressLineNumbers w:val="0"/>
        <w:spacing w:before="226" w:beforeAutospacing="0" w:after="0" w:afterAutospacing="0" w:line="450" w:lineRule="atLeast"/>
        <w:ind w:left="0" w:right="0" w:firstLine="420"/>
        <w:jc w:val="center"/>
        <w:rPr>
          <w:rFonts w:hint="default" w:ascii="宋体" w:hAnsi="宋体" w:eastAsia="宋体" w:cs="宋体"/>
          <w:b w:val="0"/>
          <w:bCs w:val="0"/>
          <w:color w:val="414141"/>
          <w:sz w:val="32"/>
          <w:szCs w:val="32"/>
          <w:shd w:val="clear" w:fill="FFFFFF"/>
          <w:lang w:val="en-US" w:eastAsia="zh-CN"/>
        </w:rPr>
      </w:pPr>
      <w:r>
        <w:rPr>
          <w:rFonts w:hint="eastAsia" w:ascii="宋体" w:hAnsi="宋体" w:eastAsia="宋体" w:cs="宋体"/>
          <w:b w:val="0"/>
          <w:bCs w:val="0"/>
          <w:color w:val="414141"/>
          <w:sz w:val="32"/>
          <w:szCs w:val="32"/>
          <w:shd w:val="clear" w:fill="FFFFFF"/>
          <w:lang w:val="en-US" w:eastAsia="zh-CN"/>
        </w:rPr>
        <w:t xml:space="preserve">                             2019年1月24日</w:t>
      </w:r>
    </w:p>
    <w:p>
      <w:pPr>
        <w:ind w:firstLine="640" w:firstLineChars="200"/>
        <w:rPr>
          <w:rFonts w:hint="eastAsia"/>
          <w:sz w:val="32"/>
          <w:szCs w:val="40"/>
          <w:lang w:val="en-US" w:eastAsia="zh-CN"/>
        </w:rPr>
      </w:pPr>
    </w:p>
    <w:p>
      <w:pPr>
        <w:ind w:firstLine="640" w:firstLineChars="200"/>
        <w:rPr>
          <w:rFonts w:hint="eastAsia"/>
          <w:sz w:val="32"/>
          <w:szCs w:val="40"/>
          <w:lang w:val="en-US" w:eastAsia="zh-CN"/>
        </w:rPr>
      </w:pPr>
    </w:p>
    <w:p>
      <w:pPr>
        <w:ind w:firstLine="640" w:firstLineChars="200"/>
        <w:rPr>
          <w:rFonts w:hint="default"/>
          <w:sz w:val="32"/>
          <w:szCs w:val="40"/>
          <w:lang w:val="en-US" w:eastAsia="zh-CN"/>
        </w:rPr>
      </w:pPr>
    </w:p>
    <w:p>
      <w:pPr>
        <w:rPr>
          <w:rFonts w:hint="default"/>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654C5"/>
    <w:rsid w:val="0C2062DA"/>
    <w:rsid w:val="12E46959"/>
    <w:rsid w:val="18343DBB"/>
    <w:rsid w:val="183E790C"/>
    <w:rsid w:val="26AE557A"/>
    <w:rsid w:val="28180379"/>
    <w:rsid w:val="29240A92"/>
    <w:rsid w:val="2DAE472A"/>
    <w:rsid w:val="33914B91"/>
    <w:rsid w:val="348630AD"/>
    <w:rsid w:val="3DF740DA"/>
    <w:rsid w:val="466C72F5"/>
    <w:rsid w:val="4F0B1B0D"/>
    <w:rsid w:val="581F539B"/>
    <w:rsid w:val="58413351"/>
    <w:rsid w:val="58FD626F"/>
    <w:rsid w:val="61F3229F"/>
    <w:rsid w:val="734072AF"/>
    <w:rsid w:val="74DF3C29"/>
    <w:rsid w:val="7F8B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 w:type="character" w:styleId="8">
    <w:name w:val="HTML Code"/>
    <w:basedOn w:val="4"/>
    <w:uiPriority w:val="0"/>
    <w:rPr>
      <w:rFonts w:hint="default" w:ascii="Consolas" w:hAnsi="Consolas" w:eastAsia="Consolas" w:cs="Consolas"/>
      <w:color w:val="C7254E"/>
      <w:sz w:val="21"/>
      <w:szCs w:val="21"/>
      <w:shd w:val="clear" w:fill="F8F8F8"/>
    </w:rPr>
  </w:style>
  <w:style w:type="character" w:styleId="9">
    <w:name w:val="HTML Keyboard"/>
    <w:basedOn w:val="4"/>
    <w:uiPriority w:val="0"/>
    <w:rPr>
      <w:rFonts w:hint="default" w:ascii="Consolas" w:hAnsi="Consolas" w:eastAsia="Consolas" w:cs="Consolas"/>
      <w:sz w:val="21"/>
      <w:szCs w:val="21"/>
    </w:rPr>
  </w:style>
  <w:style w:type="character" w:styleId="10">
    <w:name w:val="HTML Sample"/>
    <w:basedOn w:val="4"/>
    <w:uiPriority w:val="0"/>
    <w:rPr>
      <w:rFonts w:hint="default" w:ascii="Consolas" w:hAnsi="Consolas" w:eastAsia="Consolas" w:cs="Consolas"/>
      <w:sz w:val="21"/>
      <w:szCs w:val="21"/>
      <w:shd w:val="clear" w:fill="DD514C"/>
    </w:rPr>
  </w:style>
  <w:style w:type="character" w:customStyle="1" w:styleId="11">
    <w:name w:val="am-active17"/>
    <w:basedOn w:val="4"/>
    <w:uiPriority w:val="0"/>
    <w:rPr>
      <w:color w:val="C10802"/>
    </w:rPr>
  </w:style>
  <w:style w:type="character" w:customStyle="1" w:styleId="12">
    <w:name w:val="am-active18"/>
    <w:basedOn w:val="4"/>
    <w:uiPriority w:val="0"/>
    <w:rPr>
      <w:color w:val="1B961B"/>
    </w:rPr>
  </w:style>
  <w:style w:type="character" w:customStyle="1" w:styleId="13">
    <w:name w:val="am-active19"/>
    <w:basedOn w:val="4"/>
    <w:uiPriority w:val="0"/>
    <w:rPr>
      <w:color w:val="0084C7"/>
      <w:shd w:val="clear" w:fill="F0F0F0"/>
    </w:rPr>
  </w:style>
  <w:style w:type="character" w:customStyle="1" w:styleId="14">
    <w:name w:val="am-active20"/>
    <w:basedOn w:val="4"/>
    <w:qFormat/>
    <w:uiPriority w:val="0"/>
    <w:rPr>
      <w:color w:val="AA4B00"/>
    </w:rPr>
  </w:style>
  <w:style w:type="character" w:customStyle="1" w:styleId="15">
    <w:name w:val="am-datepicker-old"/>
    <w:basedOn w:val="4"/>
    <w:uiPriority w:val="0"/>
    <w:rPr>
      <w:color w:val="F59490"/>
    </w:rPr>
  </w:style>
  <w:style w:type="character" w:customStyle="1" w:styleId="16">
    <w:name w:val="am-datepicker-old1"/>
    <w:basedOn w:val="4"/>
    <w:uiPriority w:val="0"/>
    <w:rPr>
      <w:color w:val="94DF94"/>
    </w:rPr>
  </w:style>
  <w:style w:type="character" w:customStyle="1" w:styleId="17">
    <w:name w:val="am-datepicker-old2"/>
    <w:basedOn w:val="4"/>
    <w:qFormat/>
    <w:uiPriority w:val="0"/>
    <w:rPr>
      <w:color w:val="89D7FF"/>
    </w:rPr>
  </w:style>
  <w:style w:type="character" w:customStyle="1" w:styleId="18">
    <w:name w:val="am-datepicker-old3"/>
    <w:basedOn w:val="4"/>
    <w:uiPriority w:val="0"/>
    <w:rPr>
      <w:color w:val="FFAD6D"/>
    </w:rPr>
  </w:style>
  <w:style w:type="character" w:customStyle="1" w:styleId="19">
    <w:name w:val="hover27"/>
    <w:basedOn w:val="4"/>
    <w:uiPriority w:val="0"/>
    <w:rPr>
      <w:shd w:val="clear" w:fill="F0F0F0"/>
    </w:rPr>
  </w:style>
  <w:style w:type="character" w:customStyle="1" w:styleId="20">
    <w:name w:val="am-disabled16"/>
    <w:basedOn w:val="4"/>
    <w:uiPriority w:val="0"/>
    <w:rPr>
      <w:color w:val="999999"/>
      <w:shd w:val="clear" w:fill="FAFAF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2021-05-17T13:04:00Z</dcterms:created>
  <dc:creator>Administrator</dc:creator>
  <cp:lastModifiedBy>Administrator</cp:lastModifiedBy>
  <cp:lastPrinted>2021-05-17T13:14:00Z</cp:lastPrinted>
  <dcterms:modified xsi:type="dcterms:W3CDTF">2021-05-31T12:54:18Z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E325E39EE30F4336B6272A35199B42A5</vt:lpwstr>
  </property>
</Properties>
</file>