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CCA3B">
      <w:bookmarkStart w:id="0" w:name="_GoBack"/>
    </w:p>
    <w:p w14:paraId="76360039">
      <w:pPr>
        <w:spacing w:line="570" w:lineRule="exact"/>
        <w:jc w:val="center"/>
        <w:rPr>
          <w:rFonts w:ascii="华文中宋" w:hAnsi="华文中宋" w:eastAsia="华文中宋" w:cs="宋体"/>
          <w:b/>
          <w:kern w:val="0"/>
          <w:sz w:val="52"/>
          <w:szCs w:val="52"/>
        </w:rPr>
      </w:pPr>
    </w:p>
    <w:p w14:paraId="2383B7EC">
      <w:pPr>
        <w:spacing w:line="570" w:lineRule="exact"/>
        <w:jc w:val="center"/>
        <w:rPr>
          <w:rFonts w:ascii="华文中宋" w:hAnsi="华文中宋" w:eastAsia="华文中宋" w:cs="宋体"/>
          <w:b/>
          <w:kern w:val="0"/>
          <w:sz w:val="52"/>
          <w:szCs w:val="52"/>
        </w:rPr>
      </w:pPr>
    </w:p>
    <w:p w14:paraId="7993EB44">
      <w:pPr>
        <w:spacing w:line="570" w:lineRule="exact"/>
        <w:jc w:val="center"/>
        <w:rPr>
          <w:rFonts w:ascii="华文中宋" w:hAnsi="华文中宋" w:eastAsia="华文中宋" w:cs="宋体"/>
          <w:b/>
          <w:kern w:val="0"/>
          <w:sz w:val="52"/>
          <w:szCs w:val="52"/>
        </w:rPr>
      </w:pPr>
    </w:p>
    <w:p w14:paraId="65576D34">
      <w:pPr>
        <w:spacing w:line="570" w:lineRule="exact"/>
        <w:jc w:val="center"/>
        <w:rPr>
          <w:rFonts w:ascii="华文中宋" w:hAnsi="华文中宋" w:eastAsia="华文中宋" w:cs="宋体"/>
          <w:b/>
          <w:kern w:val="0"/>
          <w:sz w:val="52"/>
          <w:szCs w:val="52"/>
        </w:rPr>
      </w:pPr>
    </w:p>
    <w:p w14:paraId="6CDB4EFB">
      <w:pPr>
        <w:spacing w:line="570" w:lineRule="exact"/>
        <w:jc w:val="both"/>
        <w:rPr>
          <w:rFonts w:ascii="华文中宋" w:hAnsi="华文中宋" w:eastAsia="华文中宋" w:cs="宋体"/>
          <w:b/>
          <w:kern w:val="0"/>
          <w:sz w:val="52"/>
          <w:szCs w:val="52"/>
        </w:rPr>
      </w:pPr>
    </w:p>
    <w:p w14:paraId="19EAD7C9">
      <w:pPr>
        <w:spacing w:line="570" w:lineRule="exact"/>
        <w:jc w:val="center"/>
        <w:rPr>
          <w:rFonts w:ascii="华文中宋" w:hAnsi="华文中宋" w:eastAsia="华文中宋" w:cs="宋体"/>
          <w:b/>
          <w:kern w:val="0"/>
          <w:sz w:val="52"/>
          <w:szCs w:val="52"/>
        </w:rPr>
      </w:pPr>
    </w:p>
    <w:p w14:paraId="5A031822">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38FC9C89">
      <w:pPr>
        <w:spacing w:line="570" w:lineRule="exact"/>
        <w:jc w:val="center"/>
        <w:rPr>
          <w:rFonts w:ascii="华文中宋" w:hAnsi="华文中宋" w:eastAsia="华文中宋" w:cs="宋体"/>
          <w:b/>
          <w:kern w:val="0"/>
          <w:sz w:val="52"/>
          <w:szCs w:val="52"/>
        </w:rPr>
      </w:pPr>
    </w:p>
    <w:p w14:paraId="3F5E7B13">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65E3A77">
      <w:pPr>
        <w:spacing w:line="570" w:lineRule="exact"/>
        <w:jc w:val="center"/>
        <w:rPr>
          <w:rFonts w:hAnsi="宋体" w:eastAsia="仿宋_GB2312" w:cs="宋体"/>
          <w:kern w:val="0"/>
          <w:sz w:val="30"/>
          <w:szCs w:val="30"/>
        </w:rPr>
      </w:pPr>
    </w:p>
    <w:p w14:paraId="0A08D478">
      <w:pPr>
        <w:spacing w:line="570" w:lineRule="exact"/>
        <w:jc w:val="center"/>
        <w:rPr>
          <w:rFonts w:hAnsi="宋体" w:eastAsia="仿宋_GB2312" w:cs="宋体"/>
          <w:kern w:val="0"/>
          <w:sz w:val="30"/>
          <w:szCs w:val="30"/>
        </w:rPr>
      </w:pPr>
    </w:p>
    <w:p w14:paraId="081A924B">
      <w:pPr>
        <w:spacing w:line="570" w:lineRule="exact"/>
        <w:jc w:val="center"/>
        <w:rPr>
          <w:rFonts w:hAnsi="宋体" w:eastAsia="仿宋_GB2312" w:cs="宋体"/>
          <w:kern w:val="0"/>
          <w:sz w:val="30"/>
          <w:szCs w:val="30"/>
        </w:rPr>
      </w:pPr>
    </w:p>
    <w:p w14:paraId="266D2265">
      <w:pPr>
        <w:spacing w:line="570" w:lineRule="exact"/>
        <w:jc w:val="center"/>
        <w:rPr>
          <w:rFonts w:hAnsi="宋体" w:eastAsia="仿宋_GB2312" w:cs="宋体"/>
          <w:kern w:val="0"/>
          <w:sz w:val="30"/>
          <w:szCs w:val="30"/>
        </w:rPr>
      </w:pPr>
    </w:p>
    <w:p w14:paraId="7DCCAC65">
      <w:pPr>
        <w:spacing w:line="570" w:lineRule="exact"/>
        <w:jc w:val="center"/>
        <w:rPr>
          <w:rFonts w:hAnsi="宋体" w:eastAsia="仿宋_GB2312" w:cs="宋体"/>
          <w:kern w:val="0"/>
          <w:sz w:val="30"/>
          <w:szCs w:val="30"/>
        </w:rPr>
      </w:pPr>
    </w:p>
    <w:p w14:paraId="66A9CBBC">
      <w:pPr>
        <w:spacing w:line="570" w:lineRule="exact"/>
        <w:jc w:val="center"/>
        <w:rPr>
          <w:rFonts w:hAnsi="宋体" w:eastAsia="仿宋_GB2312" w:cs="宋体"/>
          <w:kern w:val="0"/>
          <w:sz w:val="30"/>
          <w:szCs w:val="30"/>
        </w:rPr>
      </w:pPr>
    </w:p>
    <w:p w14:paraId="1463D87B">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交通运输综合行政执法及安全生产工作经费</w:t>
      </w:r>
    </w:p>
    <w:p w14:paraId="22B4C94F">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克孜勒苏柯尔克孜自治州交通运输综合行政执法局</w:t>
      </w:r>
    </w:p>
    <w:p w14:paraId="76A1D0EC">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克州交通运输局</w:t>
      </w:r>
    </w:p>
    <w:p w14:paraId="35FCF8D4">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罗霞</w:t>
      </w:r>
    </w:p>
    <w:p w14:paraId="06378B6C">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2025年04月28日</w:t>
      </w:r>
    </w:p>
    <w:p w14:paraId="45D6621A">
      <w:pPr>
        <w:rPr>
          <w:rStyle w:val="19"/>
          <w:rFonts w:hint="eastAsia" w:ascii="仿宋" w:hAnsi="仿宋" w:eastAsia="仿宋" w:cs="仿宋"/>
          <w:b w:val="0"/>
          <w:bCs w:val="0"/>
          <w:spacing w:val="-4"/>
          <w:sz w:val="32"/>
          <w:szCs w:val="32"/>
        </w:rPr>
      </w:pPr>
      <w:r>
        <w:br w:type="page"/>
      </w:r>
    </w:p>
    <w:p w14:paraId="22F6C625">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2DBC19B6">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50893B9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交通运输综合行政执法及安全生产工作经费项目实施前期、过程及效果，评价财政预算资金使用的效率及效益。根据自治州相关工作要求，深入贯彻落实习近平总书记关于安全生产重要论述和重要指示批示精神，贯彻落实自治区交通运输厅、交通运输局、交通运输综合行政执法局工作安排部署，坚持“三管三必须”工作要求，深入开展交通运输领域各项工作任务，确保辖区道路运输领域重点节假日、安全生产、行政执法、“双随机、一公开”、宣传教育、运输执法领域突出问题专项整治等工作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克孜勒苏柯尔克孜自治州交通运输综合行政执法局执法工作经费20万元，由州本级财政承担，主要用于开展行政执法工作经费保障，有利于推进自治州交通运输领域持续健康发展。通过该项目实施达到对辖区内交通运输领域开展综合行政执法监督检查及安全生产工作，打击非法营运，维护交通运输市场稳定，为新时代平安克州提供坚强交通执法保障的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该项目资金用于开展打击道路交通运输领域的非法经营活动行为，安全生产隐患大排查、整治督导检查，从而加大道路交通运输领域安全生产重点风险隐患的管控力度，切实保障人民群众生命财产的安全出行。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该项目由克孜勒苏柯尔克孜自治州交通运输综合行政执法局实施，下设5个处室，分别是：综合科、科技信息科、法制督查科、执法协调科和工程质量监督科。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编制人数23人，其中：在职17人，增加2人，减少3人；退休4人，增加2人；离休0人，增加0人。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（1）项目资金安排落实、总投入等情况分析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根据州本级财政预算【2024】16号文本年度安排下达资金20万元，为自治州财政资金，最终确定项目资金总数为20万元。其中：中央财政拨款0万元，自治区财政拨款0万元，本级财政拨款20万元，上年结余0万元。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（2）项目资金实际使用情况分析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截至2024年12月31日，交通运输综合行政执法及安全生产工作经费项目，实际支出20万元，预算执行率100%。主要用于开展行政执法工作经费保障，有利于推进自治州交通运输领域持续健康发展。</w:t>
      </w:r>
    </w:p>
    <w:p w14:paraId="051EDB8A">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2D58A2E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确保完成“十四五”开局之的建设任务，依法对辖区内道路运输企业、汽车维修企业、驾驶培训学校、城市公交、出租车企业进行监督管理，打击非法营运，督导检查安全生产工作，维护道路运输市场稳定，服务对象满意度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（1）项目产出目标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①数量指标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“安全生产督导检查企业数量（家）”指标，预期指标值为≥100家；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“打非治违专项行动执法检查行业数量（家）”指标，预期指标值为≥200家；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w:t>
      </w:r>
      <w:r>
        <w:rPr>
          <w:rStyle w:val="19"/>
          <w:rFonts w:hint="eastAsia" w:ascii="仿宋" w:hAnsi="仿宋" w:eastAsia="仿宋" w:cs="仿宋"/>
          <w:b w:val="0"/>
          <w:bCs w:val="0"/>
          <w:spacing w:val="-4"/>
          <w:sz w:val="32"/>
          <w:szCs w:val="32"/>
          <w:lang w:eastAsia="zh-CN"/>
        </w:rPr>
        <w:t>“双随机、一公开”</w:t>
      </w:r>
      <w:r>
        <w:rPr>
          <w:rStyle w:val="19"/>
          <w:rFonts w:hint="eastAsia" w:ascii="仿宋" w:hAnsi="仿宋" w:eastAsia="仿宋" w:cs="仿宋"/>
          <w:b w:val="0"/>
          <w:bCs w:val="0"/>
          <w:spacing w:val="-4"/>
          <w:sz w:val="32"/>
          <w:szCs w:val="32"/>
        </w:rPr>
        <w:t>检查企业数量（家）”指标，预期指标值为≥50家；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“出动执法人员（人次）”指标，预期指标值为≥100次；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“开展法治宣传（人次）”指标，预期指标值为≥100人次；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“出动执法车辆（辆）”指标，预期指标值为≥3辆；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②质量指标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“执法抽检覆盖率（%）”指标，预期指标值为≥90%；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“年度内保障交通运输市场运行率（%）”指标，预期指标值为≥95%；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“法制宣传覆盖率（%）”指标，预期指标值为≥90%；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③时效指标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“排查安全生产隐患及时率（%）”指标，预期指标值为≥95%。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“各项任务完成时间”指标，预期指标值为2024年12月。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（2）项目成本指标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“执法工作办公经费”指标，预期指标值为≤7万元；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“执法公务用车经费数”指标，预期指标值为≤13万元；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“打击非法营运”指标，预期指标值为急需坚持；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③生态效益指标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无此类指标。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（4）相关满意度指标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①满意度指标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“社会服务对象满意度（%）”指标，预期指标值为≥95%。</w:t>
      </w:r>
    </w:p>
    <w:p w14:paraId="0E178C83">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357DA01E">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和</w:t>
      </w:r>
      <w:r>
        <w:rPr>
          <w:rStyle w:val="19"/>
          <w:rFonts w:hint="eastAsia" w:ascii="楷体" w:hAnsi="楷体" w:eastAsia="楷体" w:cs="楷体"/>
          <w:bCs w:val="0"/>
          <w:spacing w:val="-4"/>
          <w:sz w:val="32"/>
          <w:szCs w:val="32"/>
        </w:rPr>
        <w:t>范围。</w:t>
      </w:r>
    </w:p>
    <w:p w14:paraId="7C6E3C6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克州财政支出绩效评价管理暂行办法》的通知（克财预〔2018〕129号），关于印发《自治州全面实施预算绩效管理的工作方案》的通知（财预〔2018〕128号）文件精神，我单位针对交通运输综合行政执法及安全生产工作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7E891CA9">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41C52B34">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交通运输综合行政执法及安全生产工作经费项目资金进行绩效评价，旨在了解项目资金使用和项目管理情况、取得的成绩及效益，进而分析在政策执行、预算资金安排、项目实施等方面存在的问题并提出针对性建议。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细指标体系见“附件1：项目支出绩效评价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三级指标分析环节：总体采用比较法，同时辅以文献法、成本效益法、因素分析法以及公众评判法，根据不同三级指标类型进行逐项分析。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②定性指标分析环节：主要采用公众评判法，通过问卷及抽样调查等方式评价本项目实施后社会公众对于其实施效果的满意程度，将调研结果按照、《关于印发&lt;自治区项目支出绩效目标设置指引&gt;的通知》（新财预〔2022〕42号）文件要求分为基本达成目标、部分实现目标、实现目标程度较低三档，分别按照该指标对应分值区间100.0%-80.0%（含）、80.0%-60.0%（含）、60.0%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预算编制科学性：成本效益分析法，分析在产出一定的情况下，成本取值是否有依据，是否经过询价，是否按照市场最低成本编制。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资金到位率：比较法，资金到位率预期指标值应为100.0%，通过实际计算，分析实际完成值和预期指标值之间的差距和原因。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预算执行率：比较法，预算执行率预期指标值应为100.0%，通过实际计算，分析实际完成值和预期指标值之间的差距和原因。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3C0E693">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6360B4CB">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古则栗阿衣·塞买提：主要负责绩效评价组织协调工作，上情下达，制定绩效评价目标及考核项目；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阿不都力木江·阿不来提：主要负责对接项目承建单位经办人员，组织收集审核项目相关工程资料，审核项目相关文件、实施方案、招投标档案等资料；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米叶赛尔·赛买提：主要负责对接项目相关财务人员，负责收集查阅项目资金支付财务凭证相关附件资料，审核资金使用合规性、管理机制及操作流程。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罗霞：主要负责记录整理绩效评价过程中存在问题，编制绩效评价目标初稿，撰写绩效评价相关文稿。</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2025年3月10日-3月19日，评价小组按照绩效评价的原则和规范，对取得的资料进行审查核实，对采集的数据进行分析，按照绩效评价指标评分表逐项进行打分、分析、汇总各方评价结果。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2025年3月20日-3月30日，评价小组撰写绩效评价报告，按照新疆维吾尔自治区财政绩效管理信息系统绩效评价模块中统一格式和文本框架撰写绩效评价报告并提交审核。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36B5CDF0">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730DD9D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交通运输综合行政执法及安全生产工作经费”项目绩效进行客观公正的评价，本项目总得分为100分，绩效评级属于“优”。其中，决策类指标得分20分，过程类指标得分20分，产出类指标得分40分，效益类指标得分20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经评价，本项目达到了年初设立的绩效目标，在实施过程中取得了良好的成效，具体表现在：截至2023年12月31日，该项目执行数20万元，已完成：截至2024年12月31日，该项目执行数为20万元，已完成：安全生产督导检查企业数量114家,“打非治违”专项行动执法检查行业数量207家，“双随机一公开”检查企业数量92家，出动执法人员112人次，开展法制宣传240人次，出动执法车辆3辆。通过该项目实施推动对辖区内交通运输领域开展综合行政执法监督检查及安全生产工作，打击非法营运，维护交通运输市场稳定，为新时代平安克州提供坚强交通执法保障的效果。</w:t>
      </w:r>
    </w:p>
    <w:p w14:paraId="3DE327B1">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017171F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AAC6AE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1.项目立项情况分析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立项依据充分性：根据《自治区党委编委关于印发&lt;新疆维吾尔自治区交通运输综合执法改革涉及属地化管理的职责、机构、编制等划转方案&gt;的通知》（新党编委〔2020〕43号）文件要求，结合克州交通运输执法局职责组织实施。围绕克州交通运输综合行政执法局办公室2023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（2）立项程序规范性：根据决策依据编制工作计划和经费预算，经过与克州交通运输局党组领导小组进行沟通、筛选确定经费预算计划，上党组会研究确定最终预算方案，根据评分标准，该指标不扣分，得2分。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2.绩效目标情况分析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（1）绩效目标合理性：制定了实施方案，明确了总体思路及目标、并对任务进行了详细分解，对目标进行了细化，根据评分标准，该指标不扣分，得3分。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（2）绩效指标明确性：将项目绩效目标细化分解为具体的绩效指标，根据评分标准，该指标不扣分，得2分。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（1）预算编制科学性：预算编制经过自治州财政局预算编制工作要求按照20万元下拨，，实际完成内容与项目内容匹配，项目投资额与工作任务相匹配，根据评分标准，该指标不扣分，得5分。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资金分配合理性：资金分配按照根据《自治区党委编委关于印发&lt;新疆维吾尔自治区交通运输综合执法改革涉及属地化管理的职责、机构、编制等划转方案&gt;的通知》（新党编委〔2020〕43号）文件要求，用于组织开展活动资金分配与实际相适应，根据评分标准，该指标不扣分，得5分。</w:t>
      </w:r>
    </w:p>
    <w:p w14:paraId="1D9B05E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7E2C5E91">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1.资金管理情况分析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（1）资金到位率：该项目总投资20万元，克州财政局实际下达经费20万元，其中当年财政拨款20万元，上年结转资金0万元，财政资金足额拨付到位，根据评分标准，该指标不扣分，得5分。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预算执行率：本项目申请预算金额为20万元，预算批复实际下达金额为20万元。截至2024年12月31日，资金执行20万元，资金执行率100.00%。项目资金支出总体能够按照预算执行，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资金使用合规性：根据关于根据《自治区党委编委关于印发&lt;新疆维吾尔自治区交通运输综合执法改革涉及属地化管理的职责、机构、编制等划转方案&gt;的通知》（新党编委〔2020〕43号）文件符合预算批复规定用途，不存在截留、挤占、挪用、虚列支出等情况，未发现违规使用情况，未发现违规使用情况，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2.组织实施情况分析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（1）管理制度健全性：该项目严格按照《克州交通运输综合行政执法局财务制度》及相关的制度和管理规定实施，对财政专项资金进行严格管理，基本做到了专款专用，根据评分标准，该指标不扣分，得2分。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0244D5A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FE9D15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项目产出类指标包括产出数量、产出质量、产出时效、产出成本四方面的内容，由13个三级指标构成，权重分为40分，实际得分40分，得分率为100%。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1.数量指标完成情况分析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安全生产督导检查企业数量114家，与预期目标一致，根据评分标准，该指标不扣分，得2分。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“打非治违”专项行动执法检查行业数量207家，与预期目标一致，根据评分标准，该指标不扣分，得2分。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“双随机一公开”检查企业数量92家，与预期目标一致，根据评分标准，该指标不扣分，得2分。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出动执法人员112人次，与预期目标一致，根据评分标准，该指标不扣分，得2分。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开展法制宣传240人次，与预期目标一致，根据评分标准，该指标不扣分，得1分。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出动执法车辆3辆，与预期目标一致，根据评分标准，该指标不扣分，得1分。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2.质量指标完成情况分析：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执法抽检覆盖率90%，与预期目标一致，根据评分标准，该指标不扣分，得4分。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年度内保障交通运输市场运行率95%，与预期目标一致，根据评分标准，该指标不扣分，得3分。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法制宣传覆盖率90%，与预期目标一致，根据评分标准，该指标不扣分，得3分。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3.时效指标完成情况分析：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排查安全生产隐患及时率95%，与预期目标一致，根据评分标准，该指标不扣分，得5分。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各项任务完成时间2024年12月，与预期目标指标一致，根据评分标准，该指标不扣分，得5分。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4.成本指标完成情况分析：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执法工作办公经费7万元，与预期目标指标一致，根据评分标准，该指标不扣分，得5分。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执法公务用车经费数13万元，与预期目标指标一致，根据评分标准，该指标不扣分，得5分。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合计得10分。</w:t>
      </w:r>
    </w:p>
    <w:p w14:paraId="7E9183C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4BD5E9E">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项目效益类指标由2个二级指标和2个三级指标构成构成，权重分为20分，实际得分20分，得分率为100%。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1.经济效益完成情况分析：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2.社会效益完成情况分析：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打击非法营运持续坚持，与预期指标一致，根据评分标准，该指标不扣分，得10分。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3.生态效益完成情况分析：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本项目无该指标。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实施效益指标合计得10分。</w:t>
      </w:r>
    </w:p>
    <w:p w14:paraId="7EEF24F8">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对于满意度指标：社会服务对象满意度95%，与预期目标一致，根据评分标准，该指标不扣分，得10分。</w:t>
      </w:r>
    </w:p>
    <w:p w14:paraId="375EC8BF">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五、主要经验及做法、存在的问题及原因分析</w:t>
      </w:r>
    </w:p>
    <w:p w14:paraId="66C740E0">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1．不断完善各项预算管理制度，根据新形势和新要求，结合不断出台的各项制度，制定相应的预算管理制度。强化预算管理，事前必编预算，控制经费使用，使用必问绩效，将绩效管理贯穿于预算编制、执行及决算等环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2．加强宣传，加强对各项制度的执行力度，杜绝有令不行、有禁不止的情况发生。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w:t>
      </w:r>
    </w:p>
    <w:p w14:paraId="5D5FE321">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六、有关建议</w:t>
      </w:r>
    </w:p>
    <w:p w14:paraId="0EFD8443">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　　1.绩效管理方面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绩效目标设置是预算批复和预算安排的前置条件，是实施绩效监控、开展绩效评价等工作的重要基础和依据，统领预算 绩效管理。建议预算单位严格按照自治区印发的相关通知要 求，切实提升绩效目标和指标的编制水平，强化目标对项目实施的约束力。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2.资金管理方面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3.项目管理方面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555B5F2C">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七、其他需要说明的问题</w:t>
      </w:r>
    </w:p>
    <w:p w14:paraId="2B4FD64C">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附件1：交通运输综合行政执法及安全生产工作经费项目绩效评价指标体系及评分标准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3C4D836">
        <w:pPr>
          <w:pStyle w:val="12"/>
          <w:jc w:val="center"/>
        </w:pPr>
        <w:r>
          <w:fldChar w:fldCharType="begin"/>
        </w:r>
        <w:r>
          <w:instrText xml:space="preserve">PAGE   \* MERGEFORMAT</w:instrText>
        </w:r>
        <w:r>
          <w:fldChar w:fldCharType="separate"/>
        </w:r>
        <w:r>
          <w:rPr>
            <w:lang w:val="zh-CN"/>
          </w:rPr>
          <w:t>1</w:t>
        </w:r>
        <w:r>
          <w:fldChar w:fldCharType="end"/>
        </w:r>
      </w:p>
    </w:sdtContent>
  </w:sdt>
  <w:p w14:paraId="42A098B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832DC"/>
    <w:rsid w:val="1ABE709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

<file path=customXml/itemProps1.xml><?xml version="1.0" encoding="utf-8"?>
<ds:datastoreItem xmlns:ds="http://schemas.openxmlformats.org/officeDocument/2006/customXml" ds:itemID="{770d56cd-7028-4d26-9a61-25d408da0d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9893</Words>
  <Characters>10240</Characters>
  <Lines>5</Lines>
  <Paragraphs>1</Paragraphs>
  <TotalTime>0</TotalTime>
  <ScaleCrop>false</ScaleCrop>
  <LinksUpToDate>false</LinksUpToDate>
  <CharactersWithSpaces>10594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禅</cp:lastModifiedBy>
  <cp:lastPrinted>2018-12-31T10:56:00Z</cp:lastPrinted>
  <dcterms:modified xsi:type="dcterms:W3CDTF">2025-09-26T02:48:29Z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eyJoZGlkIjoiMzhiYjRmNTcwNGNhOGY5Y2I2MjUyNzE1NmNiMWMwYmYiLCJ1c2VySWQiOiIzMDY3NjgwNDcifQ==</vt:lpwstr>
  </property>
  <property fmtid="{D5CDD505-2E9C-101B-9397-08002B2CF9AE}" pid="4" name="ICV">
    <vt:lpwstr>1A99EE191BEC45C5BD4ED0CD87988C66_12</vt:lpwstr>
  </property>
</Properties>
</file>