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4BF5D">
      <w:bookmarkStart w:id="0" w:name="_GoBack"/>
      <w:bookmarkEnd w:id="0"/>
    </w:p>
    <w:p w14:paraId="5117E34F">
      <w:pPr>
        <w:spacing w:line="570" w:lineRule="exact"/>
        <w:jc w:val="center"/>
        <w:rPr>
          <w:rFonts w:ascii="华文中宋" w:hAnsi="华文中宋" w:eastAsia="华文中宋" w:cs="宋体"/>
          <w:b/>
          <w:kern w:val="0"/>
          <w:sz w:val="52"/>
          <w:szCs w:val="52"/>
        </w:rPr>
      </w:pPr>
    </w:p>
    <w:p w14:paraId="7681F153">
      <w:pPr>
        <w:spacing w:line="570" w:lineRule="exact"/>
        <w:jc w:val="center"/>
        <w:rPr>
          <w:rFonts w:ascii="华文中宋" w:hAnsi="华文中宋" w:eastAsia="华文中宋" w:cs="宋体"/>
          <w:b/>
          <w:kern w:val="0"/>
          <w:sz w:val="52"/>
          <w:szCs w:val="52"/>
        </w:rPr>
      </w:pPr>
    </w:p>
    <w:p w14:paraId="271E6385">
      <w:pPr>
        <w:spacing w:line="570" w:lineRule="exact"/>
        <w:jc w:val="center"/>
        <w:rPr>
          <w:rFonts w:ascii="华文中宋" w:hAnsi="华文中宋" w:eastAsia="华文中宋" w:cs="宋体"/>
          <w:b/>
          <w:kern w:val="0"/>
          <w:sz w:val="52"/>
          <w:szCs w:val="52"/>
        </w:rPr>
      </w:pPr>
    </w:p>
    <w:p w14:paraId="2CB5439A">
      <w:pPr>
        <w:spacing w:line="570" w:lineRule="exact"/>
        <w:jc w:val="center"/>
        <w:rPr>
          <w:rFonts w:ascii="华文中宋" w:hAnsi="华文中宋" w:eastAsia="华文中宋" w:cs="宋体"/>
          <w:b/>
          <w:kern w:val="0"/>
          <w:sz w:val="52"/>
          <w:szCs w:val="52"/>
        </w:rPr>
      </w:pPr>
    </w:p>
    <w:p w14:paraId="51383FD6">
      <w:pPr>
        <w:spacing w:line="570" w:lineRule="exact"/>
        <w:jc w:val="both"/>
        <w:rPr>
          <w:rFonts w:ascii="华文中宋" w:hAnsi="华文中宋" w:eastAsia="华文中宋" w:cs="宋体"/>
          <w:b/>
          <w:kern w:val="0"/>
          <w:sz w:val="52"/>
          <w:szCs w:val="52"/>
        </w:rPr>
      </w:pPr>
    </w:p>
    <w:p w14:paraId="53673B06">
      <w:pPr>
        <w:spacing w:line="570" w:lineRule="exact"/>
        <w:jc w:val="center"/>
        <w:rPr>
          <w:rFonts w:ascii="华文中宋" w:hAnsi="华文中宋" w:eastAsia="华文中宋" w:cs="宋体"/>
          <w:b/>
          <w:kern w:val="0"/>
          <w:sz w:val="52"/>
          <w:szCs w:val="52"/>
        </w:rPr>
      </w:pPr>
    </w:p>
    <w:p w14:paraId="0A9C76D9">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08C1742D">
      <w:pPr>
        <w:spacing w:line="570" w:lineRule="exact"/>
        <w:jc w:val="center"/>
        <w:rPr>
          <w:rFonts w:ascii="华文中宋" w:hAnsi="华文中宋" w:eastAsia="华文中宋" w:cs="宋体"/>
          <w:b/>
          <w:kern w:val="0"/>
          <w:sz w:val="52"/>
          <w:szCs w:val="52"/>
        </w:rPr>
      </w:pPr>
    </w:p>
    <w:p w14:paraId="1404B1B4">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1406F66C">
      <w:pPr>
        <w:spacing w:line="570" w:lineRule="exact"/>
        <w:jc w:val="center"/>
        <w:rPr>
          <w:rFonts w:hAnsi="宋体" w:eastAsia="仿宋_GB2312" w:cs="宋体"/>
          <w:kern w:val="0"/>
          <w:sz w:val="30"/>
          <w:szCs w:val="30"/>
        </w:rPr>
      </w:pPr>
    </w:p>
    <w:p w14:paraId="052EFB4C">
      <w:pPr>
        <w:spacing w:line="570" w:lineRule="exact"/>
        <w:jc w:val="center"/>
        <w:rPr>
          <w:rFonts w:hAnsi="宋体" w:eastAsia="仿宋_GB2312" w:cs="宋体"/>
          <w:kern w:val="0"/>
          <w:sz w:val="30"/>
          <w:szCs w:val="30"/>
        </w:rPr>
      </w:pPr>
    </w:p>
    <w:p w14:paraId="5296D36D">
      <w:pPr>
        <w:spacing w:line="570" w:lineRule="exact"/>
        <w:jc w:val="center"/>
        <w:rPr>
          <w:rFonts w:hAnsi="宋体" w:eastAsia="仿宋_GB2312" w:cs="宋体"/>
          <w:kern w:val="0"/>
          <w:sz w:val="30"/>
          <w:szCs w:val="30"/>
        </w:rPr>
      </w:pPr>
    </w:p>
    <w:p w14:paraId="1EC5C841">
      <w:pPr>
        <w:spacing w:line="570" w:lineRule="exact"/>
        <w:jc w:val="center"/>
        <w:rPr>
          <w:rFonts w:hAnsi="宋体" w:eastAsia="仿宋_GB2312" w:cs="宋体"/>
          <w:kern w:val="0"/>
          <w:sz w:val="30"/>
          <w:szCs w:val="30"/>
        </w:rPr>
      </w:pPr>
    </w:p>
    <w:p w14:paraId="4D1ED552">
      <w:pPr>
        <w:spacing w:line="570" w:lineRule="exact"/>
        <w:jc w:val="center"/>
        <w:rPr>
          <w:rFonts w:hAnsi="宋体" w:eastAsia="仿宋_GB2312" w:cs="宋体"/>
          <w:kern w:val="0"/>
          <w:sz w:val="30"/>
          <w:szCs w:val="30"/>
        </w:rPr>
      </w:pPr>
    </w:p>
    <w:p w14:paraId="202DF12E">
      <w:pPr>
        <w:spacing w:line="570" w:lineRule="exact"/>
        <w:jc w:val="center"/>
        <w:rPr>
          <w:rFonts w:hAnsi="宋体" w:eastAsia="仿宋_GB2312" w:cs="宋体"/>
          <w:kern w:val="0"/>
          <w:sz w:val="30"/>
          <w:szCs w:val="30"/>
        </w:rPr>
      </w:pPr>
    </w:p>
    <w:p w14:paraId="6AB08D69">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地震重点危险区活动断层通过或邻近城镇房屋设施排查整治工作及城市危旧房摸底调查项目</w:t>
      </w:r>
    </w:p>
    <w:p w14:paraId="0ECA4152">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克孜勒苏柯尔克孜自治州住房和城乡建设局（人民防空办公室）</w:t>
      </w:r>
    </w:p>
    <w:p w14:paraId="792A35D4">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克孜勒苏柯尔克孜自治州住房和城乡建设局（人民防空办公室）</w:t>
      </w:r>
    </w:p>
    <w:p w14:paraId="65AFB4AF">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阿迪莱</w:t>
      </w:r>
    </w:p>
    <w:p w14:paraId="4F923513">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2025年05月08日</w:t>
      </w:r>
    </w:p>
    <w:p w14:paraId="45AF566B">
      <w:pPr>
        <w:rPr>
          <w:rStyle w:val="19"/>
          <w:rFonts w:hint="eastAsia" w:ascii="仿宋" w:hAnsi="仿宋" w:eastAsia="仿宋" w:cs="仿宋"/>
          <w:b w:val="0"/>
          <w:bCs w:val="0"/>
          <w:spacing w:val="-4"/>
          <w:sz w:val="32"/>
          <w:szCs w:val="32"/>
        </w:rPr>
      </w:pPr>
      <w:r>
        <w:br w:type="page"/>
      </w:r>
    </w:p>
    <w:p w14:paraId="5DF797C2">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14:paraId="4EC03A89">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14:paraId="1E7FE20E">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2024地震重点危险区活动断层通过或邻近城镇房屋设施排查整治工作及城市危旧房摸底调查项目实施前期、过程及效果，评价财政预算资金使用的效率及效益。根据《中华人民共和国防震减灾法》《建设工程抗震管理条例》《自治区抗震救灾指挥办公室自治区防震减灾工作联席会议办公室关于印发&lt;2022年自治区防震减灾和抗震救灾工作要点&gt;的通知》（新抗震办〔2022〕2号）《自治区住房和城乡建设厅关于印发&lt;2022年自治区住房和城乡建设系统防灾减灾救灾、防震减灾和抗震救灾工作要点&gt;的通知》（新建抗〔2022〕4号）《自治区住房和城乡建设厅关于印发&lt;2022年自治区住房和城乡建设系统抗震和应急保障工作要点&gt;的通知》（新建抗函〔2022〕5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2024地震重点危险区活动断层通过或邻近城镇房屋设施排查整治工作及城市危旧房摸底调查项目经费为10万元，由州本级财力承担，主要用于开展重点地区房屋建筑抗震性能排查、危旧房排查，《建设工程抗震管理条例》贯彻落实情况及应急避难场所建设管理情况等工作检查12次4万元；组织1次行业管理人员前往自治区或江苏开展减隔震技术行业监管能力提升培训4万元；开展住建系统全国防震减灾日、国际减灾日等主题宣传教育活动和《建设工程抗震管理条例》宣贯3次2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自治区住房和城乡建设厅关于印发&lt;2022年自治区住房和城乡建设系统抗震和应急保障工作要点&gt;的通知》（新建抗函〔2022〕5号）。宣传国家相关政策及法律法规，维护社会稳定和长治久安，从而提高群众幸福度和归属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该项目由克州住建局（人防办）单位实施，内设5个科室，分别是办公室、房地产和住房保障、城市建设管理科、村镇建设管理科、建筑市场管理科。主要职能是承担保障城镇低收入家庭住房的责任；承担推进住房制度改革的责任；承担规范住房和城乡建设管理秩序的责任；承担建立科学规范的住房和城乡建设地方标准体系的责任；承担规范房地产市场秩序、监督管理房地产市场的责任；监督管理自治州建筑市场，规范各方主体行为；拟定城市建设的政策并指导实施；承担规范和指导自治州村镇建设的责任；承担建筑工程质量安全监管的责任；综合管理城乡建设抗震减灾工作；承担推进建筑节能、城镇减排的责任；贯彻执行国家、自治区关于人民防空建设的法律、法规和方针、政策，拟定自治州人民防空工作的规章和规范性文件，经审议通过后组织实施；负责编制自治州人民防空建设总体规划；负责人了防空组织指挥、通信、警报、信息化建设与管理；组织制定自治州人民防空城市防空袭预案和各种保障方案；承办自治州党委、自治州人民政府交办的其他任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编制人数47人，其中：行政人员编制13人、机关工勤2人、参公10人、事业编制22人。实有在职人数42人，其中：行政在职12人、机关工勤2人、参公6人、事业在职22人。离退休人员26人，其中：行政退休人员25人、事业退休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（1）项目资金安排落实、总投入等情况分析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克财预【2024】1号文本年度安排下达资金10万元，为地震重点危险区活动断层通过或邻近城镇房屋设施排查整治工作及城市危旧房摸底调查项目资金，最终确定项目资金总数为10万元。其中：中央财政拨款0万元，自治区财政拨款0万元，本级财政拨款10万元，上年结余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（2）项目资金实际使用情况分析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截至2024年12月31日，地震重点危险区活动断层通过或邻近城镇房屋设施排查整治工作及城市危旧房摸底调查项目，实际支出9.99万元，预算执行率99.9%。主要用于开展重点地区房屋建筑抗震性能排查、危旧房排查，《建设工程抗震管理条例》贯彻落实情况及应急避难场所建设管理情况等工作检查12次4万元；组织1次行业管理人员前往自治区或江苏开展减隔震技术行业监管能力提升培训4万元；开展住建系统全国防震减灾日、国际减灾日等主题宣传教育活动和《建设工程抗震管理条例》宣贯3次2万元。</w:t>
      </w:r>
    </w:p>
    <w:p w14:paraId="15B45138">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14:paraId="4DD680F3">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该项目总投资10万元，其中：财政资金10万元。主要用于开展重点地区房屋建筑抗震性能排查，危旧房排查，《建设工程抗震管理条例》贯彻落实情况服务指导检查以及行业监管能力提升，防灾减灾宣传等工作，切实防范化解住房和城乡建设领域重大风险，提升行业防震减灾能力，最大限度保障人民群众生命财产安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（1）项目产出目标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①数量指标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“全年赴县（市）开展检查次数（次）”指标，预期指标值为=12次；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“开展全国防震减灾日、国际减灾日等主题宣传教育活动、《建设工程抗震管理条例》宣贯（次）”指标，预期指标值为≥3次；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“赴自治区或内地培训学习次数（次）”指标，预期指标值为≥1次；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②质量指标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“检查覆盖率（%）”指标，预期指标值为=100%；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“资金使用合规率（%）”指标，预期指标值为=100%。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③时效指标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“开展各类活动及时率（%）”指标，预期指标值为=100%；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“按期参加培训学习（%）”指标，预期指标值为=100%。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（2）项目成本指标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①经济成本指标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“项目资金使用额”指标，预期指标值为≤10万元；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“检查”指标，预期指标值为≤4万元；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“能力提升培训”指标，预期指标值为≤4万元；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“宣传”指标，预期指标值为≤2万元.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（3）项目效益指标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无此类指标。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②社会效益指标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“提升行业防震减灾能力”指标，预期指标值为有效提升；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③生态效益指标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无此类指标。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（4）相关满意度指标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“群众满意度（%）”指标，预期指标值为≥95%。</w:t>
      </w:r>
    </w:p>
    <w:p w14:paraId="50E2EE56">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14:paraId="705B5F5D">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和</w:t>
      </w:r>
      <w:r>
        <w:rPr>
          <w:rStyle w:val="19"/>
          <w:rFonts w:hint="eastAsia" w:ascii="楷体" w:hAnsi="楷体" w:eastAsia="楷体" w:cs="楷体"/>
          <w:bCs w:val="0"/>
          <w:spacing w:val="-4"/>
          <w:sz w:val="32"/>
          <w:szCs w:val="32"/>
        </w:rPr>
        <w:t>范围。</w:t>
      </w:r>
    </w:p>
    <w:p w14:paraId="3A8094C4">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克州财政支出绩效评价管理暂行办法》的通知（克财预〔2018〕129号），关于印发《自治州全面实施预算绩效管理的工作方案》的通知（财预〔2018〕128号）文件精神，我单位针对地震重点危险区活动断层通过或邻近城镇房屋设施排查整治工作及城市危旧房摸底调查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4A235376">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14:paraId="687A0B35">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地震重点危险区活动断层通过或邻近城镇房屋设施排查整治工作及城市危旧房摸底调查项目项目资金进行绩效评价，旨在了解项目资金使用和项目管理情况、取得的成绩及效益，进而分析在政策执行、预算资金安排、项目实施等方面存在的问题并提出针对性建议。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细指标体系见“附件1：项目支出绩效评价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三级指标分析环节：总体采用比较法，同时辅以文献法、成本效益法、因素分析法以及公众评判法，根据不同三级指标类型进行逐项分析。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②定性指标分析环节：主要采用公众评判法，通过问卷及抽样调查等方式评价本项目实施后社会公众对于其实施效果的满意程度，将调研结果按照、《关于印发&lt;自治区项目支出绩效目标设置指引&gt;的通知》（新财预〔2022〕42号）文件要求分为基本达成目标、部分实现目标、实现目标程度较低三档，分别按照该指标对应分值区间100.0%-80.0%（含）、80.0%-60.0%（含）、60.0%-0.0%合理确定分值，详细评价方法的应用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立项依据充分性：比较法、文献法，查找法律法规政策以及规划，对比实际执行内容和政策支持内容是否匹配。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立项程序规范性：比较法、文献法，查找相关项目设立的政策和文件要求，对比分析实际执行程序是否按照政策及文件要求执行，分析立项程序的规范性。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绩效目标合理性：比较法，对比分析年初编制项目支出绩效目标表与项目内容的相关性、资金的匹配性等。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绩效指标明确性：比较法，比较分析年初编制项目支出绩效目标表是否符合双七原则，是否可衡量。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预算编制科学性：成本效益分析法，分析在产出一定的情况下，成本取值是否有依据，是否经过询价，是否按照市场最低成本编制。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资金到位率：比较法，资金到位率预期指标值应为100.0%，通过实际计算，分析实际完成值和预期指标值之间的差距和原因。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预算执行率：比较法，预算执行率预期指标值应为100.0%，通过实际计算，分析实际完成值和预期指标值之间的差距和原因。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资金使用合规性：文献法、实地勘察法，一是查找资金管理办法，包括专项资金管理办法和单位自有资金管理办法；二是通过查账了解具体开支情况，是否专款专用，是否按照标准支出。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管理制度健全性：文献法、比较法，查阅项目实施人员提供的财务和业务管理制度，将已建立的制度与现行的法律法规和政策要求进行对比，分析项目制度的合法性、合规性、完整性。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定性指标：公众评判法，通过问卷及抽样调查等方式评价本项目实施后社会公众对于其实施效果的满意程度。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4E3B4EFB">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14:paraId="0BE892AB">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吾拉衣木·塔西买买提（评价小组组长）：主要负责绩效评价组织协调工作，上情下达，制定绩效评价目标及考核项目；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魏军（评价小组组员）：主要负责对接项目承建单位经办人员，组织收集审核项目相关工程资料，审核项目相关文件、实施方案、招投标档案等资料；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古丽娜（评价小组组员）：主要负责对接项目相关财务人员，负责收集查阅项目资金支付财务凭证相关附件资料，审核资金使用合规性、管理机制及操作流程。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何萍（评价小组组员）：主要负责记录整理绩效评价过程中存在问题，编制绩效评价目标初稿，撰写绩效评价相关文稿。</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2025年3月10日-3月19日，评价小组按照绩效评价的原则和规范，对取得的资料进行审查核实，对采集的数据进行分析，按照绩效评价指标评分表逐项进行打分、分析、汇总各方评价结果。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4.撰写与提交评价报告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2025年3月20日-3月30日，评价小组撰写绩效评价报告，按照新疆维吾尔自治区财政绩效管理信息系统绩效评价模块中统一格式和文本框架撰写绩效评价报告并提交审核。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5.问题整改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6.档案整理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2D99EFCB">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14:paraId="7B7D50D5">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地震重点危险区活动断层通过或邻近城镇房屋设施排查整治工作及城市危旧房摸底调查”项目绩效进行客观公正的评价，本项目总得分为99.99分，绩效评级属于“优”。其中，决策类指标得分20分，过程类指标得分20分，产出类指标得分39.99分，效益类指标得分20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经评价，本项目达到了年初设立的绩效目标，在实施过程中取得了良好的成效，具体表现在：全年赴县（市）开展检查次数12次、开展全国防震减灾日、国际减灾日等主题宣传教育活动、《建设工程抗震管理条例》宣贯3次、赴自治区或内地培训学习次数1次已完成100%，推动了行业防震减灾能力产生最大限度保障人民群众生命财产安全效益。</w:t>
      </w:r>
    </w:p>
    <w:p w14:paraId="3863373E">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14:paraId="1DF5B79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2CED7AB">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1.项目立项情况分析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（1）立项依据充分性：围绕《自治区“十四五”住房和城乡建设事业高质量发展年规划》《</w:t>
      </w:r>
      <w:r>
        <w:rPr>
          <w:rStyle w:val="19"/>
          <w:rFonts w:hint="eastAsia" w:ascii="仿宋" w:hAnsi="仿宋" w:eastAsia="仿宋" w:cs="仿宋"/>
          <w:b w:val="0"/>
          <w:bCs w:val="0"/>
          <w:spacing w:val="-4"/>
          <w:sz w:val="32"/>
          <w:szCs w:val="32"/>
          <w:lang w:eastAsia="zh-CN"/>
        </w:rPr>
        <w:t>克孜勒苏柯尔克孜自治州</w:t>
      </w:r>
      <w:r>
        <w:rPr>
          <w:rStyle w:val="19"/>
          <w:rFonts w:hint="eastAsia" w:ascii="仿宋" w:hAnsi="仿宋" w:eastAsia="仿宋" w:cs="仿宋"/>
          <w:b w:val="0"/>
          <w:bCs w:val="0"/>
          <w:spacing w:val="-4"/>
          <w:sz w:val="32"/>
          <w:szCs w:val="32"/>
        </w:rPr>
        <w:t>国家经济和社会发展第十四个五年规划和2035年远景目标纲要》的目标要求并结合克州住建局（人防办）职责组织实施。围绕克州住建局（人防办）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立项程序规范性：根据决策依据编制工作计划和经费预算，经过与克州住建局（人防办）财经领导小组进行沟通、筛选确定经费预算计划，上局务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2.绩效目标情况分析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（1）绩效目标合理性：制定了实施方案，明确了总体思路及目标、并对任务进行了详细分解，对目标进行了细化，根据评分标准，该指标不扣分，得3分。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（2）绩效指标明确性：将项目绩效目标细化分解为具体的绩效指标，根据评分标准，该指标不扣分，得2分。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3.资金投入情况分析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（1）预算编制科学性：预算编制批复，实际完成内容与项目内容匹配，项目投资额与工作任务相匹配，根据评分标准，该指标不扣分，得5分。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（2）资金分配合理性：资金分配按照根据《关于下达自治州本级2024年度部门预算指标的通知》（克财预【2024】1号）》资金分配与实际相适应，根据评分标准，该指标不扣分，得5分。</w:t>
      </w:r>
    </w:p>
    <w:p w14:paraId="439CB0B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75E5B37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1.资金管理情况分析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（1）资金到位率：该项目总投资10万元，克州财政局实际下达经费10万元，其中当年财政拨款10万元，上年结转资金0万元，财政资金足额拨付到位，根据评分标准，该指标不扣分，得5分。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（2）预算执行率：本项目申请预算金额为10万元，预算批复实际下达金额为10万元，截至 2024年 12 月 31日，资金执行9.99万元，资金执行率99.9%。项目资金支出总体能够按照预算执行，根据评分标准，该指标不扣分，得5分。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资金使用合规性：根据关于《关于下达自治州本级2024年度部门预算指标的通知》（克财预【2024】1号）》符合预算批复规定用途，不存在截留、挤占、挪用、虚列支出等情况，未发现违规使用情况，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2.组织实施情况分析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管理制度健全性：该项目严格按照《克州住建局（人防办）财务制度》及地震重点危险区活动断层通过或邻近城镇房屋设施排查整治工作及城市危旧房摸底调查项目资金相关的制度和管理规定实施，对财政专项资金进行严格管理，基本做到了专款专用，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0B4A131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3A292F65">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项目产出类指标包括产出数量、产出质量、产出时效、产出成本四方面的内容，由11个三级指标构成，权重分为40分，实际得分39.99分，得分率为99.98%。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1.数量指标完成情况分析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全年赴县（市）开展检查次数12次，与预期目标一致，根据评分标准，该指标不扣分，得2分。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开展全国防震减灾日、国际减灾日等主题宣传教育活动、《建设工程抗震管理条例》宣贯3次，与预期目标一致，根据评分标准，该指标不扣分，得4分。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赴自治区或内地培训学习次数1次，与预期目标一致，根据评分标准，该指标不扣分，得4分。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2.质量指标完成情况分析：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检查覆盖率100%，与预期目标一致，根据评分标准，该指标不扣分，得5分。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资金使用合规率100%，与预期目标一致，根据评分标准，该指标不扣分，得5分。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3.时效指标完成情况分析：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开展各类活动及时率100%，与预期目标指标一致，根据评分标准，该指标不扣分，得5分。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按期参加培训学习100%，与预期目标指标一致，根据评分标准，该指标不扣分，得5分。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4.成本指标完成情况分析：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项目资金使用额9.99万元，与预期目标不一致，存在偏差：预期绩效目标10万元，实际完成值为9.99万元，偏差率为0.1% ，偏差原因：单位宣传费用压减整体支出减少了。改进措施：精准做预算支出，根据评分标准，该指标不扣分，得2.5分。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检查4万元，与预期目标一致，根据评分标准，该指标不扣分，得2.5分。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能力提升培训4万元，与预期目标一致，根据评分标准，该指标不扣分，得2.5分。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宣传1.99万元，与预期目标不一致，存在偏差：预期绩效目标2万元，实际完成值为1.99万元，偏差率为0.5% ，偏差原因：单位宣传费用压减整体支出减少了。改进措施：精准做预算支出，根据评分标准（1.99/2）*100%*2.5=2.49，该指标扣0.01分，得2.49分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合计得9.99分。</w:t>
      </w:r>
    </w:p>
    <w:p w14:paraId="489676D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4660B3A3">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项目效益类指标由2个二级指标和2个三级指标构成构成，权重分为20分，实际得分20分，得分率为100%。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1.经济效益完成情况分析：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本项目无该指标。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2.社会效益完成情况分析：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提升行业防震减灾能力，与预期指标一致，根据评分标准，该指标不扣分，得5分。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3.生态效益完成情况分析：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本项目无该指标。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实施效益指标合计得10分。</w:t>
      </w:r>
    </w:p>
    <w:p w14:paraId="7A9B47C5">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4.满意度指标完成情况：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对于满意度指标：群众满意度95%，与预期目标一致，根据评分标准，该指标不扣分，得10分。</w:t>
      </w:r>
    </w:p>
    <w:p w14:paraId="5A872AF5">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五、主要经验及做法、存在的问题及原因分析</w:t>
      </w:r>
    </w:p>
    <w:p w14:paraId="2095E30E">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实施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5E0E27DC">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六、有关建议</w:t>
      </w:r>
    </w:p>
    <w:p w14:paraId="288F5088">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4．评价工作应从项目实施方案源头抓起，评价工作和意识应贯穿项目整个过程。</w:t>
      </w:r>
    </w:p>
    <w:p w14:paraId="7445F8A1">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七、其他需要说明的问题</w:t>
      </w:r>
    </w:p>
    <w:p w14:paraId="1E90DBD2">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　　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3C2F514">
        <w:pPr>
          <w:pStyle w:val="12"/>
          <w:jc w:val="center"/>
        </w:pPr>
        <w:r>
          <w:fldChar w:fldCharType="begin"/>
        </w:r>
        <w:r>
          <w:instrText xml:space="preserve">PAGE   \* MERGEFORMAT</w:instrText>
        </w:r>
        <w:r>
          <w:fldChar w:fldCharType="separate"/>
        </w:r>
        <w:r>
          <w:rPr>
            <w:lang w:val="zh-CN"/>
          </w:rPr>
          <w:t>1</w:t>
        </w:r>
        <w:r>
          <w:fldChar w:fldCharType="end"/>
        </w:r>
      </w:p>
    </w:sdtContent>
  </w:sdt>
  <w:p w14:paraId="6E63B2BB">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6B39C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

<file path=customXml/itemProps1.xml><?xml version="1.0" encoding="utf-8"?>
<ds:datastoreItem xmlns:ds="http://schemas.openxmlformats.org/officeDocument/2006/customXml" ds:itemID="{f914f646-3715-4440-9ef5-9643b98757a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10469</Words>
  <Characters>10892</Characters>
  <Lines>5</Lines>
  <Paragraphs>1</Paragraphs>
  <TotalTime>0</TotalTime>
  <ScaleCrop>false</ScaleCrop>
  <LinksUpToDate>false</LinksUpToDate>
  <CharactersWithSpaces>11242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盛夏之末√</cp:lastModifiedBy>
  <cp:lastPrinted>2018-12-31T10:56:00Z</cp:lastPrinted>
  <dcterms:modified xsi:type="dcterms:W3CDTF">2025-09-16T05:24:13Z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eyJoZGlkIjoiZjFmZWIzNDg2MmIzZjExOTIzMmViNTBmYTMwYTk0ZWYiLCJ1c2VySWQiOiI0MzIyODY2NzMifQ==</vt:lpwstr>
  </property>
  <property fmtid="{D5CDD505-2E9C-101B-9397-08002B2CF9AE}" pid="4" name="ICV">
    <vt:lpwstr>14792C9E147E4C4087F3B4CAFD25491C_12</vt:lpwstr>
  </property>
</Properties>
</file>