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EBE69">
      <w:bookmarkStart w:id="0" w:name="_GoBack"/>
      <w:bookmarkEnd w:id="0"/>
    </w:p>
    <w:p w14:paraId="7E776DA1">
      <w:pPr>
        <w:spacing w:line="570" w:lineRule="exact"/>
        <w:jc w:val="center"/>
        <w:rPr>
          <w:rFonts w:ascii="华文中宋" w:hAnsi="华文中宋" w:eastAsia="华文中宋" w:cs="宋体"/>
          <w:b/>
          <w:kern w:val="0"/>
          <w:sz w:val="52"/>
          <w:szCs w:val="52"/>
        </w:rPr>
      </w:pPr>
    </w:p>
    <w:p w14:paraId="1F7AC711">
      <w:pPr>
        <w:spacing w:line="570" w:lineRule="exact"/>
        <w:jc w:val="center"/>
        <w:rPr>
          <w:rFonts w:ascii="华文中宋" w:hAnsi="华文中宋" w:eastAsia="华文中宋" w:cs="宋体"/>
          <w:b/>
          <w:kern w:val="0"/>
          <w:sz w:val="52"/>
          <w:szCs w:val="52"/>
        </w:rPr>
      </w:pPr>
    </w:p>
    <w:p w14:paraId="413B69BF">
      <w:pPr>
        <w:spacing w:line="570" w:lineRule="exact"/>
        <w:jc w:val="center"/>
        <w:rPr>
          <w:rFonts w:ascii="华文中宋" w:hAnsi="华文中宋" w:eastAsia="华文中宋" w:cs="宋体"/>
          <w:b/>
          <w:kern w:val="0"/>
          <w:sz w:val="52"/>
          <w:szCs w:val="52"/>
        </w:rPr>
      </w:pPr>
    </w:p>
    <w:p w14:paraId="19C5879F">
      <w:pPr>
        <w:spacing w:line="570" w:lineRule="exact"/>
        <w:jc w:val="center"/>
        <w:rPr>
          <w:rFonts w:ascii="华文中宋" w:hAnsi="华文中宋" w:eastAsia="华文中宋" w:cs="宋体"/>
          <w:b/>
          <w:kern w:val="0"/>
          <w:sz w:val="52"/>
          <w:szCs w:val="52"/>
        </w:rPr>
      </w:pPr>
    </w:p>
    <w:p w14:paraId="50E727F3">
      <w:pPr>
        <w:spacing w:line="570" w:lineRule="exact"/>
        <w:jc w:val="both"/>
        <w:rPr>
          <w:rFonts w:ascii="华文中宋" w:hAnsi="华文中宋" w:eastAsia="华文中宋" w:cs="宋体"/>
          <w:b/>
          <w:kern w:val="0"/>
          <w:sz w:val="52"/>
          <w:szCs w:val="52"/>
        </w:rPr>
      </w:pPr>
    </w:p>
    <w:p w14:paraId="27F488C9">
      <w:pPr>
        <w:spacing w:line="570" w:lineRule="exact"/>
        <w:jc w:val="center"/>
        <w:rPr>
          <w:rFonts w:ascii="华文中宋" w:hAnsi="华文中宋" w:eastAsia="华文中宋" w:cs="宋体"/>
          <w:b/>
          <w:kern w:val="0"/>
          <w:sz w:val="52"/>
          <w:szCs w:val="52"/>
        </w:rPr>
      </w:pPr>
    </w:p>
    <w:p w14:paraId="4899BAEB">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2B56CC9B">
      <w:pPr>
        <w:spacing w:line="570" w:lineRule="exact"/>
        <w:jc w:val="center"/>
        <w:rPr>
          <w:rFonts w:ascii="华文中宋" w:hAnsi="华文中宋" w:eastAsia="华文中宋" w:cs="宋体"/>
          <w:b/>
          <w:kern w:val="0"/>
          <w:sz w:val="52"/>
          <w:szCs w:val="52"/>
        </w:rPr>
      </w:pPr>
    </w:p>
    <w:p w14:paraId="04BC1BE9">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7E9163E">
      <w:pPr>
        <w:spacing w:line="570" w:lineRule="exact"/>
        <w:jc w:val="center"/>
        <w:rPr>
          <w:rFonts w:hAnsi="宋体" w:eastAsia="仿宋_GB2312" w:cs="宋体"/>
          <w:kern w:val="0"/>
          <w:sz w:val="30"/>
          <w:szCs w:val="30"/>
        </w:rPr>
      </w:pPr>
    </w:p>
    <w:p w14:paraId="24AE17D3">
      <w:pPr>
        <w:spacing w:line="570" w:lineRule="exact"/>
        <w:jc w:val="center"/>
        <w:rPr>
          <w:rFonts w:hAnsi="宋体" w:eastAsia="仿宋_GB2312" w:cs="宋体"/>
          <w:kern w:val="0"/>
          <w:sz w:val="30"/>
          <w:szCs w:val="30"/>
        </w:rPr>
      </w:pPr>
    </w:p>
    <w:p w14:paraId="15F5C818">
      <w:pPr>
        <w:spacing w:line="570" w:lineRule="exact"/>
        <w:jc w:val="center"/>
        <w:rPr>
          <w:rFonts w:hAnsi="宋体" w:eastAsia="仿宋_GB2312" w:cs="宋体"/>
          <w:kern w:val="0"/>
          <w:sz w:val="30"/>
          <w:szCs w:val="30"/>
        </w:rPr>
      </w:pPr>
    </w:p>
    <w:p w14:paraId="78D99AE3">
      <w:pPr>
        <w:spacing w:line="570" w:lineRule="exact"/>
        <w:jc w:val="center"/>
        <w:rPr>
          <w:rFonts w:hAnsi="宋体" w:eastAsia="仿宋_GB2312" w:cs="宋体"/>
          <w:kern w:val="0"/>
          <w:sz w:val="30"/>
          <w:szCs w:val="30"/>
        </w:rPr>
      </w:pPr>
    </w:p>
    <w:p w14:paraId="1B42FB8F">
      <w:pPr>
        <w:spacing w:line="570" w:lineRule="exact"/>
        <w:jc w:val="center"/>
        <w:rPr>
          <w:rFonts w:hAnsi="宋体" w:eastAsia="仿宋_GB2312" w:cs="宋体"/>
          <w:kern w:val="0"/>
          <w:sz w:val="30"/>
          <w:szCs w:val="30"/>
        </w:rPr>
      </w:pPr>
    </w:p>
    <w:p w14:paraId="5098364A">
      <w:pPr>
        <w:spacing w:line="570" w:lineRule="exact"/>
        <w:jc w:val="center"/>
        <w:rPr>
          <w:rFonts w:hAnsi="宋体" w:eastAsia="仿宋_GB2312" w:cs="宋体"/>
          <w:kern w:val="0"/>
          <w:sz w:val="30"/>
          <w:szCs w:val="30"/>
        </w:rPr>
      </w:pPr>
    </w:p>
    <w:p w14:paraId="47DFF116">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农村住房安全隐患排查整治工作项目</w:t>
      </w:r>
    </w:p>
    <w:p w14:paraId="21C6A466">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克孜勒苏柯尔克孜自治州住房和城乡建设局（人民防空办公室）</w:t>
      </w:r>
    </w:p>
    <w:p w14:paraId="1B132C8A">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克孜勒苏柯尔克孜自治州住房和城乡建设局（人民防空办公室）</w:t>
      </w:r>
    </w:p>
    <w:p w14:paraId="1D2A95F7">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魏军</w:t>
      </w:r>
    </w:p>
    <w:p w14:paraId="453A059E">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2025年04月23日</w:t>
      </w:r>
    </w:p>
    <w:p w14:paraId="5A8F862A">
      <w:pPr>
        <w:rPr>
          <w:rStyle w:val="19"/>
          <w:rFonts w:hint="eastAsia" w:ascii="仿宋" w:hAnsi="仿宋" w:eastAsia="仿宋" w:cs="仿宋"/>
          <w:b w:val="0"/>
          <w:bCs w:val="0"/>
          <w:spacing w:val="-4"/>
          <w:sz w:val="32"/>
          <w:szCs w:val="32"/>
        </w:rPr>
      </w:pPr>
      <w:r>
        <w:br w:type="page"/>
      </w:r>
    </w:p>
    <w:p w14:paraId="48F58E76">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28A3B949">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73D7487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农村住房安全隐患排查整治工作项目实施前期、过程及效果，评价财政预算资金使用的效率及效益。为认真贯彻落实《关于印发﹤关于推进乡村振兴战略加强自治区农村住房建设管理的实施意见﹥的通知》（新建村〔2021〕14号）和《关于做好自治区农村低收入群体等重点对象住房安全保障工作的实施意见》（新建村〔2021〕18号）文件的决策部署，《自治州住建领域推进巩固拓展脱贫攻坚成果同乡村振兴有效衔接战略规划（2021-2025）行动方案》的目标要求，结合本科室负责自治州农村住房安全保障工作，对全州农村安居工程建设工程进行检查，开展全州农村房屋安全隐患排查整治，将符合条件的农户断增强人民群众的获得感、幸福感、安全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2024农村房屋安全隐患排查整治检查9次1万元，外出交流学习2次（3万元）、保障人员（5万元）及车辆费用（6万元），确保克州农村住房安全有保障。有利于为巩固脱贫攻坚成效、维护社会稳定和长治久安打好基础，通过该项目实施达到克州农村住房安全有保障，群众生活越来越好的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根据《关于印发﹤关于推进乡村振兴战略加强自治区农村住房建设管理的实施意见﹥的通知》（新建村〔2021〕14号）和《关于做好自治区农村低收入群体等重点对象住房安全保障工作的实施意见》（新建村〔2021〕18号）文件的决策部署，《自治州住建领域推进</w:t>
      </w:r>
      <w:r>
        <w:rPr>
          <w:rStyle w:val="19"/>
          <w:rFonts w:hint="eastAsia" w:ascii="仿宋" w:hAnsi="仿宋" w:eastAsia="仿宋" w:cs="仿宋"/>
          <w:b w:val="0"/>
          <w:bCs w:val="0"/>
          <w:spacing w:val="-4"/>
          <w:sz w:val="32"/>
          <w:szCs w:val="32"/>
          <w:lang w:eastAsia="zh-CN"/>
        </w:rPr>
        <w:t>巩固拓展脱贫攻坚成果同乡村振兴有效衔接</w:t>
      </w:r>
      <w:r>
        <w:rPr>
          <w:rStyle w:val="19"/>
          <w:rFonts w:hint="eastAsia" w:ascii="仿宋" w:hAnsi="仿宋" w:eastAsia="仿宋" w:cs="仿宋"/>
          <w:b w:val="0"/>
          <w:bCs w:val="0"/>
          <w:spacing w:val="-4"/>
          <w:sz w:val="32"/>
          <w:szCs w:val="32"/>
        </w:rPr>
        <w:t>战略规划（2021-2025）行动方案》的目标要求，结合本科室负责自治州农村住房安全保障工作，对全州农村安居工程建设工程进行检查，开展全州农村房屋安全隐患排查整治，将符合条件的农户断增强人民群众的获得感、幸福感、安全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该项目由克州住建局（人防办）单位实施，内设5个科室，分别是办公室、房地产和住房保障、城市建设管理科、村镇建设管理科、建筑市场管理科。主要职能是承担保障城镇低收入家庭住房的责任；承担推进住房制度改革的责任；承担规范住房和城乡建设管理秩序的责任；承担建立科学规范的住房和城乡建设地方标准体系的责任；承担规范房地产市场秩序、监督管理房地产市场的责任；监督管理自治州建筑市场，规范各方主体行为；拟定城市建设的政策并指导实施；承担规范和指导自治州村镇建设的责任；承担建筑工程质量安全监管的责任；综合管理城乡建设抗震减灾工作；承担推进建筑节能、城镇减排的责任；贯彻执行国家、自治区关于人民防空建设的法律、法规和方针、政策，拟定自治州人民防空工作的规章和规范性文件，经审议通过后组织实施；负责编制自治州人民防空建设总体规划；负责人了防空组织指挥、通信、警报、信息化建设与管理；组织制定自治州人民防空城市防空袭预案和各种保障方案；承办自治州党委、自治州人民政府交办的其他任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编制人数47人，其中：行政人员编制13人、机关工勤2人、参公10人、事业编制22人。实有在职人数42人，其中：行政在职12人、机关工勤2人、参公6人、事业在职22人。离退休人员26人，其中：行政退休人员25人、事业退休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（1）项目资金安排落实、总投入等情况分析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克财预【2024】1号文本年度安排下达资金15万元，为克州住建领域安全生产暨重点工作项目资金，最终确定项目资金总数为15万元。其中：中央财政拨款0万元，自治区财政拨款0万元，本级财政拨款15万元，上年结余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（2）项目资金实际使用情况分析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截至2024年12月31日，已完成：主要用开展全州农村房屋安全隐患排查整治检查9次，外出交流学习2次，确保克州农村住房安全有保障。有利于为巩固脱贫攻坚成效、维护社会稳定和长治久安打好基础，通过该项目实施达到克州农村住房安全有保障，群众生活越来越好的效果。</w:t>
      </w:r>
    </w:p>
    <w:p w14:paraId="454B7589">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58E16B74">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主要用开展全州农村房屋安全隐患排查整治检查9次，外出交流学习2次，确保克州农村住房安全有保障。有利于为巩固脱贫攻坚成效、维护社会稳定和长治久安打好基础，通过该项目实施达到克州农村住房安全有保障，群众生活越来越好的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（1）项目产出目标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①数量指标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“开展农村房屋安全隐患排查整治检查次数（次）”指标，预期指标值为≥9次；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“开展交流学习（次）”指标，预期指标值为≥2次；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“农村危房改造户数（户）”指标，预期指标值为≥10户；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“保障车辆数（辆）”指标，预期指标值为=1辆；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“临聘人员数量（人）”指标，预期指标值为=1人。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②质量指标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“完成存量安全隐患排查整治（%）”指标，预期指标值为＝100%；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“遏制新增安全隐患发生（%）”指标，预期指标值为=100%。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③时效指标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“安全隐患排查及时率（%）”指标，预期指标值为&gt;=95%。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“临聘人员工资发放及时率（%）”指标，预期指标值为=100%;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“项目完成时间”指标，预期指标值为2024年12月；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（2）项目成本指标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①经济成本指标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“开展排查整治活动经费（万元）”指标，预期指标值为≤1万元；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“开展交流学习经费（万元）”指标，预期指标值为≤3万元；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“保障人员车辆经费（万元）”指标，预期指标值为≤6万元。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“临聘人员工资标准（万元）”指标，预期指标值为≤5万元。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（3）项目效益指标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无此类指标。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“完成农村房屋安全隐患排查率”指标，预期指标值为=95%；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“防止农村经营性房屋发生安全事故”指标，预期指标值为杜绝人员伤亡；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③生态效益指标”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无此类指标。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（4）相关满意度指标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“受益群众满意度（%）”指标，预期指标值为≥95%；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“办公室人员满意度（%）”指标，预期指标值为=100%。</w:t>
      </w:r>
    </w:p>
    <w:p w14:paraId="0AB85B97">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7B8C023D">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和</w:t>
      </w:r>
      <w:r>
        <w:rPr>
          <w:rStyle w:val="19"/>
          <w:rFonts w:hint="eastAsia" w:ascii="楷体" w:hAnsi="楷体" w:eastAsia="楷体" w:cs="楷体"/>
          <w:bCs w:val="0"/>
          <w:spacing w:val="-4"/>
          <w:sz w:val="32"/>
          <w:szCs w:val="32"/>
        </w:rPr>
        <w:t>范围。</w:t>
      </w:r>
    </w:p>
    <w:p w14:paraId="06CA1FB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克州财政支出绩效评价管理暂行办法》的通知（克财预〔2018〕129号），关于印发《自治州全面实施预算绩效管理的工作方案》的通知（财预〔2018〕128号）文件精神，我单位针对农村住房安全隐患排查整治工作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12E63581">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562C53E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农村住房安全隐患排查整治工作项目资金进行绩效评价，旨在了解项目资金使用和项目管理情况、取得的成绩及效益，进而分析在政策执行、预算资金安排、项目实施等方面存在的问题并提出针对性建议。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细指标体系见“附件1：项目支出绩效评价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三级指标分析环节：总体采用比较法，同时辅以文献法、成本效益法、因素分析法以及公众评判法，根据不同三级指标类型进行逐项分析。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定性指标分析环节：主要采用公众评判法，通过问卷及抽样调查等方式评价本项目实施后社会公众对于其实施效果的满意程度，将调研结果按照、《关于印发&lt;自治区项目支出绩效目标设置指引&gt;的通知》（新财预〔2022〕42号）文件要求分为基本达成目标、部分实现目标、实现目标程度较低三档，分别按照该指标对应分值区间100.0%-80.0%（含）、80.0%-60.0%（含）、60.0%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预算编制科学性：成本效益分析法，分析在产出一定的情况下，成本取值是否有依据，是否经过询价，是否按照市场最低成本编制。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资金到位率：比较法，资金到位率预期指标值应为100.0%，通过实际计算，分析实际完成值和预期指标值之间的差距和原因。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预算执行率：比较法，预算执行率预期指标值应为100.0%，通过实际计算，分析实际完成值和预期指标值之间的差距和原因。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定性指标：公众评判法，通过问卷及抽样调查等方式评价本项目实施后社会公众对于其实施效果的满意程度。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5B05315">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579572EB">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吾拉衣木·塔西买买提（评价小组组长）：主要负责绩效评价组织协调工作，上情下达，制定绩效评价目标及考核项目；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魏军（评价小组组员）：主要负责对接项目承建单位经办人员，组织收集审核项目相关工程资料，审核项目相关文件、实施方案、招投标档案等资料；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古丽娜（评价小组组员）：主要负责对接项目相关财务人员，负责收集查阅项目资金支付财务凭证相关附件资料，审核资金使用合规性、管理机制及操作流程。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何萍（评价小组组员）：主要负责记录整理绩效评价过程中存在问题，编制绩效评价目标初稿，撰写绩效评价相关文稿。</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2025年3月10日-3月19日，评价小组按照绩效评价的原则和规范，对取得的资料进行审查核实，对采集的数据进行分析，按照绩效评价指标评分表逐项进行打分、分析、汇总各方评价结果。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2025年3月20日-3月30日，评价小组撰写绩效评价报告，按照新疆维吾尔自治区财政绩效管理信息系统绩效评价模块中统一格式和文本框架撰写绩效评价报告并提交审核。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3A5D47E9">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0A60F20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农村住房安全隐患排查整治工作”项目绩效进行客观公正的评价，本项目总得分为100分，绩效评级属于“优”。其中，决策类指标得分20分，过程类指标得分20分，产出类指标得分40分，效益类指标得分20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经评价，本项目达到了年初设立的绩效目标，在实施过程中取得了良好的成效，具体表现在：开展全州农村房屋安全隐患排查整治检查9次，外出交流学习2次，确保克州农村住房安全有保障。有利于为巩固脱贫攻坚成效、维护社会稳定和长治久安打好基础，通过该项目实施达到克州农村住房安全有保障，群众生活越来越好的效果。</w:t>
      </w:r>
    </w:p>
    <w:p w14:paraId="365A5BD0">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4F8BB25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C97293D">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1.项目立项情况分析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（1）立项依据充分性： 《关于印发﹤关于推进乡村振兴战略加强自治区农村住房建设管理的实施意见﹥的通知》（新建村〔2021〕14号）和《关于做好自治区农村低收入群体等重点对象住房安全保障工作的实施意见》（新建村〔2021〕18号）文件的决策部署，《自治州住建领域推进</w:t>
      </w:r>
      <w:r>
        <w:rPr>
          <w:rStyle w:val="19"/>
          <w:rFonts w:hint="eastAsia" w:ascii="仿宋" w:hAnsi="仿宋" w:eastAsia="仿宋" w:cs="仿宋"/>
          <w:b w:val="0"/>
          <w:bCs w:val="0"/>
          <w:spacing w:val="-4"/>
          <w:sz w:val="32"/>
          <w:szCs w:val="32"/>
          <w:lang w:eastAsia="zh-CN"/>
        </w:rPr>
        <w:t>巩固拓展脱贫攻坚成果同乡村振兴有效衔接</w:t>
      </w:r>
      <w:r>
        <w:rPr>
          <w:rStyle w:val="19"/>
          <w:rFonts w:hint="eastAsia" w:ascii="仿宋" w:hAnsi="仿宋" w:eastAsia="仿宋" w:cs="仿宋"/>
          <w:b w:val="0"/>
          <w:bCs w:val="0"/>
          <w:spacing w:val="-4"/>
          <w:sz w:val="32"/>
          <w:szCs w:val="32"/>
        </w:rPr>
        <w:t>战略规划（2021-2025）行动方案》的目标要求，结合本科室负责自治州农村住房安全保障工作，对全州农村安居工程建设工程进行检查，开展全州农村房屋安全隐患排查整治，将符合条件的农户断增强人民群众的获得感、幸福感、安全感。并结合克州住建局（人防办）职责组织实施。围绕克州住建局（人防办）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立项程序规范性：根据决策依据编制工作计划和经费预算，经过与克州住建局（人防办）财经领导小组进行沟通、筛选确定经费预算计划，上局务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2.绩效目标情况分析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（1）绩效目标合理性：制定了实施方案，明确了总体思路及目标、并对任务进行了详细分解，对目标进行了细化，根据评分标准，该指标不扣分，得3分。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（2）绩效指标明确性：将项目绩效目标细化分解为具体的绩效指标，根据评分标准，该指标不扣分，得2分。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3.资金投入情况分析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（1）预算编制科学性：预算编制经经过自治州15万元/年下拨，实际完成内容与项目内容匹配，项目投资额与工作任务相匹配，根据评分标准，该指标不扣分，得5分。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（2）资金分配合理性：资金分配按照根据《关于下达自治州本级2024年度部门预算指标的通知》（克财预【2024】1号）》资金分配与实际相适应，根据评分标准，该指标不扣分，得5分。</w:t>
      </w:r>
    </w:p>
    <w:p w14:paraId="59185CD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57BB9B0E">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1.资金管理情况分析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（1）资金到位率：该项目总投资15万元，克州财政局实际下达经费15万元，其中当年财政拨款15万元，上年结转资金20万元，财政资金足额拨付到位，根据评分标准，该指标不扣分，得5分。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（2）预算执行率：本项目申请预算金额为15 万元，预算批复实际下达金额为15万元截至 2024年 12 月 31日，资金执行15万元，资金执行率100.00%。项目资金支出总体能够按照预算执行，根据评分标准，该指标不扣分，得5分。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资金使用合规性：根据关于《关于下达自治州本级2024年度部门预算指标的通知》（克财预【2024】1号）》符合预算批复规定用途，不存在截留、挤占、挪用、虚列支出等情况，未发现违规使用情况，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2.组织实施情况分析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管理制度健全性：该项目严格按照《克州住建局（人防办）财务制度》及农村住房安全隐患排查整治工作项目金相关的制度和管理规定实施，对财政专项资金进行严格管理，基本做到了专款专用，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1E6B7A0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0767794">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项目产出类指标包括产出数量、产出质量、产出时效、产出成本四方面的内容，由14个三级指标构成，权重分为40分，实际得分40分，得分率为100%。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1.数量指标完成情况分析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开展农村房屋安全隐患排查整治检查9次，与预期目标一致，根据评分标准，该指标不扣分，得2分。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开展交流学习2次，与预期目标一致，根据评分标准，该指标不扣分，得2分。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农村危房改造户数10户，与预期目标一致，根据评分标准，该指标不扣分，得2分。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保障车辆数1辆，与预期目标一致，根据评分标准，该指标不扣分，得2分。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临聘人员数量1人，与预期目标一致，根据评分标准，该指标不扣分，得2分。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2.质量指标完成情况分析：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完成存量安全隐患排查整治100%与预期目标一致，根据评分标准，该指标不扣分，得5分。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遏制新增安全隐患发生100%，与预期目标一致，根据评分标准，该指标不扣分，得5分。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3.时效指标完成情况分析：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安全隐患排查及时率95%，与预期目标指标一致，根据评分标准，该指标不扣分，得4分。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临聘人员工资发放及时率100%，与预期目标指标一致，根据评分标准，该指标不扣分，得2分。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项目完成时间2024年12月，与预期目标指标一致，根据评分标准，该指标不扣分，得4分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4.成本指标完成情况分析：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开展排查整治活动经费1万元，与预期目标一致，根据评分标准，该指标不扣分，得3分。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开展交流学习经费3万元，与预期目标一致，根据评分标准，该指标不扣分，得3分。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保障人员车辆经费6万元，与预期目标一致，根据评分标准，该指标不扣分，得2分。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临聘人员工资标准5万元，与预期目标一致，根据评分标准，该指标不扣分，得2分。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p>
    <w:p w14:paraId="3D1C153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1511884E">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项目效益类指标由2个二级指标和4个三级指标构成构成，权重分为20分，实际得分20分，得分率为100%。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1.经济效益完成情况分析：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本项目无该指标。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2.社会效益完成情况分析：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完成农村房屋安全隐患排查率95%，与预期指标一致，根据评分标准，该指标不扣分，得5分。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防止农村经营性房屋发生安全事故 杜绝人员伤亡，与预期指标一致，根据评分标准，该指标不扣分，得5分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3.生态效益完成情况分析：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本项目无该指标。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实施效益指标合计得10分。</w:t>
      </w:r>
    </w:p>
    <w:p w14:paraId="3AC989BD">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4.满意度指标完成情况：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对于满意度指标：受益群众满意度95%，与预期目标一致，根据评分标准，该指标不扣分，得5分。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对于办公室人员满意度指标：办公室人员满意度100%，与预期目标一致，根据评分标准，该指标不扣分，得5分。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满意度指标合计得10分。</w:t>
      </w:r>
    </w:p>
    <w:p w14:paraId="3DE707C3">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五、主要经验及做法、存在的问题及原因分析</w:t>
      </w:r>
    </w:p>
    <w:p w14:paraId="45FB568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主要经验及做法一：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实施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7DEA118A">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六、有关建议</w:t>
      </w:r>
    </w:p>
    <w:p w14:paraId="6EF64746">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4．评价工作应从项目实施方案源头抓起，评价工作和意识应贯穿项目整个过程。</w:t>
      </w:r>
    </w:p>
    <w:p w14:paraId="7FEC757C">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七、其他需要说明的问题</w:t>
      </w:r>
    </w:p>
    <w:p w14:paraId="76CC2EA5">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88C3F65">
        <w:pPr>
          <w:pStyle w:val="12"/>
          <w:jc w:val="center"/>
        </w:pPr>
        <w:r>
          <w:fldChar w:fldCharType="begin"/>
        </w:r>
        <w:r>
          <w:instrText xml:space="preserve">PAGE   \* MERGEFORMAT</w:instrText>
        </w:r>
        <w:r>
          <w:fldChar w:fldCharType="separate"/>
        </w:r>
        <w:r>
          <w:rPr>
            <w:lang w:val="zh-CN"/>
          </w:rPr>
          <w:t>1</w:t>
        </w:r>
        <w:r>
          <w:fldChar w:fldCharType="end"/>
        </w:r>
      </w:p>
    </w:sdtContent>
  </w:sdt>
  <w:p w14:paraId="7CF5A188">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6F70F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

<file path=customXml/itemProps1.xml><?xml version="1.0" encoding="utf-8"?>
<ds:datastoreItem xmlns:ds="http://schemas.openxmlformats.org/officeDocument/2006/customXml" ds:itemID="{b8ec3146-029e-446e-b02c-6d23f5cfcc3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10645</Words>
  <Characters>11026</Characters>
  <Lines>5</Lines>
  <Paragraphs>1</Paragraphs>
  <TotalTime>0</TotalTime>
  <ScaleCrop>false</ScaleCrop>
  <LinksUpToDate>false</LinksUpToDate>
  <CharactersWithSpaces>11401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盛夏之末√</cp:lastModifiedBy>
  <cp:lastPrinted>2018-12-31T10:56:00Z</cp:lastPrinted>
  <dcterms:modified xsi:type="dcterms:W3CDTF">2025-09-16T05:23:50Z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eyJoZGlkIjoiZjFmZWIzNDg2MmIzZjExOTIzMmViNTBmYTMwYTk0ZWYiLCJ1c2VySWQiOiI0MzIyODY2NzMifQ==</vt:lpwstr>
  </property>
  <property fmtid="{D5CDD505-2E9C-101B-9397-08002B2CF9AE}" pid="4" name="ICV">
    <vt:lpwstr>F09CB968A8F94DB89BFF4A427B418B1E_12</vt:lpwstr>
  </property>
</Properties>
</file>