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096A1">
      <w:bookmarkStart w:id="0" w:name="_GoBack"/>
      <w:bookmarkEnd w:id="0"/>
    </w:p>
    <w:p w14:paraId="263609E9">
      <w:pPr>
        <w:spacing w:line="570" w:lineRule="exact"/>
        <w:jc w:val="center"/>
        <w:rPr>
          <w:rFonts w:ascii="华文中宋" w:hAnsi="华文中宋" w:eastAsia="华文中宋" w:cs="宋体"/>
          <w:b/>
          <w:kern w:val="0"/>
          <w:sz w:val="52"/>
          <w:szCs w:val="52"/>
        </w:rPr>
      </w:pPr>
    </w:p>
    <w:p w14:paraId="5446769A">
      <w:pPr>
        <w:spacing w:line="570" w:lineRule="exact"/>
        <w:jc w:val="center"/>
        <w:rPr>
          <w:rFonts w:ascii="华文中宋" w:hAnsi="华文中宋" w:eastAsia="华文中宋" w:cs="宋体"/>
          <w:b/>
          <w:kern w:val="0"/>
          <w:sz w:val="52"/>
          <w:szCs w:val="52"/>
        </w:rPr>
      </w:pPr>
    </w:p>
    <w:p w14:paraId="6B428359">
      <w:pPr>
        <w:spacing w:line="570" w:lineRule="exact"/>
        <w:jc w:val="center"/>
        <w:rPr>
          <w:rFonts w:ascii="华文中宋" w:hAnsi="华文中宋" w:eastAsia="华文中宋" w:cs="宋体"/>
          <w:b/>
          <w:kern w:val="0"/>
          <w:sz w:val="52"/>
          <w:szCs w:val="52"/>
        </w:rPr>
      </w:pPr>
    </w:p>
    <w:p w14:paraId="54588223">
      <w:pPr>
        <w:spacing w:line="570" w:lineRule="exact"/>
        <w:jc w:val="center"/>
        <w:rPr>
          <w:rFonts w:ascii="华文中宋" w:hAnsi="华文中宋" w:eastAsia="华文中宋" w:cs="宋体"/>
          <w:b/>
          <w:kern w:val="0"/>
          <w:sz w:val="52"/>
          <w:szCs w:val="52"/>
        </w:rPr>
      </w:pPr>
    </w:p>
    <w:p w14:paraId="0003E0BB">
      <w:pPr>
        <w:spacing w:line="570" w:lineRule="exact"/>
        <w:jc w:val="both"/>
        <w:rPr>
          <w:rFonts w:ascii="华文中宋" w:hAnsi="华文中宋" w:eastAsia="华文中宋" w:cs="宋体"/>
          <w:b/>
          <w:kern w:val="0"/>
          <w:sz w:val="52"/>
          <w:szCs w:val="52"/>
        </w:rPr>
      </w:pPr>
    </w:p>
    <w:p w14:paraId="07230BC7">
      <w:pPr>
        <w:spacing w:line="570" w:lineRule="exact"/>
        <w:jc w:val="center"/>
        <w:rPr>
          <w:rFonts w:ascii="华文中宋" w:hAnsi="华文中宋" w:eastAsia="华文中宋" w:cs="宋体"/>
          <w:b/>
          <w:kern w:val="0"/>
          <w:sz w:val="52"/>
          <w:szCs w:val="52"/>
        </w:rPr>
      </w:pPr>
    </w:p>
    <w:p w14:paraId="47383267">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1BD67382">
      <w:pPr>
        <w:spacing w:line="570" w:lineRule="exact"/>
        <w:jc w:val="center"/>
        <w:rPr>
          <w:rFonts w:ascii="华文中宋" w:hAnsi="华文中宋" w:eastAsia="华文中宋" w:cs="宋体"/>
          <w:b/>
          <w:kern w:val="0"/>
          <w:sz w:val="52"/>
          <w:szCs w:val="52"/>
        </w:rPr>
      </w:pPr>
    </w:p>
    <w:p w14:paraId="335C7B02">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5AD7522">
      <w:pPr>
        <w:spacing w:line="570" w:lineRule="exact"/>
        <w:jc w:val="center"/>
        <w:rPr>
          <w:rFonts w:hAnsi="宋体" w:eastAsia="仿宋_GB2312" w:cs="宋体"/>
          <w:kern w:val="0"/>
          <w:sz w:val="30"/>
          <w:szCs w:val="30"/>
        </w:rPr>
      </w:pPr>
    </w:p>
    <w:p w14:paraId="18C053DE">
      <w:pPr>
        <w:spacing w:line="570" w:lineRule="exact"/>
        <w:jc w:val="center"/>
        <w:rPr>
          <w:rFonts w:hAnsi="宋体" w:eastAsia="仿宋_GB2312" w:cs="宋体"/>
          <w:kern w:val="0"/>
          <w:sz w:val="30"/>
          <w:szCs w:val="30"/>
        </w:rPr>
      </w:pPr>
    </w:p>
    <w:p w14:paraId="2CF6EE28">
      <w:pPr>
        <w:spacing w:line="570" w:lineRule="exact"/>
        <w:jc w:val="center"/>
        <w:rPr>
          <w:rFonts w:hAnsi="宋体" w:eastAsia="仿宋_GB2312" w:cs="宋体"/>
          <w:kern w:val="0"/>
          <w:sz w:val="30"/>
          <w:szCs w:val="30"/>
        </w:rPr>
      </w:pPr>
    </w:p>
    <w:p w14:paraId="69ADF3DF">
      <w:pPr>
        <w:spacing w:line="570" w:lineRule="exact"/>
        <w:jc w:val="center"/>
        <w:rPr>
          <w:rFonts w:hAnsi="宋体" w:eastAsia="仿宋_GB2312" w:cs="宋体"/>
          <w:kern w:val="0"/>
          <w:sz w:val="30"/>
          <w:szCs w:val="30"/>
        </w:rPr>
      </w:pPr>
    </w:p>
    <w:p w14:paraId="0AB88FBF">
      <w:pPr>
        <w:spacing w:line="570" w:lineRule="exact"/>
        <w:jc w:val="center"/>
        <w:rPr>
          <w:rFonts w:hAnsi="宋体" w:eastAsia="仿宋_GB2312" w:cs="宋体"/>
          <w:kern w:val="0"/>
          <w:sz w:val="30"/>
          <w:szCs w:val="30"/>
        </w:rPr>
      </w:pPr>
    </w:p>
    <w:p w14:paraId="3EE862C3">
      <w:pPr>
        <w:spacing w:line="570" w:lineRule="exact"/>
        <w:jc w:val="center"/>
        <w:rPr>
          <w:rFonts w:hAnsi="宋体" w:eastAsia="仿宋_GB2312" w:cs="宋体"/>
          <w:kern w:val="0"/>
          <w:sz w:val="30"/>
          <w:szCs w:val="30"/>
        </w:rPr>
      </w:pPr>
    </w:p>
    <w:p w14:paraId="710BE3AF">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克州住建领域安全生产暨重点工作项目</w:t>
      </w:r>
    </w:p>
    <w:p w14:paraId="5508DF9A">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克孜勒苏柯尔克孜自治州住房和城乡建设局（人民防空办公室）</w:t>
      </w:r>
    </w:p>
    <w:p w14:paraId="087D20A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克孜勒苏柯尔克孜自治州住房和城乡建设局（人民防空办公室）</w:t>
      </w:r>
    </w:p>
    <w:p w14:paraId="57959793">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魏军</w:t>
      </w:r>
    </w:p>
    <w:p w14:paraId="2EEF94E7">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2025年04月23日</w:t>
      </w:r>
    </w:p>
    <w:p w14:paraId="0E38CE88">
      <w:pPr>
        <w:rPr>
          <w:rStyle w:val="19"/>
          <w:rFonts w:hint="eastAsia" w:ascii="仿宋" w:hAnsi="仿宋" w:eastAsia="仿宋" w:cs="仿宋"/>
          <w:b w:val="0"/>
          <w:bCs w:val="0"/>
          <w:spacing w:val="-4"/>
          <w:sz w:val="32"/>
          <w:szCs w:val="32"/>
        </w:rPr>
      </w:pPr>
      <w:r>
        <w:br w:type="page"/>
      </w:r>
    </w:p>
    <w:p w14:paraId="441E6F45">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26AA58F9">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33D321E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克州住建领域安全生产暨重点工作项目项目实施前期、过程及效果，评价财政预算资金使用的效率及效益。围绕《自治区“十四五”住房和城乡建设事业高质量发展年规划》《</w:t>
      </w:r>
      <w:r>
        <w:rPr>
          <w:rStyle w:val="19"/>
          <w:rFonts w:hint="eastAsia" w:ascii="仿宋" w:hAnsi="仿宋" w:eastAsia="仿宋" w:cs="仿宋"/>
          <w:b w:val="0"/>
          <w:bCs w:val="0"/>
          <w:spacing w:val="-4"/>
          <w:sz w:val="32"/>
          <w:szCs w:val="32"/>
          <w:lang w:eastAsia="zh-CN"/>
        </w:rPr>
        <w:t>克孜勒苏柯尔克孜自治州</w:t>
      </w:r>
      <w:r>
        <w:rPr>
          <w:rStyle w:val="19"/>
          <w:rFonts w:hint="eastAsia" w:ascii="仿宋" w:hAnsi="仿宋" w:eastAsia="仿宋" w:cs="仿宋"/>
          <w:b w:val="0"/>
          <w:bCs w:val="0"/>
          <w:spacing w:val="-4"/>
          <w:sz w:val="32"/>
          <w:szCs w:val="32"/>
        </w:rPr>
        <w:t>国家经济和社会发展第十四个五年规划和2035年远景目标纲要》的目标要求，立足新发展阶段，完整、准确、全面贯彻新发展理念，构建新发展格局，坚持稳中求进工作总基调，以推动城市高质量发展为主题，以积极稳妥推进新型城镇化为引领，以实施城市更新和乡村建设行动为抓手，以推进行业治理体系和治理能力现代化为保障，坚持系统观念，坚持扩大内需战略，切实提高发展质量和效益，不断满足人民群众对美好生活的需要，为开启全面建设社会主义现代化国家新征程奠定坚实基础。按照国家、自治区、自治州相关工作要求，结合本单位工作职责，按照年度工作计划，开展克州住建领域重点工作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2024克州住建领域安全生产暨重点工作项目该项目总投资20万元，其中：财政资金20万元，其他资金0万元，主要用于开展业务科室重点工作7个（10万元）、保障人员2名（10万元）等，有利于提升城市建设管理水平，改善城市居民生活环境，通过该项目实施达到提升人民群众居住品质的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自治区关于在市场监管领域全面推行部门联合“双随机、一公开”监管实施办法》《国务院办公厅关于印发城市燃气管道等老化更新改造实施方案（2022-2025年的通知）》《关于进一步加强自治区市政公用行业安全生产管理的指导意见》《自治州城镇燃气安全排查整治工作方案》《全国自建房安全专项整治行动方案》《关于印发自治区自建房安全专项整治行动方案的通知》《关于印发自治州自建房安全专项整治行动方案的通知》《建筑工程工程量清单计价规范GB50500-2008》等，宣传国家相关政策及法律法规，维护社会稳定和长治久安，从而提高群众幸福度和归属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该项目由克州住建局（人防办）单位实施，内设5个科室，分别是办公室、房地产和住房保障、城市建设管理科、村镇建设管理科、建筑市场管理科。主要职能是承担保障城镇低收入家庭住房的责任；承担推进住房制度改革的责任；承担规范住房和城乡建设管理秩序的责任；承担建立科学规范的住房和城乡建设地方标准体系的责任；承担规范房地产市场秩序、监督管理房地产市场的责任；监督管理自治州建筑市场，规范各方主体行为；拟定城市建设的政策并指导实施；承担规范和指导自治州村镇建设的责任；承担建筑工程质量安全监管的责任；综合管理城乡建设抗震减灾工作；承担推进建筑节能、城镇减排的责任；贯彻执行国家、自治区关于人民防空建设的法律、法规和方针、政策，拟定自治州人民防空工作的规章和规范性文件，经审议通过后组织实施；负责编制自治州人民防空建设总体规划；负责人了防空组织指挥、通信、警报、信息化建设与管理；组织制定自治州人民防空城市防空袭预案和各种保障方案；承办自治州党委、自治州人民政府交办的其他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编制人数47人，其中：行政人员编制13人、机关工勤2人、参公10人、事业编制22人。实有在职人数42人，其中：行政在职12人、机关工勤2人、参公6人、事业在职22人。离退休人员26人，其中：行政退休人员25人、事业退休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（1）项目资金安排落实、总投入等情况分析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根据《关于下达自治州本级2024年度部门预算指标的通知》（克财预【2024】1号）》本年度安排下达资金20万元，为克州住建领域安全生产暨重点工作项目资金，最终确定项目资金总数为20万元。其中：中央财政拨款0万元，自治区财政拨款0万元，本级财政拨款20万元，上年结余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（2）项目资金实际使用情况分析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截至2024年12月31日，已完成：开展业务科室重点工作7个、保障人员2名等，2；开展住建行业各项检查覆盖率100%；项目完成时间：2024年12月；开展住建行业各项检查任务按时完成率95%；人员补助发放及时率100%；保障业务科室开展工作经费10万元；保障人员费用9.83万元，检查结果公开率100%；城市居民对居住环境改善的满意度：95%有利于提升城市建设管理水平，改善城市居民生活环境，通过该项目实施达到提升人民群众居住品质的效果。</w:t>
      </w:r>
    </w:p>
    <w:p w14:paraId="7C017376">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59DB3656">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主要用于开展业务科室重点工作7个（10万元）、保障人员2名（10万元）等，有利于提升城市建设管理水平，改善城市居民生活环境，通过该项目实施达到提升人民群众居住品质的效果。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（1）项目产出目标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①数量指标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“保障业务科室（个）”指标，预期指标值为=7个；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“保障人员数量（名）”指标，预期指标值为≥2名；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②质量指标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“开展住建行业各项检查覆盖率（%）”指标，预期指标值为＝100%；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③时效指标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“项目完成时间”指标，预期指标值为=2024年12月31日。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“开展住建行业各项检查任务按时完成率”，预期指标值为≥95%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“人员补助发放及时率（%）”，预期指标值为=100%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（2）项目成本指标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①经济成本指标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“保障业务科室开展工作经费（万元）”指标，预期指标值为≤10万元；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“保障人员费用（万元）”指标，预期指标值为≤10万元；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无此类指标。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“检查结果公开率（%）”指标，预期指标值为=100%；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③生态效益指标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无此类指标。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（4）相关满意度指标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“城市居民对居住环境改善的满意度（%）”指标，预期指标值为≥95%。</w:t>
      </w:r>
    </w:p>
    <w:p w14:paraId="79F691A5">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38450818">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和</w:t>
      </w:r>
      <w:r>
        <w:rPr>
          <w:rStyle w:val="19"/>
          <w:rFonts w:hint="eastAsia" w:ascii="楷体" w:hAnsi="楷体" w:eastAsia="楷体" w:cs="楷体"/>
          <w:bCs w:val="0"/>
          <w:spacing w:val="-4"/>
          <w:sz w:val="32"/>
          <w:szCs w:val="32"/>
        </w:rPr>
        <w:t>范围。</w:t>
      </w:r>
    </w:p>
    <w:p w14:paraId="50A33DCF">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克州财政支出绩效评价管理暂行办法》的通知（克财预〔2018〕129号），关于印发《自治州全面实施预算绩效管理的工作方案》的通知（财预〔2018〕128号）文件精神，我单位针对克州住建领域安全生产暨重点工作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57B72C40">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485F2F4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克州住建领域安全生产暨重点工作项目资金进行绩效评价，旨在了解项目资金使用和项目管理情况、取得的成绩及效益，进而分析在政策执行、预算资金安排、项目实施等方面存在的问题并提出针对性建议。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细指标体系见“附件1：项目支出绩效评价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三级指标分析环节：总体采用比较法，同时辅以文献法、成本效益法、因素分析法以及公众评判法，根据不同三级指标类型进行逐项分析。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定性指标分析环节：主要采用公众评判法，通过问卷及抽样调查等方式评价本项目实施后社会公众对于其实施效果的满意程度，将调研结果按照、《关于印发&lt;自治区项目支出绩效目标设置指引&gt;的通知》（新财预〔2022〕42号）文件要求分为基本达成目标、部分实现目标、实现目标程度较低三档，分别按照该指标对应分值区间100.0%-80.0%（含）、80.0%-60.0%（含）、60.0%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预算编制科学性：成本效益分析法，分析在产出一定的情况下，成本取值是否有依据，是否经过询价，是否按照市场最低成本编制。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资金到位率：比较法，资金到位率预期指标值应为100.0%，通过实际计算，分析实际完成值和预期指标值之间的差距和原因。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预算执行率：比较法，预算执行率预期指标值应为100.0%，通过实际计算，分析实际完成值和预期指标值之间的差距和原因。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定性指标：公众评判法，通过问卷及抽样调查等方式评价本项目实施后社会公众对于其实施效果的满意程度。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CD95BC0">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79CACFB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吾拉衣木·塔西买买提（评价小组组长）：主要负责绩效评价组织协调工作，上情下达，制定绩效评价目标及考核项目；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魏军（评价小组组员）：主要负责对接项目承建单位经办人员，组织收集审核项目相关工程资料，审核项目相关文件、实施方案、招投标档案等资料；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古丽娜（评价小组组员）：主要负责对接项目相关财务人员，负责收集查阅项目资金支付财务凭证相关附件资料，审核资金使用合规性、管理机制及操作流程。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何萍（评价小组组员）：主要负责记录整理绩效评价过程中存在问题，编制绩效评价目标初稿，撰写绩效评价相关文稿。</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2025年3月10日-3月19日，评价小组按照绩效评价的原则和规范，对取得的资料进行审查核实，对采集的数据进行分析，按照绩效评价指标评分表逐项进行打分、分析、汇总各方评价结果。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2025年3月20日-3月30日，评价小组撰写绩效评价报告，按照新疆维吾尔自治区财政绩效管理信息系统绩效评价模块中统一格式和文本框架撰写绩效评价报告并提交审核。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4A5C42D7">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07436C06">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克州住建领域安全生产暨重点工作”项目绩效进行客观公正的评价，本项目总得分为99.88分，绩效评级属于“良好”。其中，决策类指标得分20分，过程类指标得分19.96分，产出类指标得分39.92分，效益类指标得分20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经评价，本项目达到了年初设立的绩效目标，在实施过程中取得了良好的成效，具体表现在：开展业务科室重点工作7个、保障人员2名等，2；开展住建行业各项检查覆盖率100%；项目完成时间：2024年12月；开展住建行业各项检查任务按时完成率95%；人员补助发放及时率100%；保障业务科室开展工作经费10万元；保障人员费用9.83万元，检查结果公开率100%；城市居民对居住环境改善的满意度：95%有利于提升城市建设管理水平，改善城市居民生活环境，通过该项目实施达到提升人民群众居住品质的效果。</w:t>
      </w:r>
    </w:p>
    <w:p w14:paraId="759E5F42">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513435F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3B5EF4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1.项目立项情况分析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立项依据充分性：《自治区关于在市场监管领域全面推行部门联合“双随机、一公开”监管实施办法》《国务院办公厅关于印发城市燃气管道等老化更新改造实施方案（2022-2025年的通知）》《关于进一步加强自治区市政公用行业安全生产管理的指导意见》《自治州城镇燃气安全排查整治工作方案》《全国自建房安全专项整治行动方案》《关于印发自治区自建房安全专项整治行动方案的通知》《关于印发自治州自建房安全专项整治行动方案的通知》《建筑工程工程量清单计价规范GB50500-2008》等并结合克州住建局（人防办）职责组织实施。围绕克州住建局（人防办）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立项程序规范性：根据决策依据编制工作计划和经费预算，经过与克州住建局（人防办）财经领导小组进行沟通、筛选确定经费预算计划，上局务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2.绩效目标情况分析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（2）绩效指标明确性：将项目绩效目标细化分解为具体的绩效指标，根据评分标准，该指标不扣分，得2分。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3.资金投入情况分析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（1）预算编制科学性：预算编制经经过自治州20万元/年下拨，实际完成内容与项目内容匹配，项目投资额与工作任务相匹配，根据评分标准，该指标不扣分，得5分。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（2）资金分配合理性：资金分配按照根据《关于下达自治州本级2024年度部门预算指标的通知》（克财预【2024】1号）》资金分配与实际相适应，根据评分标准，该指标不扣分，得5分。</w:t>
      </w:r>
    </w:p>
    <w:p w14:paraId="1BD8F18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BB28B21">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项目过程类指标包括资金管理和组织实施两方面的内容，由 5个三级指标构成，权重分为20分，实际得分19.96分，得分率为99.8%。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1.资金管理情况分析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（1）资金到位率：该项目总投资20万元，克州财政局实际下达经费20万元，其中当年财政拨款20万元，上年结转资金0万元，财政资金足额拨付到位，根据评分标准，该指标不扣分，得5分。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（2）预算执行率：本项目申请预算金额为20元，预算批复实际下达金额为20万元截至 2024年 12 月 31日，资金执行19.83万元，资金执行率99.15%。项目资金支出总体能够按照预算执行，根据评分标准（19.83/20）*100%*5=4.96，该指标扣0.04分，得4.96分。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资金使用合规性：根据关于《关于下达自治州本级2024年度部门预算指标的通知》（克财预【2024】1号）》符合预算批复规定用途，不存在截留、挤占、挪用、虚列支出等情况，未发现违规使用情况，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2.组织实施情况分析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管理制度健全性：该项目严格按照《克州住建局（人防办）财务制度》及克州住建领域安全生产暨重点工作项目金相关的制度和管理规定实施，对财政专项资金进行严格管理，基本做到了专款专用，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12F7AAF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4594AF6">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项目产出类指标包括产出数量、产出质量、产出时效、产出成本四方面的内容，由8个三级指标构成，权重分为40分，实际得分39.92分，得分率为99.8%。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1.数量指标完成情况分析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保障业务科室7个，与预期目标一致，根据评分标准，该指标不扣分，得5分。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保障人员数量2名，与预期目标一致，根据评分标准，该指标不扣分，得5分。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2.质量指标完成情况分析：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开展住建行业各项检查覆盖率100%，与预期目标一致，根据评分标准，该指标不扣分，得10分。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3.时效指标完成情况分析：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任务完成时间2024年12月，与预期目标指标一致，根据评分标准，该指标不扣分，得3分。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开展住建行业各项检查任务按时完成率95%，与预期目标指标一致，根据评分标准，该指标不扣分，得4分。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人员补助发放及时率100%，与预期目标指标一致，根据评分标准，该指标不扣分，得3分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4.成本指标完成情况分析：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保障业务科室开展工作经费10万元，与预期目标一致，根据评分标准，该指标不扣分，得5分。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保障人员费用经费9.83万元，与预期目标不一致，存在偏差：预期绩效目标10万元，实际完成值为9.83万元，偏差率为1.7% ，偏差原因：聘用人员减少了所以人员工资支出减少。改进措施：精准做预算。根据评分标准（9.83/10）*100%*5=4.92，该指标扣0.08分，得4.92分。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合计得9.92分。</w:t>
      </w:r>
    </w:p>
    <w:p w14:paraId="529012E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50876302">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项目效益类指标由2个二级指标和2个三级指标构成构成，权重分为20分，实际得分20分，得分率为100%。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1.经济效益完成情况分析：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2.社会效益完成情况分析：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检查结果公开率100%，与预期指标一致，根据评分标准，该指标不扣分，得10分。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3.生态效益完成情况分析：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实施效益指标合计得10分。</w:t>
      </w:r>
    </w:p>
    <w:p w14:paraId="18677BF8">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4.满意度指标完成情况：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对于满意度指标：城市居民对居住环境改善的满意度95%，与预期目标一致，根据评分标准，该指标不扣分，得10分。</w:t>
      </w:r>
    </w:p>
    <w:p w14:paraId="1EBFC5B1">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五、主要经验及做法、存在的问题及原因分析</w:t>
      </w:r>
    </w:p>
    <w:p w14:paraId="7E3F218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主要经验及做法一：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实施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5F709EA7">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六、有关建议</w:t>
      </w:r>
    </w:p>
    <w:p w14:paraId="472EB85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4．评价工作应从项目实施方案源头抓起，评价工作和意识应贯穿项目整个过程。</w:t>
      </w:r>
    </w:p>
    <w:p w14:paraId="79353743">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七、其他需要说明的问题</w:t>
      </w:r>
    </w:p>
    <w:p w14:paraId="73733891">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5CDBB72">
        <w:pPr>
          <w:pStyle w:val="12"/>
          <w:jc w:val="center"/>
        </w:pPr>
        <w:r>
          <w:fldChar w:fldCharType="begin"/>
        </w:r>
        <w:r>
          <w:instrText xml:space="preserve">PAGE   \* MERGEFORMAT</w:instrText>
        </w:r>
        <w:r>
          <w:fldChar w:fldCharType="separate"/>
        </w:r>
        <w:r>
          <w:rPr>
            <w:lang w:val="zh-CN"/>
          </w:rPr>
          <w:t>1</w:t>
        </w:r>
        <w:r>
          <w:fldChar w:fldCharType="end"/>
        </w:r>
      </w:p>
    </w:sdtContent>
  </w:sdt>
  <w:p w14:paraId="5329669C">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812DA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

<file path=customXml/itemProps1.xml><?xml version="1.0" encoding="utf-8"?>
<ds:datastoreItem xmlns:ds="http://schemas.openxmlformats.org/officeDocument/2006/customXml" ds:itemID="{e9ee78ae-89c1-4295-9e92-e78c282503b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10376</Words>
  <Characters>10868</Characters>
  <Lines>5</Lines>
  <Paragraphs>1</Paragraphs>
  <TotalTime>0</TotalTime>
  <ScaleCrop>false</ScaleCrop>
  <LinksUpToDate>false</LinksUpToDate>
  <CharactersWithSpaces>11204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盛夏之末√</cp:lastModifiedBy>
  <cp:lastPrinted>2018-12-31T10:56:00Z</cp:lastPrinted>
  <dcterms:modified xsi:type="dcterms:W3CDTF">2025-09-16T05:24:35Z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eyJoZGlkIjoiZjFmZWIzNDg2MmIzZjExOTIzMmViNTBmYTMwYTk0ZWYiLCJ1c2VySWQiOiI0MzIyODY2NzMifQ==</vt:lpwstr>
  </property>
  <property fmtid="{D5CDD505-2E9C-101B-9397-08002B2CF9AE}" pid="4" name="ICV">
    <vt:lpwstr>53C163DBD0B74EFB9964E90E802CFF85_12</vt:lpwstr>
  </property>
</Properties>
</file>