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克孜勒苏柯尔克孜自治州党校2024</w:t>
      </w:r>
      <w:r>
        <w:rPr>
          <w:rFonts w:hint="eastAsia" w:ascii="方正小标宋_GBK" w:hAnsi="宋体" w:eastAsia="方正小标宋_GBK"/>
          <w:sz w:val="44"/>
          <w:szCs w:val="44"/>
          <w:highlight w:val="none"/>
          <w:lang w:eastAsia="zh-CN"/>
        </w:rPr>
        <w:t>年度</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落实党中央关于党校（行政学院）工作的方针、政策和有关重要决策部署，按照自治区、自治州党委工作要求，坚持以习近平新时代中国特色社会主义思想为指导，坚持“党校姓党”根本原则不动摇，坚守“为党育才、为党献策”的初心使命，以为党和国家培养造就忠诚干净担当的高素质专业化干部队伍为目标，培训党的各级领导干部，为州委重大决策发挥咨询服务。</w:t>
      </w:r>
    </w:p>
    <w:p>
      <w:pPr>
        <w:spacing w:line="580" w:lineRule="exact"/>
        <w:ind w:firstLine="640"/>
        <w:jc w:val="both"/>
      </w:pPr>
      <w:r>
        <w:rPr>
          <w:rFonts w:ascii="仿宋_GB2312" w:hAnsi="仿宋_GB2312" w:eastAsia="仿宋_GB2312"/>
          <w:sz w:val="32"/>
        </w:rPr>
        <w:t>（二）承担各级党政领导干部、公务员、国有企业领导人员、事业单位领导人员、年轻干部、理论宣传骨干、高层次人才、基层干部、党员培训工作。重点开设乡科级中青年干部培训班，举办进修班、培训班、理论研修班等，承办州委、州政府以及相关部门举办的专题研讨班。</w:t>
      </w:r>
    </w:p>
    <w:p>
      <w:pPr>
        <w:spacing w:line="580" w:lineRule="exact"/>
        <w:ind w:firstLine="640"/>
        <w:jc w:val="both"/>
      </w:pPr>
      <w:r>
        <w:rPr>
          <w:rFonts w:ascii="仿宋_GB2312" w:hAnsi="仿宋_GB2312" w:eastAsia="仿宋_GB2312"/>
          <w:sz w:val="32"/>
        </w:rPr>
        <w:t>（三）负责加强马克思主义基本理论研究，重点研究宣传习近平新时代中国特色社会主义思想。</w:t>
      </w:r>
    </w:p>
    <w:p>
      <w:pPr>
        <w:spacing w:line="580" w:lineRule="exact"/>
        <w:ind w:firstLine="640"/>
        <w:jc w:val="both"/>
      </w:pPr>
      <w:r>
        <w:rPr>
          <w:rFonts w:ascii="仿宋_GB2312" w:hAnsi="仿宋_GB2312" w:eastAsia="仿宋_GB2312"/>
          <w:sz w:val="32"/>
        </w:rPr>
        <w:t>（四）承担州委、州政府决策咨询服务，聚焦党和国家中心工作、党委和政府重大决策部署、社会热点难点问题，开展重大理论和现实问题研究，及时反映重要思想理论动态，提出有价值的对策建议。</w:t>
      </w:r>
    </w:p>
    <w:p>
      <w:pPr>
        <w:spacing w:line="580" w:lineRule="exact"/>
        <w:ind w:firstLine="640"/>
        <w:jc w:val="both"/>
      </w:pPr>
      <w:r>
        <w:rPr>
          <w:rFonts w:ascii="仿宋_GB2312" w:hAnsi="仿宋_GB2312" w:eastAsia="仿宋_GB2312"/>
          <w:sz w:val="32"/>
        </w:rPr>
        <w:t>（五）负责创新科研服务和管理工作，开展科研和决策咨询成果的考核评价，转化应用决策咨询成果，推动教学培训、科研计划与决策咨询相互促进、协同发展。</w:t>
      </w:r>
    </w:p>
    <w:p>
      <w:pPr>
        <w:spacing w:line="580" w:lineRule="exact"/>
        <w:ind w:firstLine="640"/>
        <w:jc w:val="both"/>
      </w:pPr>
      <w:r>
        <w:rPr>
          <w:rFonts w:ascii="仿宋_GB2312" w:hAnsi="仿宋_GB2312" w:eastAsia="仿宋_GB2312"/>
          <w:sz w:val="32"/>
        </w:rPr>
        <w:t>（六）参与州委关于党校（行政学院）工作政策以及干部培训计划的制定工作。</w:t>
      </w:r>
    </w:p>
    <w:p>
      <w:pPr>
        <w:spacing w:line="580" w:lineRule="exact"/>
        <w:ind w:firstLine="640"/>
        <w:jc w:val="both"/>
      </w:pPr>
      <w:r>
        <w:rPr>
          <w:rFonts w:ascii="仿宋_GB2312" w:hAnsi="仿宋_GB2312" w:eastAsia="仿宋_GB2312"/>
          <w:sz w:val="32"/>
        </w:rPr>
        <w:t>（七）负责开放办学，扩大同国（境）内外学术研究机构、智库、政党、政府机构、国际组织等学术交流与合作。</w:t>
      </w:r>
    </w:p>
    <w:p>
      <w:pPr>
        <w:spacing w:line="580" w:lineRule="exact"/>
        <w:ind w:firstLine="640"/>
        <w:jc w:val="both"/>
      </w:pPr>
      <w:r>
        <w:rPr>
          <w:rFonts w:ascii="仿宋_GB2312" w:hAnsi="仿宋_GB2312" w:eastAsia="仿宋_GB2312"/>
          <w:sz w:val="32"/>
        </w:rPr>
        <w:t>（八）负责对县（市）党校（行政学校）进行业务指导。</w:t>
      </w:r>
    </w:p>
    <w:p>
      <w:pPr>
        <w:spacing w:line="580" w:lineRule="exact"/>
        <w:ind w:firstLine="640"/>
        <w:jc w:val="both"/>
      </w:pPr>
      <w:r>
        <w:rPr>
          <w:rFonts w:ascii="仿宋_GB2312" w:hAnsi="仿宋_GB2312" w:eastAsia="仿宋_GB2312"/>
          <w:sz w:val="32"/>
        </w:rPr>
        <w:t>（九）完成州委和政府交办的其他任务。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克孜勒苏柯尔克孜自治州党校2024年度，实有人数95人，其中：在职人员49人，减少3人；离休人员0人，减少1人；退休人员46人,增加1人。</w:t>
      </w:r>
    </w:p>
    <w:p>
      <w:pPr>
        <w:spacing w:line="580" w:lineRule="exact"/>
        <w:ind w:firstLine="640"/>
        <w:jc w:val="both"/>
      </w:pPr>
      <w:r>
        <w:rPr>
          <w:rFonts w:ascii="仿宋_GB2312" w:hAnsi="仿宋_GB2312" w:eastAsia="仿宋_GB2312"/>
          <w:sz w:val="32"/>
        </w:rPr>
        <w:t>克孜勒苏柯尔克孜自治州党校无下属预算单位，下设12个科室，分别是：办公室、人事科、学员科、教务科、后勤服务科、信息科、科研图书资料室、党史党建教研室、社会经济教研室、民族理论教研室、双语教研室、政治学教研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2024年度收入总计2,178.18万元，</w:t>
      </w:r>
      <w:r>
        <w:rPr>
          <w:rFonts w:ascii="仿宋_GB2312" w:hAnsi="仿宋_GB2312" w:eastAsia="仿宋_GB2312"/>
          <w:b w:val="0"/>
          <w:sz w:val="32"/>
        </w:rPr>
        <w:t>其中：本年收入合计1,862.06万元，使用非财政拨款结余（含专用结余）0.00万元，年初结转和结余316.12万元。</w:t>
      </w:r>
    </w:p>
    <w:p>
      <w:pPr>
        <w:spacing w:line="580" w:lineRule="exact"/>
        <w:ind w:firstLine="640"/>
        <w:jc w:val="both"/>
      </w:pPr>
      <w:r>
        <w:rPr>
          <w:rFonts w:ascii="仿宋_GB2312" w:hAnsi="仿宋_GB2312" w:eastAsia="仿宋_GB2312"/>
          <w:b/>
          <w:sz w:val="32"/>
        </w:rPr>
        <w:t>2024年度支出总计2,178.18万元，</w:t>
      </w:r>
      <w:r>
        <w:rPr>
          <w:rFonts w:ascii="仿宋_GB2312" w:hAnsi="仿宋_GB2312" w:eastAsia="仿宋_GB2312"/>
          <w:b w:val="0"/>
          <w:sz w:val="32"/>
        </w:rPr>
        <w:t>其中：本年支出合计2,000.69万元，结余分配0.00万元，年末结转和结余177.49万元。</w:t>
      </w:r>
    </w:p>
    <w:p>
      <w:pPr>
        <w:spacing w:line="580" w:lineRule="exact"/>
        <w:ind w:firstLine="640"/>
        <w:jc w:val="both"/>
      </w:pPr>
      <w:r>
        <w:rPr>
          <w:rFonts w:ascii="仿宋_GB2312" w:hAnsi="仿宋_GB2312" w:eastAsia="仿宋_GB2312"/>
          <w:b w:val="0"/>
          <w:sz w:val="32"/>
        </w:rPr>
        <w:t>收入支出总体与上年相比，减少166.69万元，下降7.11%，主要原因是：上年代发内招生与留疆战士工资，本年无此经费，导致经费减少。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本年收入1,862.06万元，</w:t>
      </w:r>
      <w:r>
        <w:rPr>
          <w:rFonts w:ascii="仿宋_GB2312" w:hAnsi="仿宋_GB2312" w:eastAsia="仿宋_GB2312"/>
          <w:b w:val="0"/>
          <w:sz w:val="32"/>
        </w:rPr>
        <w:t>其中：财政拨款收入1,179.21万元，占63.33%；上级补助收入0.00万元，占0.00%；事业收入0.00万元，占0.00%；经营收入0.00万元，占0.00%；附属单位上缴收入0.00万元，占0.00%；其他收入682.86万元，占36.67%。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本年支出2,000.69万元，</w:t>
      </w:r>
      <w:r>
        <w:rPr>
          <w:rFonts w:ascii="仿宋_GB2312" w:hAnsi="仿宋_GB2312" w:eastAsia="仿宋_GB2312"/>
          <w:b w:val="0"/>
          <w:sz w:val="32"/>
        </w:rPr>
        <w:t>其中：基本支出2,000.69万元，占100.00%；项目支出0.00万元，占0.00%；上缴上级支出0.00万元，占0.00%；经营支出0.00万元，占0.00%；对附属单位补助支出0.00万元，占0.00%。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2024年度财政拨款收入总计1,179.21万元，</w:t>
      </w:r>
      <w:r>
        <w:rPr>
          <w:rFonts w:ascii="仿宋_GB2312" w:hAnsi="仿宋_GB2312" w:eastAsia="仿宋_GB2312"/>
          <w:b w:val="0"/>
          <w:sz w:val="32"/>
        </w:rPr>
        <w:t>其中：年初财政拨款结转和结余0.00万元，本年财政拨款收入1,179.21万元。</w:t>
      </w:r>
      <w:r>
        <w:rPr>
          <w:rFonts w:ascii="仿宋_GB2312" w:hAnsi="仿宋_GB2312" w:eastAsia="仿宋_GB2312"/>
          <w:b/>
          <w:sz w:val="32"/>
        </w:rPr>
        <w:t>财政拨款支出总计1,179.21万元，</w:t>
      </w:r>
      <w:r>
        <w:rPr>
          <w:rFonts w:ascii="仿宋_GB2312" w:hAnsi="仿宋_GB2312" w:eastAsia="仿宋_GB2312"/>
          <w:b w:val="0"/>
          <w:sz w:val="32"/>
        </w:rPr>
        <w:t>其中：年末财政拨款结转和结余0.00万元，本年财政拨款支出1,179.21万元。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减少376.93万元，下降24.22%，主要原因是：上年代发内招生与留疆战士工资，本年无此经费，导致经费减少。</w:t>
      </w:r>
      <w:r>
        <w:rPr>
          <w:rFonts w:ascii="仿宋_GB2312" w:hAnsi="仿宋_GB2312" w:eastAsia="仿宋_GB2312"/>
          <w:b/>
          <w:sz w:val="32"/>
        </w:rPr>
        <w:t>与年初预算相比，</w:t>
      </w:r>
      <w:r>
        <w:rPr>
          <w:rFonts w:ascii="仿宋_GB2312" w:hAnsi="仿宋_GB2312" w:eastAsia="仿宋_GB2312"/>
          <w:b w:val="0"/>
          <w:sz w:val="32"/>
        </w:rPr>
        <w:t>年初预算数1,092.10万元，决算数1,179.21万元，预决算差异率7.98%，主要原因是：年中追加人员工资、社保、公积金基数调增部分资金，导致预决算存在差异。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2024年度一般公共预算财政拨款支出1,179.21万元，</w:t>
      </w:r>
      <w:r>
        <w:rPr>
          <w:rFonts w:ascii="仿宋_GB2312" w:hAnsi="仿宋_GB2312" w:eastAsia="仿宋_GB2312"/>
          <w:b w:val="0"/>
          <w:sz w:val="32"/>
        </w:rPr>
        <w:t>占本年支出合计的58.94%。</w:t>
      </w:r>
      <w:r>
        <w:rPr>
          <w:rFonts w:ascii="仿宋_GB2312" w:hAnsi="仿宋_GB2312" w:eastAsia="仿宋_GB2312"/>
          <w:b/>
          <w:sz w:val="32"/>
        </w:rPr>
        <w:t>与上年相比，</w:t>
      </w:r>
      <w:r>
        <w:rPr>
          <w:rFonts w:ascii="仿宋_GB2312" w:hAnsi="仿宋_GB2312" w:eastAsia="仿宋_GB2312"/>
          <w:b w:val="0"/>
          <w:sz w:val="32"/>
        </w:rPr>
        <w:t>减少376.93万元，下降24.22%，主要原因是：上年代发内招生与留疆战士工资，本年无此经费，导致经费减少。</w:t>
      </w:r>
      <w:r>
        <w:rPr>
          <w:rFonts w:ascii="仿宋_GB2312" w:hAnsi="仿宋_GB2312" w:eastAsia="仿宋_GB2312"/>
          <w:b/>
          <w:sz w:val="32"/>
        </w:rPr>
        <w:t>与年初预算相比,</w:t>
      </w:r>
      <w:r>
        <w:rPr>
          <w:rFonts w:ascii="仿宋_GB2312" w:hAnsi="仿宋_GB2312" w:eastAsia="仿宋_GB2312"/>
          <w:b w:val="0"/>
          <w:sz w:val="32"/>
        </w:rPr>
        <w:t>年初预算数1,092.10万元，决算数1,179.21万元，预决算差异率7.98%，主要原因是：年中追加人员工资、社保、公积金基数调增部分资金，导致预决算存在差异。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1.教育支出(类)870.45万元,占73.82%。</w:t>
      </w:r>
    </w:p>
    <w:p>
      <w:pPr>
        <w:spacing w:line="580" w:lineRule="exact"/>
        <w:ind w:firstLine="640"/>
        <w:jc w:val="both"/>
      </w:pPr>
      <w:r>
        <w:rPr>
          <w:rFonts w:ascii="仿宋_GB2312" w:hAnsi="仿宋_GB2312" w:eastAsia="仿宋_GB2312"/>
          <w:b w:val="0"/>
          <w:sz w:val="32"/>
        </w:rPr>
        <w:t>2.社会保障和就业支出(类)193.31万元,占16.39%。</w:t>
      </w:r>
    </w:p>
    <w:p>
      <w:pPr>
        <w:spacing w:line="580" w:lineRule="exact"/>
        <w:ind w:firstLine="640"/>
        <w:jc w:val="both"/>
      </w:pPr>
      <w:r>
        <w:rPr>
          <w:rFonts w:ascii="仿宋_GB2312" w:hAnsi="仿宋_GB2312" w:eastAsia="仿宋_GB2312"/>
          <w:b w:val="0"/>
          <w:sz w:val="32"/>
        </w:rPr>
        <w:t>3.卫生健康支出(类)33.59万元,占2.85%。</w:t>
      </w:r>
    </w:p>
    <w:p>
      <w:pPr>
        <w:spacing w:line="580" w:lineRule="exact"/>
        <w:ind w:firstLine="640"/>
        <w:jc w:val="both"/>
      </w:pPr>
      <w:r>
        <w:rPr>
          <w:rFonts w:ascii="仿宋_GB2312" w:hAnsi="仿宋_GB2312" w:eastAsia="仿宋_GB2312"/>
          <w:b w:val="0"/>
          <w:sz w:val="32"/>
        </w:rPr>
        <w:t>4.住房保障支出(类)81.86万元,占6.94%。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1.教育支出(类)进修及培训(款)干部教育(项):支出决算数为853.45万元，比上年决算减少607.97万元，下降41.60%,主要原因是：上年代发内招生与留疆战士工资，本年无此经费，导致经费减少</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本年功能科目调整，事业单位离退休</w:t>
      </w:r>
      <w:r>
        <w:rPr>
          <w:rFonts w:hint="eastAsia" w:ascii="仿宋_GB2312" w:hAnsi="仿宋_GB2312" w:eastAsia="仿宋_GB2312"/>
          <w:b w:val="0"/>
          <w:sz w:val="32"/>
          <w:lang w:eastAsia="zh-CN"/>
        </w:rPr>
        <w:t>、</w:t>
      </w:r>
      <w:r>
        <w:rPr>
          <w:rFonts w:ascii="仿宋_GB2312" w:hAnsi="仿宋_GB2312" w:eastAsia="仿宋_GB2312"/>
          <w:b w:val="0"/>
          <w:sz w:val="32"/>
        </w:rPr>
        <w:t>机关事业单位职业年金缴费</w:t>
      </w:r>
      <w:r>
        <w:rPr>
          <w:rFonts w:hint="eastAsia" w:ascii="仿宋_GB2312" w:hAnsi="仿宋_GB2312" w:eastAsia="仿宋_GB2312"/>
          <w:b w:val="0"/>
          <w:sz w:val="32"/>
          <w:lang w:eastAsia="zh-CN"/>
        </w:rPr>
        <w:t>、</w:t>
      </w:r>
      <w:r>
        <w:rPr>
          <w:rFonts w:ascii="仿宋_GB2312" w:hAnsi="仿宋_GB2312" w:eastAsia="仿宋_GB2312"/>
          <w:b w:val="0"/>
          <w:sz w:val="32"/>
        </w:rPr>
        <w:t>其他社会保障和就业支出</w:t>
      </w:r>
      <w:r>
        <w:rPr>
          <w:rFonts w:hint="eastAsia" w:ascii="仿宋_GB2312" w:hAnsi="仿宋_GB2312" w:eastAsia="仿宋_GB2312"/>
          <w:b w:val="0"/>
          <w:sz w:val="32"/>
          <w:lang w:eastAsia="zh-CN"/>
        </w:rPr>
        <w:t>、</w:t>
      </w:r>
      <w:r>
        <w:rPr>
          <w:rFonts w:ascii="仿宋_GB2312" w:hAnsi="仿宋_GB2312" w:eastAsia="仿宋_GB2312"/>
          <w:b w:val="0"/>
          <w:sz w:val="32"/>
        </w:rPr>
        <w:t>事业单位医疗</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住房公积金缴费</w:t>
      </w:r>
      <w:r>
        <w:rPr>
          <w:rFonts w:ascii="仿宋_GB2312" w:hAnsi="仿宋_GB2312" w:eastAsia="仿宋_GB2312"/>
          <w:b w:val="0"/>
          <w:sz w:val="32"/>
        </w:rPr>
        <w:t>上年度在主科目列支，本年单独列支，导致经费较上年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2.教育支出(类)进修及培训(款)其他进修及培训(项):支出决算数为17.00万元，比上年决算增加17.00万元，增长100.00%,主要原因是：本年增加工作队工作经费。</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67.86万元，比上年决算增加67.86万元，增长100.00%,主要原因是：本年功能科目调整，事业单位离退休上年度在主科目列支，本年单独列支，导致经费较上年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95.40万元，比上年决算增加9.12万元，增长10.57%,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26.06万元，比上年决算增加26.06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6.社会保障和就业支出(类)就业补助(款)就业见习补贴(项):支出决算数为0.00万元，比上年决算减少5.43万元，下降100.00%,主要原因是：本年无就业见习岗，就业见习补贴减少。</w:t>
      </w:r>
    </w:p>
    <w:p>
      <w:pPr>
        <w:spacing w:line="580" w:lineRule="exact"/>
        <w:ind w:firstLine="640"/>
        <w:jc w:val="both"/>
      </w:pPr>
      <w:r>
        <w:rPr>
          <w:rFonts w:ascii="仿宋_GB2312" w:hAnsi="仿宋_GB2312" w:eastAsia="仿宋_GB2312"/>
          <w:b w:val="0"/>
          <w:sz w:val="32"/>
        </w:rPr>
        <w:t>7.社会保障和就业支出(类)其他社会保障和就业支出(款)其他社会保障和就业支出(项):支出决算数为3.99万元，比上年决算增加3.99万元，增长100.00%,主要原因是：本年功能科目调整，其他社会保障和就业支出上年度在主科目列支，本年单独列支，导致经费较上年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33.59万元，比上年决算增加33.59万元，增长100.00%,主要原因是：本年功能科目调整，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9.节能环保支出(类)能源节约利用(款)能源节约利用(项):支出决算数为0.00万元，比上年决算减少3.00万元，下降100.00%,主要原因是：2024年减少节能减排奖励资金。</w:t>
      </w:r>
    </w:p>
    <w:p>
      <w:pPr>
        <w:spacing w:line="580" w:lineRule="exact"/>
        <w:ind w:firstLine="640"/>
        <w:jc w:val="both"/>
      </w:pPr>
      <w:r>
        <w:rPr>
          <w:rFonts w:ascii="仿宋_GB2312" w:hAnsi="仿宋_GB2312" w:eastAsia="仿宋_GB2312"/>
          <w:b w:val="0"/>
          <w:sz w:val="32"/>
        </w:rPr>
        <w:t>10.住房保障支出(类)住房改革支出(款)住房公积金(项):支出决算数为81.86万元，比上年决算增加81.86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2024年度一般公共预算财政拨款基本支出1,179.21万元，其中：</w:t>
      </w:r>
      <w:r>
        <w:rPr>
          <w:rFonts w:ascii="仿宋_GB2312" w:hAnsi="仿宋_GB2312" w:eastAsia="仿宋_GB2312"/>
          <w:b/>
          <w:sz w:val="32"/>
        </w:rPr>
        <w:t>人员经费1,085.14万元，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pPr>
        <w:spacing w:line="580" w:lineRule="exact"/>
        <w:ind w:firstLine="640"/>
        <w:jc w:val="both"/>
      </w:pPr>
      <w:r>
        <w:rPr>
          <w:rFonts w:ascii="仿宋_GB2312" w:hAnsi="仿宋_GB2312" w:eastAsia="仿宋_GB2312"/>
          <w:b/>
          <w:sz w:val="32"/>
        </w:rPr>
        <w:t>公用经费94.06万元，</w:t>
      </w:r>
      <w:r>
        <w:rPr>
          <w:rFonts w:ascii="仿宋_GB2312" w:hAnsi="仿宋_GB2312" w:eastAsia="仿宋_GB2312"/>
          <w:b w:val="0"/>
          <w:sz w:val="32"/>
        </w:rPr>
        <w:t>包括：办公费、印刷费、水费、电费、邮电费、取暖费、差旅费、维修（护）费、工会经费、福利费、公务用车运行维护费。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2024年度财政拨款“三公”经费支出7.00万元，</w:t>
      </w:r>
      <w:r>
        <w:rPr>
          <w:rFonts w:ascii="仿宋_GB2312" w:hAnsi="仿宋_GB2312" w:eastAsia="仿宋_GB2312"/>
          <w:b w:val="0"/>
          <w:sz w:val="32"/>
        </w:rPr>
        <w:t>比上年增加5.07万元，增长262.69%，主要原因是：根据工作安排，教师下基层开展课堂调研次数增加，派车次数增加，燃油费增加，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7.00万元，占100.00%，比上年增加5.07万元，增长262.69%，主要原因是：根据工作安排，教师下基层开展课堂调研次数增加，派车次数增加，燃油费增加，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7.00万元，其中：公务用车购置费0.00万元，公务用车运行维护费7.00万元。公务用车运行维护费开支内容包括车辆加油费、保险费、过路费、维修费。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7.00万元，决算数7.00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7.00万元，决算数7.00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2024年度克孜勒苏柯尔克孜自治州党校（行政单位和参照公务员法管理事业单位）机关运行经费支出94.06万元，比上年减少158.32万元，下降62.73%，主要原因是：本年减少办公费、培训费。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2024年度政府采购支出总额110.65万元，其中：政府采购货物支出3.56万元、政府采购工程支出91.77万元、政府采购服务支出15.32万元。</w:t>
      </w:r>
    </w:p>
    <w:p>
      <w:pPr>
        <w:spacing w:line="580" w:lineRule="exact"/>
        <w:ind w:firstLine="640"/>
        <w:jc w:val="both"/>
      </w:pPr>
      <w:r>
        <w:rPr>
          <w:rFonts w:ascii="仿宋_GB2312" w:hAnsi="仿宋_GB2312" w:eastAsia="仿宋_GB2312"/>
          <w:b w:val="0"/>
          <w:sz w:val="32"/>
        </w:rPr>
        <w:t>授予中小企业合同金额108.77万元，占政府采购支出总额的98.30%，其中：授予小微企业合同金额108.37万元，占政府采购支出总额的97.94%。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31,217.06平方米，价值10,222.57万元。车辆3辆，价值104.86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2,178.18万元，实际执行总额2,000.69万元；预算绩效评价项目1个，全年预算数1,065.18万元，全年执行数821.48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克孜勒苏柯尔克孜自治州党校</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2,157.28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2,178.18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9</w:t>
            </w:r>
            <w:r>
              <w:rPr>
                <w:rFonts w:hint="eastAsia" w:ascii="宋体" w:hAnsi="宋体"/>
                <w:sz w:val="16"/>
                <w:lang w:val="en-US" w:eastAsia="zh-CN"/>
              </w:rPr>
              <w:t>.</w:t>
            </w:r>
            <w:r>
              <w:rPr>
                <w:rFonts w:ascii="宋体" w:hAnsi="宋体" w:eastAsia="宋体"/>
                <w:sz w:val="16"/>
              </w:rPr>
              <w:t>1</w:t>
            </w:r>
            <w:r>
              <w:rPr>
                <w:rFonts w:hint="eastAsia" w:ascii="宋体" w:hAnsi="宋体"/>
                <w:sz w:val="16"/>
                <w:lang w:val="en-US" w:eastAsia="zh-CN"/>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1,092.10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2,178.18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1,065.18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贯彻习近平新时代中国特色社会主义思想和党的二十大精神，完整准确贯彻新时代治疆方略，提升培训学员的党性修养和政治素养，及时完成州党委轮训调训任务;提升理论水平，加强受训学员培训质量;做好干部轮训工作，完成本年度干部培训班次人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截至2024</w:t>
            </w:r>
            <w:r>
              <w:rPr>
                <w:rFonts w:ascii="宋体" w:hAnsi="宋体" w:eastAsia="宋体"/>
                <w:sz w:val="16"/>
              </w:rPr>
              <w:t>年12月31日：</w:t>
            </w:r>
            <w:r>
              <w:rPr>
                <w:rFonts w:hint="eastAsia" w:ascii="宋体" w:hAnsi="宋体"/>
                <w:sz w:val="16"/>
                <w:lang w:eastAsia="zh-CN"/>
              </w:rPr>
              <w:t>培训</w:t>
            </w:r>
            <w:r>
              <w:rPr>
                <w:rFonts w:ascii="宋体" w:hAnsi="宋体" w:eastAsia="宋体"/>
                <w:sz w:val="16"/>
              </w:rPr>
              <w:t>班次24次；培训人数1200（人）；开设课程数量2（门）；校级</w:t>
            </w:r>
            <w:r>
              <w:rPr>
                <w:rFonts w:hint="eastAsia" w:ascii="宋体" w:hAnsi="宋体"/>
                <w:sz w:val="16"/>
                <w:lang w:eastAsia="zh-CN"/>
              </w:rPr>
              <w:t>课题</w:t>
            </w:r>
            <w:r>
              <w:rPr>
                <w:rFonts w:ascii="宋体" w:hAnsi="宋体" w:eastAsia="宋体"/>
                <w:sz w:val="16"/>
              </w:rPr>
              <w:t>3个；聚焦“核心力”，强化统筹聚合力，教育培训质量稳步提升。紧紧抓住基本培训这个核心关键，紧贴州委干部教育培训要求，将学员“需求侧”和党校“供给侧”相结合，认真制定《2024年度干部教育培训计划》和具体班次培训方案，一班一策，切实做到精准施训，确保应训尽训，全年举办中青年干部培训班、县处级领导干部培训班等培训班55期，培训各级党员干部3112人次。全面提升培训课程质量。理论授课以讲全、讲准、讲深、讲透为目标，树立“课比天大”的理念，从“备、评、审、磨”入手，全面提升课程质量。制定全州统一、科学、规范的教学大纲，成体系、分专题开发设置课程178门；常态化举办党校系统备课会、教研论坛、“精品课”评选活动，开设党校系统师资科研骨干培训班，统一规范教师绩效考核体系等，全年组织完成全州党校系统第三届“精品课”评选活动1次，组织党校系统录制5期专题课程参选自治区好课程评选，张瑜、赵媛两名教师“微党课”在自治区组织部主办的“党课开讲了”栏目展播。创新办学机制。坚持“一盘棋”的思想，聚焦“本地与异地”教学相结合、“课堂与现场”教学相结合、“课堂与网络”教学相结合的模式，与江西省委党校、赣州市委组织部</w:t>
            </w:r>
            <w:r>
              <w:rPr>
                <w:rFonts w:hint="eastAsia" w:ascii="宋体" w:hAnsi="宋体"/>
                <w:sz w:val="16"/>
                <w:lang w:eastAsia="zh-CN"/>
              </w:rPr>
              <w:t>等</w:t>
            </w:r>
            <w:r>
              <w:rPr>
                <w:rFonts w:ascii="宋体" w:hAnsi="宋体" w:eastAsia="宋体"/>
                <w:sz w:val="16"/>
              </w:rPr>
              <w:t>签订战略合作协议，邀请疆内外专家、教授在主体班现场授课30余场次，邀请州四套班子、行业部门领导干部“上讲台”90余场次，增强了培训的生动性、实效性，教学资源高效整合，解决师资不足的问题。开展线上教学，全州党校系统“一张大课表”在全州层面统筹调配、通用共用，全年视频连线县（市）党校开展授课21场次，进一步扩大了培训覆盖面。突出履职能力培训。坚持 “州委需要什么样的干部，党校就培养什么样的干部” 这一办学原则，聚焦州委工业经济“三大布局、四大产业”、城市建设“四大行动”、农业产业“四个百万工程”，突出专业训练和能力培训，开设“新时代克州干部经济大讲堂”7期，全年培训县处级干部1900余人次，领导干部履职能力显著提升。打造突出地域特点的教学点。以克州特色为主线，深度挖掘克州守边文化资源“富矿”，同时聘请井冈山干部学院团队对教学点进行摸排、教学路线进行规划、教学师资进行培训，开展主题凝练和课稿撰写，推动打造一批主题突出、特色鲜明的优质党性教育课程，“新疆冬古拉玛干部教育培训基地”干部课程体系打造初见成效。加强县级党校分类建设。着眼完成基本培训任务需要，有序推动县级党校分类建设，统筹指导县市党校科学制定基本培训方案和课程设置，帮带重点推进完成“</w:t>
            </w:r>
            <w:bookmarkStart w:id="0" w:name="_GoBack"/>
            <w:bookmarkEnd w:id="0"/>
            <w:r>
              <w:rPr>
                <w:rFonts w:hint="eastAsia" w:ascii="宋体" w:hAnsi="宋体"/>
                <w:sz w:val="16"/>
                <w:lang w:eastAsia="zh-CN"/>
              </w:rPr>
              <w:t>学习贯彻习近平新时代中国特色社会主义思想主题教育</w:t>
            </w:r>
            <w:r>
              <w:rPr>
                <w:rFonts w:ascii="宋体" w:hAnsi="宋体" w:eastAsia="宋体"/>
                <w:sz w:val="16"/>
              </w:rPr>
              <w:t>计划”“铸牢中华民族共同体意识教育培训计划”“一把手政治能力提升计划”等培训任务，推动培训分类分级、全面覆盖，并通过视频连线方式“送教基层党校”，帮助解决课程薄弱问题，阿克陶县委党校积极争取援疆资金200万元，用于干部教育培训；阿合奇县委党校争取州委组织部资金20万元用于教学楼维修，同时积极争取自治区党委党校支持，选派专家教授送教阿合奇县委党校，协助开展教学；自治区党委党校将乌恰县委党校作为“四帮一”包联党校，由经济学教研部整体帮带提升乌恰县委党校教学质量；阿图什市委党校与州委党校“一体化办学”积极推进，县级党校办学实力稳步提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培训班次（次）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开设课程数量（门）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校级课题数量（个）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96"/>
        <w:gridCol w:w="856"/>
        <w:gridCol w:w="615"/>
        <w:gridCol w:w="613"/>
        <w:gridCol w:w="610"/>
        <w:gridCol w:w="610"/>
        <w:gridCol w:w="610"/>
        <w:gridCol w:w="776"/>
        <w:gridCol w:w="629"/>
        <w:gridCol w:w="579"/>
        <w:gridCol w:w="624"/>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干部教育</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克孜勒苏柯尔克孜自治州党校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克孜勒苏柯尔克孜自治州党校</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821.48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投入1065.18万元，其中：财政资金0万元，其他资金1065.18万元。贯彻习近平新时代中国特色社会主义思想和党的二十大精神，完整准确贯彻新时代治疆方略，提升培训学员的党性修养和政治素养，及时完成州党委轮训调训任务；提升理论水平，加强受训学员培训质量；做好干部轮训工作，完成本年度干部培训班次人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2024年12月31日：</w:t>
            </w:r>
            <w:r>
              <w:rPr>
                <w:rFonts w:hint="eastAsia" w:ascii="宋体" w:hAnsi="宋体"/>
                <w:sz w:val="16"/>
                <w:lang w:eastAsia="zh-CN"/>
              </w:rPr>
              <w:t>培训</w:t>
            </w:r>
            <w:r>
              <w:rPr>
                <w:rFonts w:ascii="宋体" w:hAnsi="宋体" w:eastAsia="宋体"/>
                <w:sz w:val="16"/>
              </w:rPr>
              <w:t>批次&gt;=26次；培训天数100（天）；开设课程数量2（门）；培训参加人次1000人次；该项目资金投入821.48万元，其中：财政资金0万元，其他资金821.48万元。贯彻习近平新时代中国特色社会主义思想和党的二十大精神，完整准确贯彻新时代治疆方略，提升培训学员的党性修养和政治素养，及时完成州党委轮训调训任务；提升理论水平，加强受训学员培训质量；做好干部轮训工作，完成本年度干部培训班次人次工作。</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培训</w:t>
            </w:r>
            <w:r>
              <w:rPr>
                <w:rFonts w:ascii="宋体" w:hAnsi="宋体" w:eastAsia="宋体"/>
                <w:sz w:val="16"/>
              </w:rPr>
              <w:t>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培训天数（天）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开设课程数量（门）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培训参加人次（人次）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培训计划按期完成率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&lt;=785.18万元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偏差原因：自治区组织部规范支出，代培费直接付到非税系统，致使收入减少，改进原因：继续加强与自治区组织沟通，进一步规范拨付程序。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援疆经费（万元）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偏差原因：与援疆</w:t>
            </w:r>
            <w:r>
              <w:rPr>
                <w:rFonts w:hint="eastAsia" w:ascii="宋体" w:hAnsi="宋体"/>
                <w:sz w:val="16"/>
                <w:lang w:eastAsia="zh-CN"/>
              </w:rPr>
              <w:t>指挥部</w:t>
            </w:r>
            <w:r>
              <w:rPr>
                <w:rFonts w:ascii="宋体" w:hAnsi="宋体" w:eastAsia="宋体"/>
                <w:sz w:val="16"/>
              </w:rPr>
              <w:t>沟通减少，没有争取到资金，改进原因：继续加强与援疆指挥部沟通，积极争取对口援疆资金。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受训学员党性有效提高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82.25分</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FiYjQ5YTYwYjdlMjVmOWE0NWNhOTY2MGI5OTkzMDU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8E0D9D"/>
    <w:rsid w:val="19071D6C"/>
    <w:rsid w:val="19B5554D"/>
    <w:rsid w:val="1B8F2D19"/>
    <w:rsid w:val="1C317E4F"/>
    <w:rsid w:val="1C472464"/>
    <w:rsid w:val="1D187515"/>
    <w:rsid w:val="1DAF458D"/>
    <w:rsid w:val="1E086ACE"/>
    <w:rsid w:val="1E4B5CA5"/>
    <w:rsid w:val="1EAA4A5F"/>
    <w:rsid w:val="1F587A0B"/>
    <w:rsid w:val="2064678E"/>
    <w:rsid w:val="20BC0B75"/>
    <w:rsid w:val="20DD6197"/>
    <w:rsid w:val="21F317F2"/>
    <w:rsid w:val="2241392C"/>
    <w:rsid w:val="22595500"/>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633BB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252C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5545</Words>
  <Characters>6313</Characters>
  <Lines>0</Lines>
  <Paragraphs>0</Paragraphs>
  <TotalTime>1</TotalTime>
  <ScaleCrop>false</ScaleCrop>
  <LinksUpToDate>false</LinksUpToDate>
  <CharactersWithSpaces>6321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2025-09-26T03:33:01Z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