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96203">
      <w:pPr>
        <w:spacing w:line="570" w:lineRule="exact"/>
        <w:jc w:val="center"/>
        <w:rPr>
          <w:rFonts w:ascii="华文中宋" w:hAnsi="华文中宋" w:eastAsia="华文中宋" w:cs="宋体"/>
          <w:b/>
          <w:kern w:val="0"/>
          <w:sz w:val="52"/>
          <w:szCs w:val="52"/>
        </w:rPr>
      </w:pPr>
      <w:bookmarkStart w:id="0" w:name="_GoBack"/>
    </w:p>
    <w:p w14:paraId="0836110C">
      <w:pPr>
        <w:spacing w:line="570" w:lineRule="exact"/>
        <w:jc w:val="center"/>
        <w:rPr>
          <w:rFonts w:ascii="华文中宋" w:hAnsi="华文中宋" w:eastAsia="华文中宋" w:cs="宋体"/>
          <w:b/>
          <w:kern w:val="0"/>
          <w:sz w:val="52"/>
          <w:szCs w:val="52"/>
        </w:rPr>
      </w:pPr>
    </w:p>
    <w:p w14:paraId="7E211E38">
      <w:pPr>
        <w:spacing w:line="570" w:lineRule="exact"/>
        <w:jc w:val="center"/>
        <w:rPr>
          <w:rFonts w:ascii="华文中宋" w:hAnsi="华文中宋" w:eastAsia="华文中宋" w:cs="宋体"/>
          <w:b/>
          <w:kern w:val="0"/>
          <w:sz w:val="52"/>
          <w:szCs w:val="52"/>
        </w:rPr>
      </w:pPr>
    </w:p>
    <w:p w14:paraId="335F6A87">
      <w:pPr>
        <w:spacing w:line="570" w:lineRule="exact"/>
        <w:jc w:val="center"/>
        <w:rPr>
          <w:rFonts w:ascii="华文中宋" w:hAnsi="华文中宋" w:eastAsia="华文中宋" w:cs="宋体"/>
          <w:b/>
          <w:kern w:val="0"/>
          <w:sz w:val="52"/>
          <w:szCs w:val="52"/>
        </w:rPr>
      </w:pPr>
    </w:p>
    <w:p w14:paraId="0B93F8AA">
      <w:pPr>
        <w:spacing w:line="570" w:lineRule="exact"/>
        <w:rPr>
          <w:rFonts w:ascii="华文中宋" w:hAnsi="华文中宋" w:eastAsia="华文中宋" w:cs="宋体"/>
          <w:b/>
          <w:kern w:val="0"/>
          <w:sz w:val="52"/>
          <w:szCs w:val="52"/>
        </w:rPr>
      </w:pPr>
    </w:p>
    <w:p w14:paraId="475D15BD">
      <w:pPr>
        <w:spacing w:line="570" w:lineRule="exact"/>
        <w:jc w:val="center"/>
        <w:rPr>
          <w:rFonts w:ascii="华文中宋" w:hAnsi="华文中宋" w:eastAsia="华文中宋" w:cs="宋体"/>
          <w:b/>
          <w:kern w:val="0"/>
          <w:sz w:val="52"/>
          <w:szCs w:val="52"/>
        </w:rPr>
      </w:pPr>
    </w:p>
    <w:p w14:paraId="04A715F0">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70D3DFA0">
      <w:pPr>
        <w:spacing w:line="570" w:lineRule="exact"/>
        <w:jc w:val="center"/>
        <w:rPr>
          <w:rFonts w:ascii="华文中宋" w:hAnsi="华文中宋" w:eastAsia="华文中宋" w:cs="宋体"/>
          <w:b/>
          <w:kern w:val="0"/>
          <w:sz w:val="52"/>
          <w:szCs w:val="52"/>
        </w:rPr>
      </w:pPr>
    </w:p>
    <w:p w14:paraId="520B767A">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16137036">
      <w:pPr>
        <w:spacing w:line="570" w:lineRule="exact"/>
        <w:jc w:val="center"/>
        <w:rPr>
          <w:rFonts w:hAnsi="宋体" w:eastAsia="仿宋_GB2312" w:cs="宋体"/>
          <w:kern w:val="0"/>
          <w:sz w:val="30"/>
          <w:szCs w:val="30"/>
        </w:rPr>
      </w:pPr>
    </w:p>
    <w:p w14:paraId="48C7516E">
      <w:pPr>
        <w:spacing w:line="570" w:lineRule="exact"/>
        <w:jc w:val="center"/>
        <w:rPr>
          <w:rFonts w:hAnsi="宋体" w:eastAsia="仿宋_GB2312" w:cs="宋体"/>
          <w:kern w:val="0"/>
          <w:sz w:val="30"/>
          <w:szCs w:val="30"/>
        </w:rPr>
      </w:pPr>
    </w:p>
    <w:p w14:paraId="51AEE2D1">
      <w:pPr>
        <w:spacing w:line="570" w:lineRule="exact"/>
        <w:jc w:val="center"/>
        <w:rPr>
          <w:rFonts w:hAnsi="宋体" w:eastAsia="仿宋_GB2312" w:cs="宋体"/>
          <w:kern w:val="0"/>
          <w:sz w:val="30"/>
          <w:szCs w:val="30"/>
        </w:rPr>
      </w:pPr>
    </w:p>
    <w:p w14:paraId="0296F1CF">
      <w:pPr>
        <w:spacing w:line="570" w:lineRule="exact"/>
        <w:jc w:val="center"/>
        <w:rPr>
          <w:rFonts w:hAnsi="宋体" w:eastAsia="仿宋_GB2312" w:cs="宋体"/>
          <w:kern w:val="0"/>
          <w:sz w:val="30"/>
          <w:szCs w:val="30"/>
        </w:rPr>
      </w:pPr>
    </w:p>
    <w:p w14:paraId="54FE4F01">
      <w:pPr>
        <w:spacing w:line="570" w:lineRule="exact"/>
        <w:jc w:val="center"/>
        <w:rPr>
          <w:rFonts w:hAnsi="宋体" w:eastAsia="仿宋_GB2312" w:cs="宋体"/>
          <w:kern w:val="0"/>
          <w:sz w:val="30"/>
          <w:szCs w:val="30"/>
        </w:rPr>
      </w:pPr>
    </w:p>
    <w:p w14:paraId="73754D25">
      <w:pPr>
        <w:spacing w:line="570" w:lineRule="exact"/>
        <w:jc w:val="center"/>
        <w:rPr>
          <w:rFonts w:hAnsi="宋体" w:eastAsia="仿宋_GB2312" w:cs="宋体"/>
          <w:kern w:val="0"/>
          <w:sz w:val="30"/>
          <w:szCs w:val="30"/>
        </w:rPr>
      </w:pPr>
    </w:p>
    <w:p w14:paraId="1778A721">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工会经费</w:t>
      </w:r>
    </w:p>
    <w:p w14:paraId="57098900">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克孜勒苏柯尔克孜自治州总工会</w:t>
      </w:r>
    </w:p>
    <w:p w14:paraId="156A708E">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克孜勒苏柯尔克孜自治州总工会</w:t>
      </w:r>
    </w:p>
    <w:p w14:paraId="1F92A6BC">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黄林芝</w:t>
      </w:r>
    </w:p>
    <w:p w14:paraId="5B1D553D">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2024年04月29日</w:t>
      </w:r>
    </w:p>
    <w:p w14:paraId="1E1A449B">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51AF813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0168F575">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E5DBF7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工会经费项目实施前期、过程及效果，评价财政预算资金使用的效率及效益。该项目资金用于克州总工会上解工会经费以及克州总工会本级日常正常运转用。通过该项目的实施，确保克州总工会日常工作正常开展，通过积极开展业务工作，深入企业，帮助职工解决实际困难，宣传国家相关政策及法律法规，宣传党的二十大精神，维护社会稳定和长治久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年度支出合计100万元，项目资金主要用于上解自治区工会经费50万元，社聘人员工资补助50万元，工作内容主要为克州总工会上解工会经费以及克州总工会本级日常正常运转用，提升公共服务质量。确保开展业务工作正常开展，通过积极通过积极开展业务工作，深入企业，帮助职工解决实际困难，维护社会稳定和长治久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根据《关于进一步明确全区工会经费分成</w:t>
      </w:r>
      <w:r>
        <w:rPr>
          <w:rStyle w:val="18"/>
          <w:rFonts w:hint="eastAsia" w:ascii="仿宋" w:hAnsi="仿宋" w:eastAsia="仿宋" w:cs="仿宋"/>
          <w:b w:val="0"/>
          <w:bCs w:val="0"/>
          <w:spacing w:val="-4"/>
          <w:sz w:val="32"/>
          <w:szCs w:val="32"/>
          <w:lang w:eastAsia="zh-CN"/>
        </w:rPr>
        <w:t>比例</w:t>
      </w:r>
      <w:r>
        <w:rPr>
          <w:rStyle w:val="18"/>
          <w:rFonts w:hint="eastAsia" w:ascii="仿宋" w:hAnsi="仿宋" w:eastAsia="仿宋" w:cs="仿宋"/>
          <w:b w:val="0"/>
          <w:bCs w:val="0"/>
          <w:spacing w:val="-4"/>
          <w:sz w:val="32"/>
          <w:szCs w:val="32"/>
        </w:rPr>
        <w:t>的通知》（新工办发〔2020〕4号）、《关于调整2021年全区社会化工会工作者工资分级负担经费补贴方式的通知》（新工传发〔2020〕33号）提升公共服务质量，确保开展业务工作正常开展，通过积极通过积极开展业务工作，深入企业，帮助职工解决实际困难，维护社会稳定和长治久安以及上解工会经费以及克州总工会本级日常正常运转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由克州总工会实施，内设2个职能科（室），下属2个事业单位，2023年人员编制数为13人其中（总工会行政编制5名，工勤事业编制1名，教育工会参照执行的事业编制4名，帮扶中心事业编制3名）；现有行政在职人数7人，事业在职人数6人，工人1人，总工会退休8人，教育工会4人。经费来源：工资由财政拨款，日常公用经费是由各单位中的1%工会经费解决支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4.资金投入和使用情况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本级财政拨款100万元，上年结余0万元。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截至2023年12月31日，实际支出100万元，预算执行率100%。</w:t>
      </w:r>
    </w:p>
    <w:p w14:paraId="3B384E5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61702F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通过该项目的实施，确保克州总工会日常工作正常开展，通过积极开展业务工作，深入企业，帮助职工解决实际困难，宣传国家相关政策及法律法规，宣传党的二十大精神，维护社会稳定和长治久安。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“补助社聘人员数量”指标，预期指标值为≥33人；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“上缴自治区工会经费及时率”指标，预期指标值为=100%。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“上缴自治区总工会经费”指标，预期指标值为≤50万元；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“社聘人员工资补助成本”指标，预期指标值为≤50万元；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“提升公共服务质量”指标，预期指标值为有效提升；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“社聘人员满意度（%）”指标，预期指标值为≥95%；</w:t>
      </w:r>
    </w:p>
    <w:p w14:paraId="535DB39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769A12C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14BEB83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2CE468A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4B7AD96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工会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7D62B160">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45A8B0B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吐尔孙江·莫合塔尔任评价组组长，职务为总工会党组成员、主席，绩效评价工作职责为负责全盘工作。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宋志刚任评价组副组长，绩效评价工作职责为对项目实施情况进行实地调查。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黄林芝任评价组成员，绩效评价工作职责为负责资料审核等工作。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46E6A68A">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4BACBDF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工会经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补助社聘人员工资已完成33人，推动了数量指标产生社会效益效，实现维护社会稳定和长治久安总目标。上缴自治区工会经费已完成50万元，确保克州总工会日常工作正常开展，通过积极开展业务工作，深入企业，帮助职工解决实际困难，宣传国家相关政策及法律法规，宣传党的二十大精神，维护社会稳定和长治久安。</w:t>
      </w:r>
    </w:p>
    <w:p w14:paraId="589C4736">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1E369B1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72F6031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（1）立项依据充分性：《关于进一步明确全区工会经费分成</w:t>
      </w:r>
      <w:r>
        <w:rPr>
          <w:rStyle w:val="18"/>
          <w:rFonts w:hint="eastAsia" w:ascii="仿宋" w:hAnsi="仿宋" w:eastAsia="仿宋" w:cs="仿宋"/>
          <w:b w:val="0"/>
          <w:bCs w:val="0"/>
          <w:spacing w:val="-4"/>
          <w:sz w:val="32"/>
          <w:szCs w:val="32"/>
          <w:lang w:eastAsia="zh-CN"/>
        </w:rPr>
        <w:t>比例</w:t>
      </w:r>
      <w:r>
        <w:rPr>
          <w:rStyle w:val="18"/>
          <w:rFonts w:hint="eastAsia" w:ascii="仿宋" w:hAnsi="仿宋" w:eastAsia="仿宋" w:cs="仿宋"/>
          <w:b w:val="0"/>
          <w:bCs w:val="0"/>
          <w:spacing w:val="-4"/>
          <w:sz w:val="32"/>
          <w:szCs w:val="32"/>
        </w:rPr>
        <w:t>的通知》（新工办发〔2020〕4号）、《关于调整2021年全区社会化工会工作者工资分级负担经费补贴方式的通知》（新工传发〔2020〕33号）并结合克州总工会职责组织实施。围绕克州总工会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（2）立项程序规范性：根据决策依据编制工作计划和经费预算，经过与克州总工会财经领导小组进行沟通、筛选确定经费预算计划，上局务会研究确定最终预算方案，根据评分标准，该指标不扣分，得2分。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（5）预算编制科学性：《关于进一步明确全区工会经费分成</w:t>
      </w:r>
      <w:r>
        <w:rPr>
          <w:rStyle w:val="18"/>
          <w:rFonts w:hint="eastAsia" w:ascii="仿宋" w:hAnsi="仿宋" w:eastAsia="仿宋" w:cs="仿宋"/>
          <w:b w:val="0"/>
          <w:bCs w:val="0"/>
          <w:spacing w:val="-4"/>
          <w:sz w:val="32"/>
          <w:szCs w:val="32"/>
          <w:lang w:eastAsia="zh-CN"/>
        </w:rPr>
        <w:t>比例</w:t>
      </w:r>
      <w:r>
        <w:rPr>
          <w:rStyle w:val="18"/>
          <w:rFonts w:hint="eastAsia" w:ascii="仿宋" w:hAnsi="仿宋" w:eastAsia="仿宋" w:cs="仿宋"/>
          <w:b w:val="0"/>
          <w:bCs w:val="0"/>
          <w:spacing w:val="-4"/>
          <w:sz w:val="32"/>
          <w:szCs w:val="32"/>
        </w:rPr>
        <w:t>的通知》（新工办发〔2020〕4号）文件要求，实际完成内容与项目内容匹配，项目投资额与工作任务相匹配，根据评分标准，该指标不扣分，得5分。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（6）资金分配合理性：资金分配按照《关于进一步明确全区工会经费分成</w:t>
      </w:r>
      <w:r>
        <w:rPr>
          <w:rStyle w:val="18"/>
          <w:rFonts w:hint="eastAsia" w:ascii="仿宋" w:hAnsi="仿宋" w:eastAsia="仿宋" w:cs="仿宋"/>
          <w:b w:val="0"/>
          <w:bCs w:val="0"/>
          <w:spacing w:val="-4"/>
          <w:sz w:val="32"/>
          <w:szCs w:val="32"/>
          <w:lang w:eastAsia="zh-CN"/>
        </w:rPr>
        <w:t>比例</w:t>
      </w:r>
      <w:r>
        <w:rPr>
          <w:rStyle w:val="18"/>
          <w:rFonts w:hint="eastAsia" w:ascii="仿宋" w:hAnsi="仿宋" w:eastAsia="仿宋" w:cs="仿宋"/>
          <w:b w:val="0"/>
          <w:bCs w:val="0"/>
          <w:spacing w:val="-4"/>
          <w:sz w:val="32"/>
          <w:szCs w:val="32"/>
        </w:rPr>
        <w:t>的通知》（新工办发〔2020〕4号）、《关于调整2021年全区社会化工会工作者工资分级负担经费补贴方式的通知》（新工传发〔2020〕33号）文件要求，资金分配与实际相适应，根据评分标准，该指标不扣分，得5分。</w:t>
      </w:r>
    </w:p>
    <w:p w14:paraId="5E0F6EC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A90123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（1）资金到位率：该项目总投资100万元，克州财政局实际下达经费100万元，其中当年财政拨款100万元，上年结转资金0万元，财政资金足额拨付到位，根据评分标准，该指标不扣分，得5分。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（2）预算执行率：本项目申请预算金额为100 万元，预算批复实际下达金额为 100万元截至 2023年 12 月 31日，资金执行100万元，资金执行率100.00%。项目资金支出总体能够按照预算执行，根据评分标准，该指标不扣分，得5分。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（3）资金使用合规性：《关于进一步明确全区工会经费分成</w:t>
      </w:r>
      <w:r>
        <w:rPr>
          <w:rStyle w:val="18"/>
          <w:rFonts w:hint="eastAsia" w:ascii="仿宋" w:hAnsi="仿宋" w:eastAsia="仿宋" w:cs="仿宋"/>
          <w:b w:val="0"/>
          <w:bCs w:val="0"/>
          <w:spacing w:val="-4"/>
          <w:sz w:val="32"/>
          <w:szCs w:val="32"/>
          <w:lang w:eastAsia="zh-CN"/>
        </w:rPr>
        <w:t>比例</w:t>
      </w:r>
      <w:r>
        <w:rPr>
          <w:rStyle w:val="18"/>
          <w:rFonts w:hint="eastAsia" w:ascii="仿宋" w:hAnsi="仿宋" w:eastAsia="仿宋" w:cs="仿宋"/>
          <w:b w:val="0"/>
          <w:bCs w:val="0"/>
          <w:spacing w:val="-4"/>
          <w:sz w:val="32"/>
          <w:szCs w:val="32"/>
        </w:rPr>
        <w:t>的通知》（新工办发〔2020〕4号）、《关于调整2021年全区社会化工会工作者工资分级负担经费补贴方式的通知》（新工传发〔2020〕33号）文件要求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（4）管理制度健全性：该项目严格按照《克州总工会财务制度》及工会经费金相关的制度和管理规定实施，对财政专项资金进行严格管理，基本做到了专款专用，根据评分标准，该指标不扣分，得2分。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5D488224">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21E1AD9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项目产出类指标包括产出数量、产出质量、产出时效、产出成本四方面的内容，由5个三级指标构成，权重分为40分，实际得分40分，得分率为100%。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补助社聘人员数量33人，与预期目标一致，根据评分标准，该指标不扣分，得10分。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上缴自治区工会经费及时率100%，与预期目标指标一致，根据评分标准，该指标不扣分，得10分。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上缴自治区总工会经费50万元，与预期目标一致，根据评分标准，该指标不扣分，得5分。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社聘人员工资补助成本50万元，与预期目标一致，根据评分标准，该指标不扣分，得5分。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1336A24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345B2866">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提升公共服务水平，与预期指标一致，根据评分标准，该指标不扣分，得10分。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对于满意度指标：社聘人员满意度95%，与预期目标一致，根据评分标准，该指标不扣分，得10分。</w:t>
      </w:r>
    </w:p>
    <w:p w14:paraId="7023DD16">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19516D0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主要经验及做法一：一是本项目能够严格按照《项目实施方案》执行，项目执行情况较好。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w:t>
      </w:r>
    </w:p>
    <w:p w14:paraId="078582D1">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1044B38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1.建议充分落实绩效目标管理政策要求，提升绩效目标与项目实施内容的匹配度：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三是建议项目实施单位做好项目绩效跟踪监控工作，对实际开展工作与预期目标值产生较大偏差情况，应及时做好偏差原因分析和纠偏工作，不断提升绩效目标与项目实际工作的匹配度。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2.建议加强预算资金管理，严格落实项目申报、专家评审、确定项目后进行资金分配与资金拨付，规范资金拨付流程</w:t>
      </w:r>
    </w:p>
    <w:p w14:paraId="6F5DF89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7BF1BEE5">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附件1：2023年工会经费项目绩效评价指标体系及评分标准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4172C9E7">
        <w:pPr>
          <w:pStyle w:val="12"/>
          <w:jc w:val="center"/>
        </w:pPr>
        <w:r>
          <w:fldChar w:fldCharType="begin"/>
        </w:r>
        <w:r>
          <w:instrText xml:space="preserve">PAGE   \* MERGEFORMAT</w:instrText>
        </w:r>
        <w:r>
          <w:fldChar w:fldCharType="separate"/>
        </w:r>
        <w:r>
          <w:rPr>
            <w:lang w:val="zh-CN"/>
          </w:rPr>
          <w:t>1</w:t>
        </w:r>
        <w:r>
          <w:fldChar w:fldCharType="end"/>
        </w:r>
      </w:p>
    </w:sdtContent>
  </w:sdt>
  <w:p w14:paraId="2AB1C2AA">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39A91076"/>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7125</Words>
  <Characters>7369</Characters>
  <Lines>5</Lines>
  <Paragraphs>1</Paragraphs>
  <TotalTime>40</TotalTime>
  <ScaleCrop>false</ScaleCrop>
  <LinksUpToDate>false</LinksUpToDate>
  <CharactersWithSpaces>7645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2025-02-20T11:23:44Z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eyJoZGlkIjoiMzhiYjRmNTcwNGNhOGY5Y2I2MjUyNzE1NmNiMWMwYmYiLCJ1c2VySWQiOiIzMDY3NjgwNDcifQ==</vt:lpwstr>
  </property>
  <property fmtid="{D5CDD505-2E9C-101B-9397-08002B2CF9AE}" pid="4" name="ICV">
    <vt:lpwstr>3ED79C5B678C446E917F874A09A98D5C_12</vt:lpwstr>
  </property>
</Properties>
</file>