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757F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bookmarkStart w:id="0" w:name="_GoBack"/>
      <w:r>
        <w:rPr>
          <w:rFonts w:hint="eastAsia" w:ascii="仿宋" w:hAnsi="仿宋" w:eastAsia="仿宋" w:cs="仿宋"/>
          <w:b/>
          <w:bCs/>
          <w:sz w:val="32"/>
          <w:szCs w:val="32"/>
        </w:rPr>
        <w:t>附件4：</w:t>
      </w:r>
    </w:p>
    <w:p w14:paraId="1C2A2EE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6355D99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6D60F74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5F2B402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1D93C7DF">
      <w:pPr>
        <w:keepNext w:val="0"/>
        <w:keepLines w:val="0"/>
        <w:pageBreakBefore w:val="0"/>
        <w:widowControl w:val="0"/>
        <w:kinsoku/>
        <w:wordWrap/>
        <w:overflowPunct/>
        <w:topLinePunct w:val="0"/>
        <w:autoSpaceDE/>
        <w:autoSpaceDN/>
        <w:bidi w:val="0"/>
        <w:adjustRightInd/>
        <w:snapToGrid/>
        <w:spacing w:line="560" w:lineRule="exact"/>
        <w:ind w:firstLine="883" w:firstLineChars="200"/>
        <w:jc w:val="center"/>
        <w:textAlignment w:val="auto"/>
        <w:outlineLvl w:val="0"/>
        <w:rPr>
          <w:rFonts w:hint="eastAsia" w:ascii="仿宋" w:hAnsi="仿宋" w:eastAsia="仿宋" w:cs="仿宋"/>
          <w:b/>
          <w:bCs/>
          <w:sz w:val="44"/>
          <w:szCs w:val="44"/>
          <w:lang w:eastAsia="zh-CN"/>
        </w:rPr>
      </w:pPr>
      <w:r>
        <w:rPr>
          <w:rFonts w:hint="eastAsia" w:ascii="仿宋" w:hAnsi="仿宋" w:eastAsia="仿宋" w:cs="仿宋"/>
          <w:b/>
          <w:bCs/>
          <w:sz w:val="44"/>
          <w:szCs w:val="44"/>
          <w:lang w:val="en-US" w:eastAsia="zh-CN"/>
        </w:rPr>
        <w:t>克州审计局</w:t>
      </w:r>
      <w:r>
        <w:rPr>
          <w:rFonts w:hint="eastAsia" w:ascii="仿宋" w:hAnsi="仿宋" w:eastAsia="仿宋" w:cs="仿宋"/>
          <w:b/>
          <w:bCs/>
          <w:sz w:val="44"/>
          <w:szCs w:val="44"/>
        </w:rPr>
        <w:t>部门单位整体支出绩效自评报告</w:t>
      </w:r>
    </w:p>
    <w:p w14:paraId="3910FB6E">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（2023年度）</w:t>
      </w:r>
    </w:p>
    <w:p w14:paraId="4112054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5A7A75A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0376916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208FB65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26EED22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6708C60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0BA769B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6E1D9DB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4E3B494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595E31DB">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2CCE733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6C15145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50F0DBD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24EC846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lang w:eastAsia="zh-CN"/>
        </w:rPr>
      </w:pPr>
    </w:p>
    <w:p w14:paraId="484F2E6E">
      <w:pPr>
        <w:keepNext w:val="0"/>
        <w:keepLines w:val="0"/>
        <w:pageBreakBefore w:val="0"/>
        <w:widowControl w:val="0"/>
        <w:kinsoku/>
        <w:wordWrap/>
        <w:overflowPunct/>
        <w:topLinePunct w:val="0"/>
        <w:autoSpaceDE/>
        <w:autoSpaceDN/>
        <w:bidi w:val="0"/>
        <w:adjustRightInd/>
        <w:snapToGrid/>
        <w:spacing w:line="560" w:lineRule="exact"/>
        <w:ind w:firstLine="1285" w:firstLineChars="4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部门单位名称（公章）：</w:t>
      </w:r>
      <w:r>
        <w:rPr>
          <w:rFonts w:hint="eastAsia" w:ascii="仿宋" w:hAnsi="仿宋" w:eastAsia="仿宋" w:cs="仿宋"/>
          <w:b/>
          <w:bCs/>
          <w:sz w:val="32"/>
          <w:szCs w:val="32"/>
          <w:lang w:val="en-US" w:eastAsia="zh-CN"/>
        </w:rPr>
        <w:t>克州审计局</w:t>
      </w:r>
    </w:p>
    <w:p w14:paraId="1EA4E0A6">
      <w:pPr>
        <w:keepNext w:val="0"/>
        <w:keepLines w:val="0"/>
        <w:pageBreakBefore w:val="0"/>
        <w:widowControl w:val="0"/>
        <w:kinsoku/>
        <w:wordWrap/>
        <w:overflowPunct/>
        <w:topLinePunct w:val="0"/>
        <w:autoSpaceDE/>
        <w:autoSpaceDN/>
        <w:bidi w:val="0"/>
        <w:adjustRightInd/>
        <w:snapToGrid/>
        <w:spacing w:line="560" w:lineRule="exact"/>
        <w:ind w:firstLine="1285" w:firstLineChars="4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填报时间：2024年</w:t>
      </w:r>
      <w:r>
        <w:rPr>
          <w:rFonts w:hint="eastAsia" w:ascii="仿宋" w:hAnsi="仿宋" w:eastAsia="仿宋" w:cs="仿宋"/>
          <w:b/>
          <w:bCs/>
          <w:sz w:val="32"/>
          <w:szCs w:val="32"/>
          <w:lang w:val="en-US" w:eastAsia="zh-CN"/>
        </w:rPr>
        <w:t>04</w:t>
      </w:r>
      <w:r>
        <w:rPr>
          <w:rFonts w:hint="eastAsia" w:ascii="仿宋" w:hAnsi="仿宋" w:eastAsia="仿宋" w:cs="仿宋"/>
          <w:b/>
          <w:bCs/>
          <w:sz w:val="32"/>
          <w:szCs w:val="32"/>
        </w:rPr>
        <w:t>月</w:t>
      </w:r>
      <w:r>
        <w:rPr>
          <w:rFonts w:hint="eastAsia" w:ascii="仿宋" w:hAnsi="仿宋" w:eastAsia="仿宋" w:cs="仿宋"/>
          <w:b/>
          <w:bCs/>
          <w:sz w:val="32"/>
          <w:szCs w:val="32"/>
          <w:lang w:val="en-US" w:eastAsia="zh-CN"/>
        </w:rPr>
        <w:t>30</w:t>
      </w:r>
      <w:r>
        <w:rPr>
          <w:rFonts w:hint="eastAsia" w:ascii="仿宋" w:hAnsi="仿宋" w:eastAsia="仿宋" w:cs="仿宋"/>
          <w:b/>
          <w:bCs/>
          <w:sz w:val="32"/>
          <w:szCs w:val="32"/>
        </w:rPr>
        <w:t>日</w:t>
      </w:r>
    </w:p>
    <w:p w14:paraId="4AE79CA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br w:type="page"/>
      </w:r>
    </w:p>
    <w:p w14:paraId="0AF26B74">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0"/>
        <w:rPr>
          <w:rFonts w:hint="eastAsia" w:ascii="仿宋" w:hAnsi="仿宋" w:eastAsia="仿宋" w:cs="仿宋"/>
          <w:b/>
          <w:bCs/>
          <w:color w:val="000000" w:themeColor="text1"/>
          <w:sz w:val="32"/>
          <w:szCs w:val="32"/>
          <w:lang w:bidi="ar"/>
          <w14:textFill>
            <w14:solidFill>
              <w14:schemeClr w14:val="tx1"/>
            </w14:solidFill>
          </w14:textFill>
        </w:rPr>
      </w:pPr>
      <w:r>
        <w:rPr>
          <w:rFonts w:hint="eastAsia" w:ascii="仿宋" w:hAnsi="仿宋" w:eastAsia="仿宋" w:cs="仿宋"/>
          <w:b/>
          <w:bCs/>
          <w:color w:val="000000" w:themeColor="text1"/>
          <w:sz w:val="32"/>
          <w:szCs w:val="32"/>
          <w:lang w:bidi="ar"/>
          <w14:textFill>
            <w14:solidFill>
              <w14:schemeClr w14:val="tx1"/>
            </w14:solidFill>
          </w14:textFill>
        </w:rPr>
        <w:t>一、基本概况</w:t>
      </w:r>
    </w:p>
    <w:p w14:paraId="4FC62D83">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1"/>
        <w:rPr>
          <w:rFonts w:hint="eastAsia" w:ascii="仿宋" w:hAnsi="仿宋" w:eastAsia="仿宋" w:cs="仿宋"/>
          <w:b/>
          <w:bCs/>
          <w:color w:val="FF0000"/>
          <w:sz w:val="32"/>
          <w:szCs w:val="32"/>
          <w:lang w:eastAsia="zh-CN" w:bidi="ar"/>
        </w:rPr>
      </w:pPr>
      <w:r>
        <w:rPr>
          <w:rFonts w:hint="eastAsia" w:ascii="仿宋" w:hAnsi="仿宋" w:eastAsia="仿宋" w:cs="仿宋"/>
          <w:b/>
          <w:bCs/>
          <w:color w:val="000000" w:themeColor="text1"/>
          <w:sz w:val="32"/>
          <w:szCs w:val="32"/>
          <w:lang w:eastAsia="zh-CN" w:bidi="ar"/>
          <w14:textFill>
            <w14:solidFill>
              <w14:schemeClr w14:val="tx1"/>
            </w14:solidFill>
          </w14:textFill>
        </w:rPr>
        <w:t>（</w:t>
      </w:r>
      <w:r>
        <w:rPr>
          <w:rFonts w:hint="eastAsia" w:ascii="仿宋" w:hAnsi="仿宋" w:eastAsia="仿宋" w:cs="仿宋"/>
          <w:b/>
          <w:bCs/>
          <w:color w:val="000000" w:themeColor="text1"/>
          <w:sz w:val="32"/>
          <w:szCs w:val="32"/>
          <w:lang w:val="en-US" w:eastAsia="zh-CN" w:bidi="ar"/>
          <w14:textFill>
            <w14:solidFill>
              <w14:schemeClr w14:val="tx1"/>
            </w14:solidFill>
          </w14:textFill>
        </w:rPr>
        <w:t>一</w:t>
      </w:r>
      <w:r>
        <w:rPr>
          <w:rFonts w:hint="eastAsia" w:ascii="仿宋" w:hAnsi="仿宋" w:eastAsia="仿宋" w:cs="仿宋"/>
          <w:b/>
          <w:bCs/>
          <w:color w:val="000000" w:themeColor="text1"/>
          <w:sz w:val="32"/>
          <w:szCs w:val="32"/>
          <w:lang w:eastAsia="zh-CN" w:bidi="ar"/>
          <w14:textFill>
            <w14:solidFill>
              <w14:schemeClr w14:val="tx1"/>
            </w14:solidFill>
          </w14:textFill>
        </w:rPr>
        <w:t>）</w:t>
      </w:r>
      <w:r>
        <w:rPr>
          <w:rFonts w:hint="eastAsia" w:ascii="仿宋" w:hAnsi="仿宋" w:eastAsia="仿宋" w:cs="仿宋"/>
          <w:b/>
          <w:bCs/>
          <w:color w:val="000000" w:themeColor="text1"/>
          <w:sz w:val="32"/>
          <w:szCs w:val="32"/>
          <w:lang w:bidi="ar"/>
          <w14:textFill>
            <w14:solidFill>
              <w14:schemeClr w14:val="tx1"/>
            </w14:solidFill>
          </w14:textFill>
        </w:rPr>
        <w:t>部门单位基本情况</w:t>
      </w:r>
    </w:p>
    <w:p w14:paraId="50358E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部门机构设置及人员构成</w:t>
      </w:r>
    </w:p>
    <w:p w14:paraId="0F5C8B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lang w:val="en-US" w:eastAsia="zh-CN"/>
        </w:rPr>
      </w:pPr>
      <w:r>
        <w:rPr>
          <w:rFonts w:hint="eastAsia" w:ascii="仿宋_GB2312" w:hAnsi="宋体" w:eastAsia="仿宋_GB2312"/>
          <w:bCs/>
          <w:sz w:val="32"/>
          <w:szCs w:val="32"/>
        </w:rPr>
        <w:t>克州审计局无下属预算单位，内设12个科室：1.办公室、2.法规审理督察科、3.财政金融企业审计科、4.电子数据科、5.教科文卫和社会保障审计科、6.农业农村审计科、7.固定资产投资和涉外审计科、8.投资评审中心、9.经济责任审计科、10.经济责任审计中心、11.计算机中心、12.自然资源和生态环境审计科、另设审计委员会办公室秘书组。</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 w:hAnsi="仿宋" w:eastAsia="仿宋" w:cs="仿宋"/>
          <w:sz w:val="32"/>
          <w:szCs w:val="32"/>
          <w:lang w:val="en-US" w:eastAsia="zh-CN"/>
        </w:rPr>
        <w:t>克州</w:t>
      </w:r>
      <w:r>
        <w:rPr>
          <w:rFonts w:hint="eastAsia" w:ascii="仿宋" w:hAnsi="仿宋" w:eastAsia="仿宋" w:cs="仿宋"/>
          <w:sz w:val="32"/>
          <w:szCs w:val="32"/>
          <w:lang w:eastAsia="zh-CN"/>
        </w:rPr>
        <w:t>审计</w:t>
      </w:r>
      <w:r>
        <w:rPr>
          <w:rFonts w:hint="eastAsia" w:ascii="仿宋" w:hAnsi="仿宋" w:eastAsia="仿宋" w:cs="仿宋"/>
          <w:sz w:val="32"/>
          <w:szCs w:val="32"/>
        </w:rPr>
        <w:t>局</w:t>
      </w:r>
      <w:r>
        <w:rPr>
          <w:rFonts w:hint="eastAsia" w:ascii="仿宋" w:hAnsi="仿宋" w:eastAsia="仿宋" w:cs="仿宋"/>
          <w:sz w:val="32"/>
          <w:szCs w:val="32"/>
          <w:lang w:eastAsia="zh-CN"/>
        </w:rPr>
        <w:t>行政事业</w:t>
      </w:r>
      <w:r>
        <w:rPr>
          <w:rFonts w:hint="eastAsia" w:ascii="仿宋" w:hAnsi="仿宋" w:eastAsia="仿宋" w:cs="仿宋"/>
          <w:sz w:val="32"/>
          <w:szCs w:val="32"/>
        </w:rPr>
        <w:t>单位编制</w:t>
      </w:r>
      <w:r>
        <w:rPr>
          <w:rFonts w:hint="eastAsia" w:ascii="仿宋" w:hAnsi="仿宋" w:eastAsia="仿宋" w:cs="仿宋"/>
          <w:sz w:val="32"/>
          <w:szCs w:val="32"/>
          <w:lang w:val="en-US" w:eastAsia="zh-CN"/>
        </w:rPr>
        <w:t>42</w:t>
      </w:r>
      <w:r>
        <w:rPr>
          <w:rFonts w:hint="eastAsia" w:ascii="仿宋" w:hAnsi="仿宋" w:eastAsia="仿宋" w:cs="仿宋"/>
          <w:sz w:val="32"/>
          <w:szCs w:val="32"/>
        </w:rPr>
        <w:t>名，其中：行政编制</w:t>
      </w:r>
      <w:r>
        <w:rPr>
          <w:rFonts w:hint="eastAsia" w:ascii="仿宋" w:hAnsi="仿宋" w:eastAsia="仿宋" w:cs="仿宋"/>
          <w:sz w:val="32"/>
          <w:szCs w:val="32"/>
          <w:lang w:val="en-US" w:eastAsia="zh-CN"/>
        </w:rPr>
        <w:t>22</w:t>
      </w:r>
      <w:r>
        <w:rPr>
          <w:rFonts w:hint="eastAsia" w:ascii="仿宋" w:hAnsi="仿宋" w:eastAsia="仿宋" w:cs="仿宋"/>
          <w:sz w:val="32"/>
          <w:szCs w:val="32"/>
        </w:rPr>
        <w:t>名，机关工勤事业编制</w:t>
      </w:r>
      <w:r>
        <w:rPr>
          <w:rFonts w:hint="eastAsia" w:ascii="仿宋" w:hAnsi="仿宋" w:eastAsia="仿宋" w:cs="仿宋"/>
          <w:sz w:val="32"/>
          <w:szCs w:val="32"/>
          <w:lang w:val="en-US" w:eastAsia="zh-CN"/>
        </w:rPr>
        <w:t>20</w:t>
      </w:r>
      <w:r>
        <w:rPr>
          <w:rFonts w:hint="eastAsia" w:ascii="仿宋" w:hAnsi="仿宋" w:eastAsia="仿宋" w:cs="仿宋"/>
          <w:sz w:val="32"/>
          <w:szCs w:val="32"/>
        </w:rPr>
        <w:t>名。实有人员</w:t>
      </w:r>
      <w:r>
        <w:rPr>
          <w:rFonts w:hint="eastAsia" w:ascii="仿宋" w:hAnsi="仿宋" w:eastAsia="仿宋" w:cs="仿宋"/>
          <w:sz w:val="32"/>
          <w:szCs w:val="32"/>
          <w:lang w:val="en-US" w:eastAsia="zh-CN"/>
        </w:rPr>
        <w:t>35</w:t>
      </w:r>
      <w:r>
        <w:rPr>
          <w:rFonts w:hint="eastAsia" w:ascii="仿宋" w:hAnsi="仿宋" w:eastAsia="仿宋" w:cs="仿宋"/>
          <w:sz w:val="32"/>
          <w:szCs w:val="32"/>
        </w:rPr>
        <w:t>人。</w:t>
      </w:r>
      <w:r>
        <w:rPr>
          <w:rFonts w:hint="eastAsia" w:ascii="仿宋" w:hAnsi="仿宋" w:eastAsia="仿宋" w:cs="仿宋"/>
          <w:sz w:val="32"/>
          <w:szCs w:val="32"/>
          <w:highlight w:val="none"/>
        </w:rPr>
        <w:t>。</w:t>
      </w:r>
    </w:p>
    <w:p w14:paraId="1672136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.部门主要职能</w:t>
      </w:r>
    </w:p>
    <w:p w14:paraId="3A70D28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仿宋_GB2312" w:hAnsi="宋体" w:eastAsia="仿宋_GB2312"/>
          <w:bCs/>
          <w:sz w:val="32"/>
          <w:szCs w:val="32"/>
        </w:rPr>
      </w:pPr>
      <w:r>
        <w:rPr>
          <w:rFonts w:hint="eastAsia" w:ascii="仿宋_GB2312" w:hAnsi="宋体" w:eastAsia="仿宋_GB2312"/>
          <w:bCs/>
          <w:sz w:val="32"/>
          <w:szCs w:val="32"/>
        </w:rPr>
        <w:t>克州审计局主管全州审计工作。负责对全州财政收支和法律法规规定，属于审计监督范围的财务收支的真实、合法和效益进行审计监督，对公共资金、国有资产、国有资源和领导干部履行经济责任情况实行审计全覆盖，对领导干部实施自然资源资产离任审计，对国家有关重大政策措施贯彻落实情况进行跟踪审计。对审计、专项审计调查和核查社会审计机构相关审计报告的结果承担责任，并负有督促被审计单位整改的责任。贯彻执行审计法律法规规章、国家审计准则并监督执行。向自治州党委审计委员会提出年度自治州预算执行和其他财政支出情况审计报告。组织实施对国家财经法律法规、规章、政策和宏观调控措施执行情况、财政预算管理及国有资产管理使用等与国家财政收支有关的特定事项进行专项审计调查。依法检查审计决定执行情况，督促整改审计查出的问题，依法办理被审计单位对审计决定提请行政复议、行政诉讼或自治州人民政府裁决中的有关事项，协助配合有关部门相关重大案件。指导和监督内部审计工作，核查社会审计机构对依法属于审计监督对象的单位出具的相关审计报告。指导和推广信息技术在审计领域的应用。完成自治州党委、自治州人民政府交办的其他任务。</w:t>
      </w:r>
    </w:p>
    <w:p w14:paraId="4B45A73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部门单位</w:t>
      </w:r>
      <w:r>
        <w:rPr>
          <w:rFonts w:hint="eastAsia" w:ascii="仿宋" w:hAnsi="仿宋" w:eastAsia="仿宋" w:cs="仿宋"/>
          <w:b/>
          <w:bCs/>
          <w:sz w:val="32"/>
          <w:szCs w:val="32"/>
        </w:rPr>
        <w:t>年度重点工作计划</w:t>
      </w:r>
    </w:p>
    <w:p w14:paraId="4E29BEBA">
      <w:pPr>
        <w:spacing w:line="600" w:lineRule="exact"/>
        <w:ind w:firstLine="640" w:firstLineChars="200"/>
        <w:jc w:val="left"/>
        <w:rPr>
          <w:rFonts w:hint="eastAsia" w:ascii="仿宋" w:hAnsi="仿宋" w:eastAsia="仿宋" w:cs="仿宋"/>
          <w:color w:val="FF0000"/>
          <w:sz w:val="32"/>
          <w:szCs w:val="32"/>
          <w:lang w:eastAsia="zh-CN"/>
        </w:rPr>
      </w:pPr>
      <w:r>
        <w:rPr>
          <w:rFonts w:hint="eastAsia" w:ascii="仿宋_GB2312" w:hAnsi="宋体" w:eastAsia="仿宋_GB2312"/>
          <w:bCs/>
          <w:sz w:val="32"/>
          <w:szCs w:val="32"/>
        </w:rPr>
        <w:t>（一）坚持党对审计工作的全面领导，发挥审计委员会办公室作用。一是2023年自治州各级党审办先后筹备召开党委审计委员会全体会议，传达学习习近平总书记关于审计工作的重要论述、全国审计工作会议和自治区审计工作会议精神等；审议了2023年度审计项目计划、党委审计委员会2022年度工作总结和2023年度工作要点、2022年度经济责任审计综合情况报告等。二是严格执行向上级审计委员会请示报告制度。认真落实自治区党委审计办有关要求，主动向自治州党委审计委员会领导同志做好汇报。今年以来，自治州党委审计办向自治区党委审计委员会和办公室报送重大事项请示报告16份。向自治州党委审计委员会报告重大事项请示报告20份，主要领导作出批示10次。三是加强审计干部的教育培训。组织各县（市）审计局党政主要领导、党审办业务骨干开展业务培训并组织召开了三次全州审计工作座谈会，传达学习全区审计工作座谈会会议精神，总结回顾一、二季度工作，分析工作中存在的短板弱项以及困难和问题，共同研究解决问题的思路和方法。四是加强对县、市审计工作的调研指导。对部分县（市）审计委员会及办公室履职尽责情况进行调研，对履职尽责不到位、制度建设不健全、请示报告程序不规范等问题当场进行指导纠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依法履职尽责，扎实开展审计工作。一是认真完成2022年审计项目收尾工作，全力以赴抢进度，完成2022年6个审计项目的收尾工作。二是科学严谨制定《自治州2023年度审计项目计划》。按照“稳数量、保重点、抓质量、上水平”的要求，紧紧围绕《自治区2023年度审计项目计划》，结合州党委、政府中心工作，经过认真调查研究及征询有关部门意见，研究制定年度审计项目计划，并经各级党委审计委员会批准实施。三是迅速组织开展2023年审计项目。州本级计划完成25个项目，截至目前，有5个项目未进点，正在实施现场审计项目6个，已完成现场审计正在出具报告的4个，已完成现场审计并出具审计报告的项目10个。审计共查出主要问题金额48400万元,其中：违规金额275万元，管理不规范金额48120万元。审计发现非金额计量问题28个；移交审计发现问题线索2条。提出审计建议15个，被采纳审计建议12条。四是加强财政数据采集。根据自治区审计厅有关要求，对全州一级预算单位开展大数据审计。五是全面开展审计质量检查。由党组成员带队对全州2022年审计项目审计质量进行检查，进一步提升审计机关质量意识，增强主观能动性，对发现的质量问题和质量控制存在的不足，及时采取有力有效措施进行整改，进一步规范审计监督行为，提升审计监督质量。六是积极配合完成上级审计机关和州党委、州人民政府交办的工作任务。抽调3人参加十届自治区党委第二轮巡视工作，3人参加自治州党委巡视工作。根据实际工作需要，随时安排人员配合纪委监委工作，以实际行动贯彻落实巡审联动制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督促审计整改，做实审计“后半篇”文章。一是经责审计整改情况。2022年自治区审计厅对我州党政主要领导开展经济责任审计，共查出反馈8个方面19条问题，截至目前，已完成整改16条，整改率为84.2%。正在整改的3条问题，均属于分年度整改计划任务。一是巡视发现问题整改情况。克州审计局高度重视自治区党委巡视组反馈问题整改工作，对涉及本单位牵头落实的1条整改任务积极认领，具体问题是“违规处置公租房51套和应退未退涉企保证金 9247.79万元的问题未持续抓好整改落实”。结合实际细化了整改措施，将整改任务进行责任分解，落实到具体部门。根据整改任务，列出整改清单，明确整改目标、整改要求、整改时限和整改责任人，加强督促落实，确保问题一抓到底，每一条措施都全面落实。二是督促审计查出问题全面整改。州党审办严格落实州党委审计委员会提出的对2022年以来审计发现问题进行“回头看”的要求，认真组织开展审计整改工作，向被审计单位下发了工作提醒函，要求各单位进行审计整改“回头看”，切实做到审计发现问题真改、实改，做好“审计整改后半篇文章”。对“回头看”情况进行抽查检查，坚决杜绝整改不彻底、虚假整改和未整改现象。</w:t>
      </w:r>
      <w:r>
        <w:rPr>
          <w:rFonts w:hint="eastAsia" w:ascii="仿宋_GB2312" w:hAnsi="宋体" w:eastAsia="仿宋_GB2312"/>
          <w:bCs/>
          <w:sz w:val="32"/>
          <w:szCs w:val="32"/>
          <w:lang w:eastAsia="zh-CN"/>
        </w:rPr>
        <w:t>截至目前</w:t>
      </w:r>
      <w:r>
        <w:rPr>
          <w:rFonts w:hint="eastAsia" w:ascii="仿宋_GB2312" w:hAnsi="宋体" w:eastAsia="仿宋_GB2312"/>
          <w:bCs/>
          <w:sz w:val="32"/>
          <w:szCs w:val="32"/>
        </w:rPr>
        <w:t>，自治州2022年本级预算执行和其他财政收支审计查出问题141个，已完成整改115个，整改率为81.56%。</w:t>
      </w:r>
    </w:p>
    <w:p w14:paraId="275329FB">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lang w:eastAsia="zh-CN"/>
        </w:rPr>
        <w:t>部门单位整体预算规模及安排情况</w:t>
      </w:r>
    </w:p>
    <w:p w14:paraId="3E36B916">
      <w:pPr>
        <w:keepNext w:val="0"/>
        <w:keepLines w:val="0"/>
        <w:pageBreakBefore w:val="0"/>
        <w:kinsoku/>
        <w:wordWrap/>
        <w:overflowPunct/>
        <w:topLinePunct w:val="0"/>
        <w:autoSpaceDE/>
        <w:autoSpaceDN/>
        <w:bidi w:val="0"/>
        <w:adjustRightInd/>
        <w:spacing w:line="520" w:lineRule="exact"/>
        <w:ind w:firstLine="567" w:firstLineChars="181"/>
        <w:jc w:val="both"/>
        <w:rPr>
          <w:rStyle w:val="8"/>
          <w:rFonts w:ascii="Times New Roman" w:hAnsi="Times New Roman" w:eastAsia="方正仿宋_GBK"/>
          <w:spacing w:val="-4"/>
          <w:sz w:val="32"/>
          <w:szCs w:val="32"/>
        </w:rPr>
      </w:pPr>
      <w:r>
        <w:rPr>
          <w:rStyle w:val="8"/>
          <w:rFonts w:hint="eastAsia" w:ascii="Times New Roman" w:hAnsi="Times New Roman" w:eastAsia="方正仿宋_GBK" w:cs="Times New Roman"/>
          <w:spacing w:val="-4"/>
          <w:sz w:val="32"/>
          <w:szCs w:val="32"/>
        </w:rPr>
        <w:t>1.</w:t>
      </w:r>
      <w:r>
        <w:rPr>
          <w:rStyle w:val="8"/>
          <w:rFonts w:hint="eastAsia" w:ascii="Times New Roman" w:hAnsi="Times New Roman" w:eastAsia="方正仿宋_GBK" w:cs="宋体"/>
          <w:spacing w:val="-4"/>
          <w:sz w:val="32"/>
          <w:szCs w:val="32"/>
        </w:rPr>
        <w:t>年初预算安排情况</w:t>
      </w:r>
    </w:p>
    <w:p w14:paraId="15913AEF">
      <w:pPr>
        <w:pStyle w:val="10"/>
        <w:keepNext w:val="0"/>
        <w:keepLines w:val="0"/>
        <w:pageBreakBefore w:val="0"/>
        <w:kinsoku/>
        <w:wordWrap/>
        <w:overflowPunct/>
        <w:topLinePunct w:val="0"/>
        <w:autoSpaceDE/>
        <w:autoSpaceDN/>
        <w:bidi w:val="0"/>
        <w:adjustRightInd/>
        <w:snapToGrid w:val="0"/>
        <w:spacing w:line="520" w:lineRule="exact"/>
        <w:ind w:firstLine="640"/>
        <w:jc w:val="both"/>
        <w:rPr>
          <w:rStyle w:val="8"/>
          <w:rFonts w:ascii="Times New Roman" w:hAnsi="Times New Roman" w:eastAsia="方正仿宋_GBK" w:cs="仿宋_GB2312"/>
          <w:b w:val="0"/>
          <w:sz w:val="32"/>
          <w:szCs w:val="32"/>
          <w:lang w:bidi="ar"/>
        </w:rPr>
      </w:pPr>
      <w:r>
        <w:rPr>
          <w:rStyle w:val="8"/>
          <w:rFonts w:hint="eastAsia" w:ascii="Times New Roman" w:hAnsi="Times New Roman" w:eastAsia="方正仿宋_GBK" w:cs="仿宋_GB2312"/>
          <w:b w:val="0"/>
          <w:sz w:val="32"/>
          <w:szCs w:val="32"/>
          <w:lang w:bidi="ar"/>
        </w:rPr>
        <w:t>我单位年初预算数为</w:t>
      </w:r>
      <w:r>
        <w:rPr>
          <w:rStyle w:val="8"/>
          <w:rFonts w:hint="eastAsia" w:eastAsia="方正仿宋_GBK" w:cs="仿宋_GB2312"/>
          <w:b w:val="0"/>
          <w:sz w:val="32"/>
          <w:szCs w:val="32"/>
          <w:lang w:val="en-US" w:eastAsia="zh-CN" w:bidi="ar"/>
        </w:rPr>
        <w:t>860.68</w:t>
      </w:r>
      <w:r>
        <w:rPr>
          <w:rStyle w:val="8"/>
          <w:rFonts w:hint="eastAsia" w:ascii="Times New Roman" w:hAnsi="Times New Roman" w:eastAsia="方正仿宋_GBK" w:cs="仿宋_GB2312"/>
          <w:b w:val="0"/>
          <w:sz w:val="32"/>
          <w:szCs w:val="32"/>
          <w:lang w:bidi="ar"/>
        </w:rPr>
        <w:t>万元，实际预算执行数</w:t>
      </w:r>
      <w:r>
        <w:rPr>
          <w:rStyle w:val="8"/>
          <w:rFonts w:hint="eastAsia" w:eastAsia="方正仿宋_GBK" w:cs="仿宋_GB2312"/>
          <w:b w:val="0"/>
          <w:sz w:val="32"/>
          <w:szCs w:val="32"/>
          <w:lang w:val="en-US" w:eastAsia="zh-CN" w:bidi="ar"/>
        </w:rPr>
        <w:t>860.68</w:t>
      </w:r>
      <w:r>
        <w:rPr>
          <w:rStyle w:val="8"/>
          <w:rFonts w:hint="eastAsia" w:ascii="Times New Roman" w:hAnsi="Times New Roman" w:eastAsia="方正仿宋_GBK" w:cs="仿宋_GB2312"/>
          <w:b w:val="0"/>
          <w:sz w:val="32"/>
          <w:szCs w:val="32"/>
          <w:lang w:bidi="ar"/>
        </w:rPr>
        <w:t>万元，预算执行率为</w:t>
      </w:r>
      <w:r>
        <w:rPr>
          <w:rStyle w:val="8"/>
          <w:rFonts w:hint="eastAsia" w:eastAsia="方正仿宋_GBK" w:cs="仿宋_GB2312"/>
          <w:b w:val="0"/>
          <w:sz w:val="32"/>
          <w:szCs w:val="32"/>
          <w:lang w:val="en-US" w:eastAsia="zh-CN" w:bidi="ar"/>
        </w:rPr>
        <w:t>100</w:t>
      </w:r>
      <w:r>
        <w:rPr>
          <w:rStyle w:val="8"/>
          <w:rFonts w:hint="eastAsia" w:ascii="Times New Roman" w:hAnsi="Times New Roman" w:eastAsia="方正仿宋_GBK" w:cs="仿宋_GB2312"/>
          <w:b w:val="0"/>
          <w:sz w:val="32"/>
          <w:szCs w:val="32"/>
          <w:lang w:bidi="ar"/>
        </w:rPr>
        <w:t>%。综上所述，部门预算安排与单位职能关联度较高，预算安排结构清晰明了，能够直观展示各项费用的分配情况，预算规模合理，为单位的稳健发展和高效运行提供了有力保障。</w:t>
      </w:r>
    </w:p>
    <w:p w14:paraId="24955875">
      <w:pPr>
        <w:keepNext w:val="0"/>
        <w:keepLines w:val="0"/>
        <w:pageBreakBefore w:val="0"/>
        <w:kinsoku/>
        <w:wordWrap/>
        <w:overflowPunct/>
        <w:topLinePunct w:val="0"/>
        <w:autoSpaceDE/>
        <w:autoSpaceDN/>
        <w:bidi w:val="0"/>
        <w:adjustRightInd/>
        <w:spacing w:line="520" w:lineRule="exact"/>
        <w:ind w:firstLine="567" w:firstLineChars="181"/>
        <w:jc w:val="both"/>
        <w:rPr>
          <w:rStyle w:val="8"/>
          <w:rFonts w:ascii="Times New Roman" w:hAnsi="Times New Roman" w:eastAsia="方正仿宋_GBK"/>
          <w:spacing w:val="-4"/>
          <w:sz w:val="32"/>
          <w:szCs w:val="32"/>
        </w:rPr>
      </w:pPr>
      <w:r>
        <w:rPr>
          <w:rStyle w:val="8"/>
          <w:rFonts w:hint="eastAsia" w:ascii="Times New Roman" w:hAnsi="Times New Roman" w:eastAsia="方正仿宋_GBK" w:cs="Times New Roman"/>
          <w:spacing w:val="-4"/>
          <w:sz w:val="32"/>
          <w:szCs w:val="32"/>
        </w:rPr>
        <w:t>2.</w:t>
      </w:r>
      <w:r>
        <w:rPr>
          <w:rStyle w:val="8"/>
          <w:rFonts w:hint="eastAsia" w:ascii="Times New Roman" w:hAnsi="Times New Roman" w:eastAsia="方正仿宋_GBK"/>
          <w:spacing w:val="-4"/>
          <w:sz w:val="32"/>
          <w:szCs w:val="32"/>
        </w:rPr>
        <w:t>预算调整情况</w:t>
      </w:r>
    </w:p>
    <w:p w14:paraId="1D75E28B">
      <w:pPr>
        <w:pStyle w:val="10"/>
        <w:keepNext w:val="0"/>
        <w:keepLines w:val="0"/>
        <w:pageBreakBefore w:val="0"/>
        <w:kinsoku/>
        <w:wordWrap/>
        <w:overflowPunct/>
        <w:topLinePunct w:val="0"/>
        <w:autoSpaceDE/>
        <w:autoSpaceDN/>
        <w:bidi w:val="0"/>
        <w:adjustRightInd/>
        <w:snapToGrid w:val="0"/>
        <w:spacing w:line="520" w:lineRule="exact"/>
        <w:ind w:firstLine="640"/>
        <w:jc w:val="both"/>
        <w:rPr>
          <w:rStyle w:val="8"/>
          <w:rFonts w:hint="eastAsia" w:ascii="Times New Roman" w:hAnsi="Times New Roman" w:eastAsia="方正仿宋_GBK" w:cs="仿宋_GB2312"/>
          <w:b w:val="0"/>
          <w:color w:val="FF0000"/>
          <w:sz w:val="32"/>
          <w:szCs w:val="32"/>
          <w:lang w:bidi="ar"/>
        </w:rPr>
      </w:pPr>
      <w:r>
        <w:rPr>
          <w:rStyle w:val="8"/>
          <w:rFonts w:hint="eastAsia" w:ascii="Times New Roman" w:hAnsi="Times New Roman" w:eastAsia="方正仿宋_GBK" w:cs="仿宋_GB2312"/>
          <w:b w:val="0"/>
          <w:sz w:val="32"/>
          <w:szCs w:val="32"/>
          <w:lang w:bidi="ar"/>
        </w:rPr>
        <w:t>我单位年初批复预算数</w:t>
      </w:r>
      <w:r>
        <w:rPr>
          <w:rStyle w:val="8"/>
          <w:rFonts w:hint="eastAsia" w:eastAsia="方正仿宋_GBK" w:cs="仿宋_GB2312"/>
          <w:b w:val="0"/>
          <w:sz w:val="32"/>
          <w:szCs w:val="32"/>
          <w:lang w:val="en-US" w:eastAsia="zh-CN" w:bidi="ar"/>
        </w:rPr>
        <w:t>860.68</w:t>
      </w:r>
      <w:r>
        <w:rPr>
          <w:rStyle w:val="8"/>
          <w:rFonts w:hint="eastAsia" w:ascii="Times New Roman" w:hAnsi="Times New Roman" w:eastAsia="方正仿宋_GBK" w:cs="仿宋_GB2312"/>
          <w:b w:val="0"/>
          <w:sz w:val="32"/>
          <w:szCs w:val="32"/>
          <w:lang w:bidi="ar"/>
        </w:rPr>
        <w:t>万元，年中调整数</w:t>
      </w:r>
      <w:r>
        <w:rPr>
          <w:rStyle w:val="8"/>
          <w:rFonts w:hint="eastAsia" w:eastAsia="方正仿宋_GBK" w:cs="仿宋_GB2312"/>
          <w:b w:val="0"/>
          <w:sz w:val="32"/>
          <w:szCs w:val="32"/>
          <w:lang w:val="en-US" w:eastAsia="zh-CN" w:bidi="ar"/>
        </w:rPr>
        <w:t>359.15</w:t>
      </w:r>
      <w:r>
        <w:rPr>
          <w:rStyle w:val="8"/>
          <w:rFonts w:hint="eastAsia" w:ascii="Times New Roman" w:hAnsi="Times New Roman" w:eastAsia="方正仿宋_GBK" w:cs="仿宋_GB2312"/>
          <w:b w:val="0"/>
          <w:sz w:val="32"/>
          <w:szCs w:val="32"/>
          <w:lang w:bidi="ar"/>
        </w:rPr>
        <w:t>万元，调整后全年预算数</w:t>
      </w:r>
      <w:r>
        <w:rPr>
          <w:rStyle w:val="8"/>
          <w:rFonts w:hint="eastAsia" w:eastAsia="方正仿宋_GBK" w:cs="仿宋_GB2312"/>
          <w:b w:val="0"/>
          <w:sz w:val="32"/>
          <w:szCs w:val="32"/>
          <w:lang w:val="en-US" w:eastAsia="zh-CN" w:bidi="ar"/>
        </w:rPr>
        <w:t>1105.84</w:t>
      </w:r>
      <w:r>
        <w:rPr>
          <w:rStyle w:val="8"/>
          <w:rFonts w:hint="eastAsia" w:ascii="Times New Roman" w:hAnsi="Times New Roman" w:eastAsia="方正仿宋_GBK" w:cs="仿宋_GB2312"/>
          <w:b w:val="0"/>
          <w:sz w:val="32"/>
          <w:szCs w:val="32"/>
          <w:lang w:bidi="ar"/>
        </w:rPr>
        <w:t>万元，预算调整率</w:t>
      </w:r>
      <w:r>
        <w:rPr>
          <w:rStyle w:val="8"/>
          <w:rFonts w:hint="eastAsia" w:eastAsia="方正仿宋_GBK" w:cs="仿宋_GB2312"/>
          <w:b w:val="0"/>
          <w:sz w:val="32"/>
          <w:szCs w:val="32"/>
          <w:lang w:val="en-US" w:eastAsia="zh-CN" w:bidi="ar"/>
        </w:rPr>
        <w:t>41.73</w:t>
      </w:r>
      <w:r>
        <w:rPr>
          <w:rStyle w:val="8"/>
          <w:rFonts w:hint="eastAsia" w:ascii="Times New Roman" w:hAnsi="Times New Roman" w:eastAsia="方正仿宋_GBK" w:cs="仿宋_GB2312"/>
          <w:b w:val="0"/>
          <w:sz w:val="32"/>
          <w:szCs w:val="32"/>
          <w:lang w:bidi="ar"/>
        </w:rPr>
        <w:t>%。</w:t>
      </w:r>
    </w:p>
    <w:p w14:paraId="30C4A130">
      <w:pPr>
        <w:keepNext w:val="0"/>
        <w:keepLines w:val="0"/>
        <w:pageBreakBefore w:val="0"/>
        <w:kinsoku/>
        <w:wordWrap/>
        <w:overflowPunct/>
        <w:topLinePunct w:val="0"/>
        <w:autoSpaceDE/>
        <w:autoSpaceDN/>
        <w:bidi w:val="0"/>
        <w:adjustRightInd/>
        <w:spacing w:line="520" w:lineRule="exact"/>
        <w:ind w:firstLine="640" w:firstLineChars="200"/>
        <w:jc w:val="both"/>
        <w:rPr>
          <w:rStyle w:val="8"/>
          <w:rFonts w:ascii="Times New Roman" w:hAnsi="Times New Roman" w:eastAsia="方正仿宋_GBK" w:cs="仿宋_GB2312"/>
          <w:b w:val="0"/>
          <w:sz w:val="32"/>
          <w:szCs w:val="32"/>
          <w:lang w:bidi="ar"/>
        </w:rPr>
      </w:pPr>
      <w:r>
        <w:rPr>
          <w:rStyle w:val="8"/>
          <w:rFonts w:hint="eastAsia" w:ascii="Times New Roman" w:hAnsi="Times New Roman" w:eastAsia="方正仿宋_GBK" w:cs="仿宋_GB2312"/>
          <w:b w:val="0"/>
          <w:sz w:val="32"/>
          <w:szCs w:val="32"/>
          <w:lang w:bidi="ar"/>
        </w:rPr>
        <w:t>综上所述，年中预算调整幅度与单位运转情况和履职情况相匹配，未出现资金收支不平衡以及债务风险等负面影响，确保了预算调整的合理性和必要性。</w:t>
      </w:r>
    </w:p>
    <w:p w14:paraId="28666E2C">
      <w:pPr>
        <w:keepNext w:val="0"/>
        <w:keepLines w:val="0"/>
        <w:pageBreakBefore w:val="0"/>
        <w:kinsoku/>
        <w:wordWrap/>
        <w:overflowPunct/>
        <w:topLinePunct w:val="0"/>
        <w:autoSpaceDE/>
        <w:autoSpaceDN/>
        <w:bidi w:val="0"/>
        <w:adjustRightInd/>
        <w:spacing w:line="520" w:lineRule="exact"/>
        <w:ind w:firstLine="567" w:firstLineChars="181"/>
        <w:jc w:val="both"/>
        <w:rPr>
          <w:rStyle w:val="8"/>
          <w:rFonts w:ascii="Times New Roman" w:hAnsi="Times New Roman" w:eastAsia="方正仿宋_GBK"/>
          <w:spacing w:val="-4"/>
          <w:sz w:val="32"/>
          <w:szCs w:val="32"/>
        </w:rPr>
      </w:pPr>
      <w:r>
        <w:rPr>
          <w:rStyle w:val="8"/>
          <w:rFonts w:hint="eastAsia" w:ascii="Times New Roman" w:hAnsi="Times New Roman" w:eastAsia="方正仿宋_GBK" w:cs="Times New Roman"/>
          <w:spacing w:val="-4"/>
          <w:sz w:val="32"/>
          <w:szCs w:val="32"/>
        </w:rPr>
        <w:t>3.</w:t>
      </w:r>
      <w:r>
        <w:rPr>
          <w:rStyle w:val="8"/>
          <w:rFonts w:hint="eastAsia" w:ascii="Times New Roman" w:hAnsi="Times New Roman" w:eastAsia="方正仿宋_GBK"/>
          <w:spacing w:val="-4"/>
          <w:sz w:val="32"/>
          <w:szCs w:val="32"/>
        </w:rPr>
        <w:t>全年预算执行情况</w:t>
      </w:r>
    </w:p>
    <w:p w14:paraId="450A7042">
      <w:pPr>
        <w:keepNext w:val="0"/>
        <w:keepLines w:val="0"/>
        <w:pageBreakBefore w:val="0"/>
        <w:kinsoku/>
        <w:wordWrap/>
        <w:overflowPunct/>
        <w:topLinePunct w:val="0"/>
        <w:autoSpaceDE/>
        <w:autoSpaceDN/>
        <w:bidi w:val="0"/>
        <w:adjustRightInd/>
        <w:spacing w:line="520" w:lineRule="exact"/>
        <w:ind w:firstLine="579" w:firstLineChars="181"/>
        <w:jc w:val="both"/>
        <w:rPr>
          <w:rStyle w:val="8"/>
          <w:rFonts w:hint="eastAsia" w:ascii="Times New Roman" w:hAnsi="Times New Roman" w:eastAsia="方正仿宋_GBK" w:cs="仿宋_GB2312"/>
          <w:b w:val="0"/>
          <w:color w:val="FF0000"/>
          <w:sz w:val="32"/>
          <w:szCs w:val="32"/>
          <w:lang w:bidi="ar"/>
        </w:rPr>
      </w:pPr>
      <w:r>
        <w:rPr>
          <w:rStyle w:val="8"/>
          <w:rFonts w:hint="eastAsia" w:ascii="Times New Roman" w:hAnsi="Times New Roman" w:eastAsia="方正仿宋_GBK" w:cs="仿宋_GB2312"/>
          <w:b w:val="0"/>
          <w:sz w:val="32"/>
          <w:szCs w:val="32"/>
          <w:lang w:bidi="ar"/>
        </w:rPr>
        <w:t>全年预算数为</w:t>
      </w:r>
      <w:r>
        <w:rPr>
          <w:rStyle w:val="8"/>
          <w:rFonts w:hint="eastAsia" w:eastAsia="方正仿宋_GBK" w:cs="仿宋_GB2312"/>
          <w:b w:val="0"/>
          <w:sz w:val="32"/>
          <w:szCs w:val="32"/>
          <w:lang w:val="en-US" w:eastAsia="zh-CN" w:bidi="ar"/>
        </w:rPr>
        <w:t>1105.84</w:t>
      </w:r>
      <w:r>
        <w:rPr>
          <w:rStyle w:val="8"/>
          <w:rFonts w:hint="eastAsia" w:ascii="Times New Roman" w:hAnsi="Times New Roman" w:eastAsia="方正仿宋_GBK" w:cs="仿宋_GB2312"/>
          <w:b w:val="0"/>
          <w:sz w:val="32"/>
          <w:szCs w:val="32"/>
          <w:lang w:bidi="ar"/>
        </w:rPr>
        <w:t>万元，全年实际支出资金</w:t>
      </w:r>
      <w:r>
        <w:rPr>
          <w:rStyle w:val="8"/>
          <w:rFonts w:hint="eastAsia" w:eastAsia="方正仿宋_GBK" w:cs="仿宋_GB2312"/>
          <w:b w:val="0"/>
          <w:sz w:val="32"/>
          <w:szCs w:val="32"/>
          <w:lang w:val="en-US" w:eastAsia="zh-CN" w:bidi="ar"/>
        </w:rPr>
        <w:t>1032.33</w:t>
      </w:r>
      <w:r>
        <w:rPr>
          <w:rStyle w:val="8"/>
          <w:rFonts w:hint="eastAsia" w:ascii="Times New Roman" w:hAnsi="Times New Roman" w:eastAsia="方正仿宋_GBK" w:cs="仿宋_GB2312"/>
          <w:b w:val="0"/>
          <w:sz w:val="32"/>
          <w:szCs w:val="32"/>
          <w:lang w:bidi="ar"/>
        </w:rPr>
        <w:t>万元，预算执行率为</w:t>
      </w:r>
      <w:r>
        <w:rPr>
          <w:rStyle w:val="8"/>
          <w:rFonts w:hint="eastAsia" w:eastAsia="方正仿宋_GBK" w:cs="仿宋_GB2312"/>
          <w:b w:val="0"/>
          <w:sz w:val="32"/>
          <w:szCs w:val="32"/>
          <w:lang w:val="en-US" w:eastAsia="zh-CN" w:bidi="ar"/>
        </w:rPr>
        <w:t>93.35</w:t>
      </w:r>
      <w:r>
        <w:rPr>
          <w:rStyle w:val="8"/>
          <w:rFonts w:hint="eastAsia" w:ascii="Times New Roman" w:hAnsi="Times New Roman" w:eastAsia="方正仿宋_GBK" w:cs="仿宋_GB2312"/>
          <w:b w:val="0"/>
          <w:sz w:val="32"/>
          <w:szCs w:val="32"/>
          <w:lang w:bidi="ar"/>
        </w:rPr>
        <w:t>%。</w:t>
      </w:r>
    </w:p>
    <w:p w14:paraId="4ECA0450">
      <w:pPr>
        <w:pStyle w:val="10"/>
        <w:keepNext w:val="0"/>
        <w:keepLines w:val="0"/>
        <w:pageBreakBefore w:val="0"/>
        <w:kinsoku/>
        <w:wordWrap/>
        <w:overflowPunct/>
        <w:topLinePunct w:val="0"/>
        <w:autoSpaceDE/>
        <w:autoSpaceDN/>
        <w:bidi w:val="0"/>
        <w:adjustRightInd/>
        <w:snapToGrid w:val="0"/>
        <w:spacing w:line="520" w:lineRule="exact"/>
        <w:ind w:firstLine="640"/>
        <w:jc w:val="both"/>
        <w:rPr>
          <w:rStyle w:val="8"/>
          <w:rFonts w:hint="eastAsia" w:ascii="Times New Roman" w:hAnsi="Times New Roman" w:eastAsia="方正仿宋_GBK" w:cs="仿宋_GB2312"/>
          <w:b w:val="0"/>
          <w:sz w:val="32"/>
          <w:szCs w:val="32"/>
          <w:lang w:bidi="ar"/>
        </w:rPr>
      </w:pPr>
      <w:r>
        <w:rPr>
          <w:rStyle w:val="8"/>
          <w:rFonts w:hint="eastAsia" w:ascii="Times New Roman" w:hAnsi="Times New Roman" w:eastAsia="方正仿宋_GBK" w:cs="仿宋_GB2312"/>
          <w:b w:val="0"/>
          <w:sz w:val="32"/>
          <w:szCs w:val="32"/>
          <w:lang w:bidi="ar"/>
        </w:rPr>
        <w:t>综上所述，本年度在执行预算过程中不存在闲置、浪费或挪用等情况，执行预算在预期可控范围内，严格按照项目进度支付资金，不存在超进度付款情况，资金支出方向合理，资金支出流程规范。</w:t>
      </w:r>
    </w:p>
    <w:p w14:paraId="4A876D47">
      <w:pPr>
        <w:keepNext w:val="0"/>
        <w:keepLines w:val="0"/>
        <w:pageBreakBefore w:val="0"/>
        <w:kinsoku/>
        <w:wordWrap/>
        <w:overflowPunct/>
        <w:topLinePunct w:val="0"/>
        <w:autoSpaceDE/>
        <w:autoSpaceDN/>
        <w:bidi w:val="0"/>
        <w:adjustRightInd/>
        <w:spacing w:line="520" w:lineRule="exact"/>
        <w:ind w:firstLine="567" w:firstLineChars="181"/>
        <w:jc w:val="both"/>
        <w:rPr>
          <w:rStyle w:val="8"/>
          <w:rFonts w:ascii="Times New Roman" w:hAnsi="Times New Roman" w:eastAsia="方正仿宋_GBK"/>
          <w:spacing w:val="-4"/>
          <w:sz w:val="32"/>
          <w:szCs w:val="32"/>
        </w:rPr>
      </w:pPr>
      <w:r>
        <w:rPr>
          <w:rStyle w:val="8"/>
          <w:rFonts w:hint="eastAsia" w:ascii="Times New Roman" w:hAnsi="Times New Roman" w:eastAsia="方正仿宋_GBK" w:cs="Times New Roman"/>
          <w:spacing w:val="-4"/>
          <w:sz w:val="32"/>
          <w:szCs w:val="32"/>
        </w:rPr>
        <w:t>4.</w:t>
      </w:r>
      <w:r>
        <w:rPr>
          <w:rStyle w:val="8"/>
          <w:rFonts w:hint="eastAsia" w:ascii="Times New Roman" w:hAnsi="Times New Roman" w:eastAsia="方正仿宋_GBK"/>
          <w:spacing w:val="-4"/>
          <w:sz w:val="32"/>
          <w:szCs w:val="32"/>
        </w:rPr>
        <w:t>资金使用主要内容及范围</w:t>
      </w:r>
    </w:p>
    <w:p w14:paraId="0296C334">
      <w:pPr>
        <w:keepNext w:val="0"/>
        <w:keepLines w:val="0"/>
        <w:pageBreakBefore w:val="0"/>
        <w:kinsoku/>
        <w:wordWrap/>
        <w:overflowPunct/>
        <w:topLinePunct w:val="0"/>
        <w:autoSpaceDE/>
        <w:autoSpaceDN/>
        <w:bidi w:val="0"/>
        <w:adjustRightInd/>
        <w:spacing w:line="520" w:lineRule="exact"/>
        <w:ind w:firstLine="564" w:firstLineChars="181"/>
        <w:jc w:val="both"/>
        <w:rPr>
          <w:rStyle w:val="8"/>
          <w:rFonts w:hint="eastAsia" w:ascii="Times New Roman" w:hAnsi="Times New Roman" w:eastAsia="方正仿宋_GBK"/>
          <w:b w:val="0"/>
          <w:spacing w:val="-4"/>
          <w:sz w:val="32"/>
          <w:szCs w:val="32"/>
        </w:rPr>
      </w:pPr>
      <w:r>
        <w:rPr>
          <w:rStyle w:val="8"/>
          <w:rFonts w:hint="eastAsia" w:ascii="Times New Roman" w:hAnsi="Times New Roman" w:eastAsia="方正仿宋_GBK"/>
          <w:b w:val="0"/>
          <w:spacing w:val="-4"/>
          <w:sz w:val="32"/>
          <w:szCs w:val="32"/>
        </w:rPr>
        <w:t>我单位2023年全年预算支出金额共计</w:t>
      </w:r>
      <w:r>
        <w:rPr>
          <w:rStyle w:val="8"/>
          <w:rFonts w:hint="eastAsia" w:ascii="Times New Roman" w:hAnsi="Times New Roman" w:eastAsia="方正仿宋_GBK"/>
          <w:b w:val="0"/>
          <w:spacing w:val="-4"/>
          <w:sz w:val="32"/>
          <w:szCs w:val="32"/>
          <w:lang w:val="en-US" w:eastAsia="zh-CN"/>
        </w:rPr>
        <w:t>1032.33</w:t>
      </w:r>
      <w:r>
        <w:rPr>
          <w:rStyle w:val="8"/>
          <w:rFonts w:hint="eastAsia" w:ascii="Times New Roman" w:hAnsi="Times New Roman" w:eastAsia="方正仿宋_GBK"/>
          <w:b w:val="0"/>
          <w:spacing w:val="-4"/>
          <w:sz w:val="32"/>
          <w:szCs w:val="32"/>
        </w:rPr>
        <w:t>万元</w:t>
      </w:r>
      <w:r>
        <w:rPr>
          <w:rStyle w:val="8"/>
          <w:rFonts w:hint="eastAsia" w:ascii="Times New Roman" w:hAnsi="Times New Roman" w:eastAsia="方正仿宋_GBK"/>
          <w:b w:val="0"/>
          <w:spacing w:val="-4"/>
          <w:sz w:val="32"/>
          <w:szCs w:val="32"/>
          <w:lang w:eastAsia="zh-CN"/>
        </w:rPr>
        <w:t>（</w:t>
      </w:r>
      <w:r>
        <w:rPr>
          <w:rStyle w:val="8"/>
          <w:rFonts w:hint="eastAsia" w:ascii="Times New Roman" w:hAnsi="Times New Roman" w:eastAsia="方正仿宋_GBK"/>
          <w:b w:val="0"/>
          <w:spacing w:val="-4"/>
          <w:sz w:val="32"/>
          <w:szCs w:val="32"/>
          <w:lang w:val="en-US" w:eastAsia="zh-CN"/>
        </w:rPr>
        <w:t>决算数</w:t>
      </w:r>
      <w:r>
        <w:rPr>
          <w:rStyle w:val="8"/>
          <w:rFonts w:hint="eastAsia" w:ascii="Times New Roman" w:hAnsi="Times New Roman" w:eastAsia="方正仿宋_GBK"/>
          <w:b w:val="0"/>
          <w:spacing w:val="-4"/>
          <w:sz w:val="32"/>
          <w:szCs w:val="32"/>
          <w:lang w:eastAsia="zh-CN"/>
        </w:rPr>
        <w:t>）。</w:t>
      </w:r>
      <w:r>
        <w:rPr>
          <w:rStyle w:val="8"/>
          <w:rFonts w:hint="eastAsia" w:ascii="Times New Roman" w:hAnsi="Times New Roman" w:eastAsia="方正仿宋_GBK"/>
          <w:b w:val="0"/>
          <w:spacing w:val="-4"/>
          <w:sz w:val="32"/>
          <w:szCs w:val="32"/>
        </w:rPr>
        <w:t>其中：基本支出为</w:t>
      </w:r>
      <w:r>
        <w:rPr>
          <w:rStyle w:val="8"/>
          <w:rFonts w:hint="eastAsia" w:ascii="Times New Roman" w:hAnsi="Times New Roman" w:eastAsia="方正仿宋_GBK"/>
          <w:b w:val="0"/>
          <w:spacing w:val="-4"/>
          <w:sz w:val="32"/>
          <w:szCs w:val="32"/>
          <w:lang w:val="en-US" w:eastAsia="zh-CN"/>
        </w:rPr>
        <w:t>807.22</w:t>
      </w:r>
      <w:r>
        <w:rPr>
          <w:rStyle w:val="8"/>
          <w:rFonts w:hint="eastAsia" w:ascii="Times New Roman" w:hAnsi="Times New Roman" w:eastAsia="方正仿宋_GBK"/>
          <w:b w:val="0"/>
          <w:spacing w:val="-4"/>
          <w:sz w:val="32"/>
          <w:szCs w:val="32"/>
        </w:rPr>
        <w:t>万元，主要用于</w:t>
      </w:r>
      <w:r>
        <w:rPr>
          <w:rStyle w:val="8"/>
          <w:rFonts w:hint="eastAsia" w:ascii="Times New Roman" w:hAnsi="Times New Roman" w:eastAsia="方正仿宋_GBK"/>
          <w:b w:val="0"/>
          <w:spacing w:val="-4"/>
          <w:sz w:val="32"/>
          <w:szCs w:val="32"/>
          <w:lang w:eastAsia="zh-CN"/>
        </w:rPr>
        <w:t>人员工资、社保、福利、工会、机关运行</w:t>
      </w:r>
      <w:r>
        <w:rPr>
          <w:rStyle w:val="8"/>
          <w:rFonts w:hint="eastAsia" w:ascii="Times New Roman" w:hAnsi="Times New Roman" w:eastAsia="方正仿宋_GBK"/>
          <w:b w:val="0"/>
          <w:spacing w:val="-4"/>
          <w:sz w:val="32"/>
          <w:szCs w:val="32"/>
        </w:rPr>
        <w:t>等地方；项目支出</w:t>
      </w:r>
      <w:r>
        <w:rPr>
          <w:rStyle w:val="8"/>
          <w:rFonts w:hint="eastAsia" w:ascii="Times New Roman" w:hAnsi="Times New Roman" w:eastAsia="方正仿宋_GBK"/>
          <w:b w:val="0"/>
          <w:spacing w:val="-4"/>
          <w:sz w:val="32"/>
          <w:szCs w:val="32"/>
          <w:lang w:val="en-US" w:eastAsia="zh-CN"/>
        </w:rPr>
        <w:t>225.11</w:t>
      </w:r>
      <w:r>
        <w:rPr>
          <w:rStyle w:val="8"/>
          <w:rFonts w:hint="eastAsia" w:ascii="Times New Roman" w:hAnsi="Times New Roman" w:eastAsia="方正仿宋_GBK"/>
          <w:b w:val="0"/>
          <w:spacing w:val="-4"/>
          <w:sz w:val="32"/>
          <w:szCs w:val="32"/>
        </w:rPr>
        <w:t>万元，主要用于</w:t>
      </w:r>
      <w:r>
        <w:rPr>
          <w:rStyle w:val="8"/>
          <w:rFonts w:hint="eastAsia" w:ascii="Times New Roman" w:hAnsi="Times New Roman" w:eastAsia="方正仿宋_GBK"/>
          <w:b w:val="0"/>
          <w:spacing w:val="-4"/>
          <w:sz w:val="32"/>
          <w:szCs w:val="32"/>
          <w:lang w:eastAsia="zh-CN"/>
        </w:rPr>
        <w:t>审计项目的差旅费及审计服务费</w:t>
      </w:r>
      <w:r>
        <w:rPr>
          <w:rStyle w:val="8"/>
          <w:rFonts w:hint="eastAsia" w:ascii="Times New Roman" w:hAnsi="Times New Roman" w:eastAsia="方正仿宋_GBK"/>
          <w:b w:val="0"/>
          <w:spacing w:val="-4"/>
          <w:sz w:val="32"/>
          <w:szCs w:val="32"/>
        </w:rPr>
        <w:t>等。</w:t>
      </w:r>
    </w:p>
    <w:p w14:paraId="47B09C3E">
      <w:pPr>
        <w:pStyle w:val="2"/>
        <w:rPr>
          <w:rFonts w:hint="eastAsia"/>
        </w:rPr>
      </w:pPr>
    </w:p>
    <w:p w14:paraId="6697F95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0"/>
        <w:rPr>
          <w:rFonts w:hint="eastAsia" w:ascii="仿宋" w:hAnsi="仿宋" w:eastAsia="仿宋" w:cs="仿宋"/>
          <w:b/>
          <w:bCs/>
          <w:color w:val="000000" w:themeColor="text1"/>
          <w:sz w:val="32"/>
          <w:szCs w:val="32"/>
          <w:lang w:bidi="ar"/>
          <w14:textFill>
            <w14:solidFill>
              <w14:schemeClr w14:val="tx1"/>
            </w14:solidFill>
          </w14:textFill>
        </w:rPr>
      </w:pPr>
      <w:r>
        <w:rPr>
          <w:rFonts w:hint="eastAsia" w:ascii="仿宋" w:hAnsi="仿宋" w:eastAsia="仿宋" w:cs="仿宋"/>
          <w:b/>
          <w:bCs/>
          <w:color w:val="000000" w:themeColor="text1"/>
          <w:sz w:val="32"/>
          <w:szCs w:val="32"/>
          <w:lang w:bidi="ar"/>
          <w14:textFill>
            <w14:solidFill>
              <w14:schemeClr w14:val="tx1"/>
            </w14:solidFill>
          </w14:textFill>
        </w:rPr>
        <w:t>二、部门单位整体支出管理及使用情况</w:t>
      </w:r>
    </w:p>
    <w:p w14:paraId="1844998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1"/>
        <w:rPr>
          <w:rFonts w:hint="default" w:ascii="仿宋" w:hAnsi="仿宋" w:eastAsia="仿宋" w:cs="仿宋"/>
          <w:b/>
          <w:bCs/>
          <w:color w:val="000000" w:themeColor="text1"/>
          <w:sz w:val="32"/>
          <w:szCs w:val="32"/>
          <w:lang w:val="en-US" w:eastAsia="zh-CN" w:bidi="ar"/>
          <w14:textFill>
            <w14:solidFill>
              <w14:schemeClr w14:val="tx1"/>
            </w14:solidFill>
          </w14:textFill>
        </w:rPr>
      </w:pPr>
      <w:r>
        <w:rPr>
          <w:rFonts w:hint="eastAsia" w:ascii="仿宋" w:hAnsi="仿宋" w:eastAsia="仿宋" w:cs="仿宋"/>
          <w:b/>
          <w:bCs/>
          <w:color w:val="000000" w:themeColor="text1"/>
          <w:sz w:val="32"/>
          <w:szCs w:val="32"/>
          <w:lang w:eastAsia="zh-CN" w:bidi="ar"/>
          <w14:textFill>
            <w14:solidFill>
              <w14:schemeClr w14:val="tx1"/>
            </w14:solidFill>
          </w14:textFill>
        </w:rPr>
        <w:t>（</w:t>
      </w:r>
      <w:r>
        <w:rPr>
          <w:rFonts w:hint="eastAsia" w:ascii="仿宋" w:hAnsi="仿宋" w:eastAsia="仿宋" w:cs="仿宋"/>
          <w:b/>
          <w:bCs/>
          <w:color w:val="000000" w:themeColor="text1"/>
          <w:sz w:val="32"/>
          <w:szCs w:val="32"/>
          <w:lang w:val="en-US" w:eastAsia="zh-CN" w:bidi="ar"/>
          <w14:textFill>
            <w14:solidFill>
              <w14:schemeClr w14:val="tx1"/>
            </w14:solidFill>
          </w14:textFill>
        </w:rPr>
        <w:t>一</w:t>
      </w:r>
      <w:r>
        <w:rPr>
          <w:rFonts w:hint="eastAsia" w:ascii="仿宋" w:hAnsi="仿宋" w:eastAsia="仿宋" w:cs="仿宋"/>
          <w:b/>
          <w:bCs/>
          <w:color w:val="000000" w:themeColor="text1"/>
          <w:sz w:val="32"/>
          <w:szCs w:val="32"/>
          <w:lang w:eastAsia="zh-CN" w:bidi="ar"/>
          <w14:textFill>
            <w14:solidFill>
              <w14:schemeClr w14:val="tx1"/>
            </w14:solidFill>
          </w14:textFill>
        </w:rPr>
        <w:t>）</w:t>
      </w:r>
      <w:r>
        <w:rPr>
          <w:rFonts w:hint="eastAsia" w:ascii="仿宋" w:hAnsi="仿宋" w:eastAsia="仿宋" w:cs="仿宋"/>
          <w:b/>
          <w:bCs/>
          <w:color w:val="000000" w:themeColor="text1"/>
          <w:sz w:val="32"/>
          <w:szCs w:val="32"/>
          <w:lang w:val="en-US" w:eastAsia="zh-CN" w:bidi="ar"/>
          <w14:textFill>
            <w14:solidFill>
              <w14:schemeClr w14:val="tx1"/>
            </w14:solidFill>
          </w14:textFill>
        </w:rPr>
        <w:t>整体支出规模</w:t>
      </w:r>
    </w:p>
    <w:p w14:paraId="4DDEFBDA">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b/>
          <w:bCs/>
          <w:color w:val="000000" w:themeColor="text1"/>
          <w:sz w:val="32"/>
          <w:szCs w:val="32"/>
          <w:lang w:eastAsia="zh-CN" w:bidi="ar"/>
          <w14:textFill>
            <w14:solidFill>
              <w14:schemeClr w14:val="tx1"/>
            </w14:solidFill>
          </w14:textFill>
        </w:rPr>
      </w:pP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rPr>
        <w:t>度本单位部门整体支出资金总额为</w:t>
      </w:r>
      <w:r>
        <w:rPr>
          <w:rFonts w:hint="eastAsia" w:ascii="仿宋" w:hAnsi="仿宋" w:eastAsia="仿宋" w:cs="仿宋"/>
          <w:sz w:val="32"/>
          <w:szCs w:val="32"/>
          <w:highlight w:val="none"/>
          <w:lang w:val="en-US" w:eastAsia="zh-CN"/>
        </w:rPr>
        <w:t>1032.33</w:t>
      </w:r>
      <w:r>
        <w:rPr>
          <w:rFonts w:hint="eastAsia" w:ascii="仿宋" w:hAnsi="仿宋" w:eastAsia="仿宋" w:cs="仿宋"/>
          <w:sz w:val="32"/>
          <w:szCs w:val="32"/>
          <w:highlight w:val="none"/>
        </w:rPr>
        <w:t>万元，预算执行率为</w:t>
      </w:r>
      <w:r>
        <w:rPr>
          <w:rFonts w:hint="eastAsia" w:ascii="仿宋" w:hAnsi="仿宋" w:eastAsia="仿宋" w:cs="仿宋"/>
          <w:sz w:val="32"/>
          <w:szCs w:val="32"/>
          <w:highlight w:val="none"/>
          <w:lang w:val="en-US" w:eastAsia="zh-CN"/>
        </w:rPr>
        <w:t>93.35</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w:t>
      </w:r>
    </w:p>
    <w:p w14:paraId="752B9D82">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1"/>
        <w:rPr>
          <w:rFonts w:hint="eastAsia" w:ascii="仿宋" w:hAnsi="仿宋" w:eastAsia="仿宋" w:cs="仿宋"/>
          <w:b/>
          <w:bCs/>
          <w:color w:val="000000" w:themeColor="text1"/>
          <w:sz w:val="32"/>
          <w:szCs w:val="32"/>
          <w:lang w:bidi="ar"/>
          <w14:textFill>
            <w14:solidFill>
              <w14:schemeClr w14:val="tx1"/>
            </w14:solidFill>
          </w14:textFill>
        </w:rPr>
      </w:pPr>
      <w:r>
        <w:rPr>
          <w:rFonts w:hint="eastAsia" w:ascii="仿宋" w:hAnsi="仿宋" w:eastAsia="仿宋" w:cs="仿宋"/>
          <w:b/>
          <w:bCs/>
          <w:color w:val="000000" w:themeColor="text1"/>
          <w:sz w:val="32"/>
          <w:szCs w:val="32"/>
          <w:lang w:eastAsia="zh-CN" w:bidi="ar"/>
          <w14:textFill>
            <w14:solidFill>
              <w14:schemeClr w14:val="tx1"/>
            </w14:solidFill>
          </w14:textFill>
        </w:rPr>
        <w:t>（</w:t>
      </w:r>
      <w:r>
        <w:rPr>
          <w:rFonts w:hint="eastAsia" w:ascii="仿宋" w:hAnsi="仿宋" w:eastAsia="仿宋" w:cs="仿宋"/>
          <w:b/>
          <w:bCs/>
          <w:color w:val="000000" w:themeColor="text1"/>
          <w:sz w:val="32"/>
          <w:szCs w:val="32"/>
          <w:lang w:val="en-US" w:eastAsia="zh-CN" w:bidi="ar"/>
          <w14:textFill>
            <w14:solidFill>
              <w14:schemeClr w14:val="tx1"/>
            </w14:solidFill>
          </w14:textFill>
        </w:rPr>
        <w:t>二</w:t>
      </w:r>
      <w:r>
        <w:rPr>
          <w:rFonts w:hint="eastAsia" w:ascii="仿宋" w:hAnsi="仿宋" w:eastAsia="仿宋" w:cs="仿宋"/>
          <w:b/>
          <w:bCs/>
          <w:color w:val="000000" w:themeColor="text1"/>
          <w:sz w:val="32"/>
          <w:szCs w:val="32"/>
          <w:lang w:eastAsia="zh-CN" w:bidi="ar"/>
          <w14:textFill>
            <w14:solidFill>
              <w14:schemeClr w14:val="tx1"/>
            </w14:solidFill>
          </w14:textFill>
        </w:rPr>
        <w:t>）</w:t>
      </w:r>
      <w:r>
        <w:rPr>
          <w:rFonts w:hint="eastAsia" w:ascii="仿宋" w:hAnsi="仿宋" w:eastAsia="仿宋" w:cs="仿宋"/>
          <w:b/>
          <w:bCs/>
          <w:color w:val="000000" w:themeColor="text1"/>
          <w:sz w:val="32"/>
          <w:szCs w:val="32"/>
          <w:lang w:bidi="ar"/>
          <w14:textFill>
            <w14:solidFill>
              <w14:schemeClr w14:val="tx1"/>
            </w14:solidFill>
          </w14:textFill>
        </w:rPr>
        <w:t>基本支出管理和使用情况</w:t>
      </w:r>
    </w:p>
    <w:p w14:paraId="722C75D5">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rPr>
        <w:t>度我单位基本支出</w:t>
      </w:r>
      <w:r>
        <w:rPr>
          <w:rFonts w:hint="eastAsia" w:ascii="仿宋" w:hAnsi="仿宋" w:eastAsia="仿宋" w:cs="仿宋"/>
          <w:sz w:val="32"/>
          <w:szCs w:val="32"/>
          <w:highlight w:val="none"/>
          <w:lang w:val="en-US" w:eastAsia="zh-CN"/>
        </w:rPr>
        <w:t>年初</w:t>
      </w:r>
      <w:r>
        <w:rPr>
          <w:rFonts w:hint="eastAsia" w:ascii="仿宋" w:hAnsi="仿宋" w:eastAsia="仿宋" w:cs="仿宋"/>
          <w:sz w:val="32"/>
          <w:szCs w:val="32"/>
          <w:highlight w:val="none"/>
        </w:rPr>
        <w:t>预算总额为</w:t>
      </w:r>
      <w:r>
        <w:rPr>
          <w:rFonts w:hint="eastAsia" w:ascii="仿宋" w:hAnsi="仿宋" w:eastAsia="仿宋" w:cs="仿宋"/>
          <w:sz w:val="32"/>
          <w:szCs w:val="32"/>
          <w:highlight w:val="none"/>
          <w:lang w:val="en-US" w:eastAsia="zh-CN"/>
        </w:rPr>
        <w:t>732.88</w:t>
      </w:r>
      <w:r>
        <w:rPr>
          <w:rFonts w:hint="eastAsia" w:ascii="仿宋" w:hAnsi="仿宋" w:eastAsia="仿宋" w:cs="仿宋"/>
          <w:sz w:val="32"/>
          <w:szCs w:val="32"/>
          <w:highlight w:val="none"/>
        </w:rPr>
        <w:t>万元，年中调增预算总额为</w:t>
      </w:r>
      <w:r>
        <w:rPr>
          <w:rFonts w:hint="eastAsia" w:ascii="仿宋" w:hAnsi="仿宋" w:eastAsia="仿宋" w:cs="仿宋"/>
          <w:sz w:val="32"/>
          <w:szCs w:val="32"/>
          <w:highlight w:val="none"/>
          <w:lang w:val="en-US" w:eastAsia="zh-CN"/>
        </w:rPr>
        <w:t>74.34</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val="en-US" w:eastAsia="zh-CN"/>
        </w:rPr>
        <w:t>,全年预算</w:t>
      </w:r>
      <w:r>
        <w:rPr>
          <w:rFonts w:hint="eastAsia" w:ascii="仿宋" w:hAnsi="仿宋" w:eastAsia="仿宋" w:cs="仿宋"/>
          <w:sz w:val="32"/>
          <w:szCs w:val="32"/>
          <w:highlight w:val="none"/>
        </w:rPr>
        <w:t>总额为</w:t>
      </w:r>
      <w:r>
        <w:rPr>
          <w:rFonts w:hint="eastAsia" w:ascii="仿宋" w:hAnsi="仿宋" w:eastAsia="仿宋" w:cs="仿宋"/>
          <w:sz w:val="32"/>
          <w:szCs w:val="32"/>
          <w:highlight w:val="none"/>
          <w:lang w:val="en-US" w:eastAsia="zh-CN"/>
        </w:rPr>
        <w:t>807.22</w:t>
      </w:r>
      <w:r>
        <w:rPr>
          <w:rFonts w:hint="eastAsia" w:ascii="仿宋" w:hAnsi="仿宋" w:eastAsia="仿宋" w:cs="仿宋"/>
          <w:sz w:val="32"/>
          <w:szCs w:val="32"/>
          <w:highlight w:val="none"/>
        </w:rPr>
        <w:t>万元，预算调整率为</w:t>
      </w:r>
      <w:r>
        <w:rPr>
          <w:rFonts w:hint="eastAsia" w:ascii="仿宋" w:hAnsi="仿宋" w:eastAsia="仿宋" w:cs="仿宋"/>
          <w:sz w:val="32"/>
          <w:szCs w:val="32"/>
          <w:highlight w:val="none"/>
          <w:lang w:val="en-US" w:eastAsia="zh-CN"/>
        </w:rPr>
        <w:t>10.14</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预算</w:t>
      </w:r>
      <w:r>
        <w:rPr>
          <w:rFonts w:hint="eastAsia" w:ascii="仿宋" w:hAnsi="仿宋" w:eastAsia="仿宋" w:cs="仿宋"/>
          <w:sz w:val="32"/>
          <w:szCs w:val="32"/>
          <w:highlight w:val="none"/>
        </w:rPr>
        <w:t>执行总额为</w:t>
      </w:r>
      <w:r>
        <w:rPr>
          <w:rFonts w:hint="eastAsia" w:ascii="仿宋" w:hAnsi="仿宋" w:eastAsia="仿宋" w:cs="仿宋"/>
          <w:sz w:val="32"/>
          <w:szCs w:val="32"/>
          <w:highlight w:val="none"/>
          <w:lang w:val="en-US" w:eastAsia="zh-CN"/>
        </w:rPr>
        <w:t>807.22</w:t>
      </w:r>
      <w:r>
        <w:rPr>
          <w:rFonts w:hint="eastAsia" w:ascii="仿宋" w:hAnsi="仿宋" w:eastAsia="仿宋" w:cs="仿宋"/>
          <w:sz w:val="32"/>
          <w:szCs w:val="32"/>
          <w:highlight w:val="none"/>
        </w:rPr>
        <w:t>万元，预算执行率</w:t>
      </w:r>
      <w:r>
        <w:rPr>
          <w:rFonts w:hint="eastAsia" w:ascii="仿宋" w:hAnsi="仿宋" w:eastAsia="仿宋" w:cs="仿宋"/>
          <w:sz w:val="32"/>
          <w:szCs w:val="32"/>
          <w:highlight w:val="none"/>
          <w:lang w:val="en-US" w:eastAsia="zh-CN"/>
        </w:rPr>
        <w:t>100</w:t>
      </w:r>
      <w:r>
        <w:rPr>
          <w:rFonts w:hint="eastAsia" w:ascii="仿宋" w:hAnsi="仿宋" w:eastAsia="仿宋" w:cs="仿宋"/>
          <w:sz w:val="32"/>
          <w:szCs w:val="32"/>
          <w:highlight w:val="none"/>
        </w:rPr>
        <w:t>%。</w:t>
      </w:r>
    </w:p>
    <w:p w14:paraId="2BBB1156">
      <w:pPr>
        <w:keepNext w:val="0"/>
        <w:keepLines w:val="0"/>
        <w:pageBreakBefore w:val="0"/>
        <w:kinsoku/>
        <w:wordWrap/>
        <w:overflowPunct/>
        <w:topLinePunct w:val="0"/>
        <w:autoSpaceDE/>
        <w:autoSpaceDN/>
        <w:bidi w:val="0"/>
        <w:adjustRightInd/>
        <w:spacing w:line="520" w:lineRule="exact"/>
        <w:ind w:firstLine="579" w:firstLineChars="181"/>
        <w:jc w:val="both"/>
        <w:rPr>
          <w:rStyle w:val="8"/>
          <w:rFonts w:hint="eastAsia" w:ascii="Times New Roman" w:hAnsi="Times New Roman" w:eastAsia="方正仿宋_GBK" w:cs="仿宋_GB2312"/>
          <w:b w:val="0"/>
          <w:sz w:val="32"/>
          <w:szCs w:val="32"/>
          <w:lang w:bidi="ar"/>
        </w:rPr>
      </w:pPr>
      <w:r>
        <w:rPr>
          <w:rStyle w:val="8"/>
          <w:rFonts w:hint="eastAsia" w:ascii="Times New Roman" w:hAnsi="Times New Roman" w:eastAsia="方正仿宋_GBK"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3BC57743">
      <w:pPr>
        <w:pStyle w:val="5"/>
        <w:rPr>
          <w:rFonts w:hint="eastAsia"/>
        </w:rPr>
      </w:pPr>
    </w:p>
    <w:p w14:paraId="5CDE5252">
      <w:pPr>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firstLine="643" w:firstLineChars="200"/>
        <w:jc w:val="left"/>
        <w:textAlignment w:val="auto"/>
        <w:outlineLvl w:val="1"/>
        <w:rPr>
          <w:rFonts w:hint="eastAsia" w:ascii="仿宋" w:hAnsi="仿宋" w:eastAsia="仿宋" w:cs="仿宋"/>
          <w:b/>
          <w:bCs/>
          <w:color w:val="000000" w:themeColor="text1"/>
          <w:sz w:val="32"/>
          <w:szCs w:val="32"/>
          <w:lang w:bidi="ar"/>
          <w14:textFill>
            <w14:solidFill>
              <w14:schemeClr w14:val="tx1"/>
            </w14:solidFill>
          </w14:textFill>
        </w:rPr>
      </w:pPr>
      <w:r>
        <w:rPr>
          <w:rFonts w:hint="eastAsia" w:ascii="仿宋" w:hAnsi="仿宋" w:eastAsia="仿宋" w:cs="仿宋"/>
          <w:b/>
          <w:bCs/>
          <w:color w:val="000000" w:themeColor="text1"/>
          <w:sz w:val="32"/>
          <w:szCs w:val="32"/>
          <w:lang w:val="en-US" w:eastAsia="zh-CN" w:bidi="ar"/>
          <w14:textFill>
            <w14:solidFill>
              <w14:schemeClr w14:val="tx1"/>
            </w14:solidFill>
          </w14:textFill>
        </w:rPr>
        <w:t>项目</w:t>
      </w:r>
      <w:r>
        <w:rPr>
          <w:rFonts w:hint="eastAsia" w:ascii="仿宋" w:hAnsi="仿宋" w:eastAsia="仿宋" w:cs="仿宋"/>
          <w:b/>
          <w:bCs/>
          <w:color w:val="000000" w:themeColor="text1"/>
          <w:sz w:val="32"/>
          <w:szCs w:val="32"/>
          <w:lang w:bidi="ar"/>
          <w14:textFill>
            <w14:solidFill>
              <w14:schemeClr w14:val="tx1"/>
            </w14:solidFill>
          </w14:textFill>
        </w:rPr>
        <w:t>支出管理和使用情况</w:t>
      </w:r>
    </w:p>
    <w:p w14:paraId="779D967B">
      <w:pPr>
        <w:keepNext w:val="0"/>
        <w:keepLines w:val="0"/>
        <w:pageBreakBefore w:val="0"/>
        <w:kinsoku/>
        <w:wordWrap/>
        <w:overflowPunct/>
        <w:topLinePunct w:val="0"/>
        <w:autoSpaceDE/>
        <w:autoSpaceDN/>
        <w:bidi w:val="0"/>
        <w:adjustRightInd/>
        <w:spacing w:line="520" w:lineRule="exact"/>
        <w:ind w:firstLine="567" w:firstLineChars="181"/>
        <w:jc w:val="both"/>
        <w:rPr>
          <w:rStyle w:val="8"/>
          <w:rFonts w:ascii="Times New Roman" w:hAnsi="Times New Roman" w:eastAsia="方正仿宋_GBK" w:cs="Times New Roman"/>
          <w:spacing w:val="-4"/>
          <w:sz w:val="32"/>
          <w:szCs w:val="32"/>
        </w:rPr>
      </w:pPr>
      <w:r>
        <w:rPr>
          <w:rStyle w:val="8"/>
          <w:rFonts w:hint="eastAsia" w:ascii="Times New Roman" w:hAnsi="Times New Roman" w:eastAsia="方正仿宋_GBK" w:cs="Times New Roman"/>
          <w:spacing w:val="-4"/>
          <w:sz w:val="32"/>
          <w:szCs w:val="32"/>
        </w:rPr>
        <w:t>1.项目管理情况</w:t>
      </w:r>
    </w:p>
    <w:p w14:paraId="793D54DB">
      <w:pPr>
        <w:pStyle w:val="10"/>
        <w:keepNext w:val="0"/>
        <w:keepLines w:val="0"/>
        <w:pageBreakBefore w:val="0"/>
        <w:kinsoku/>
        <w:wordWrap/>
        <w:overflowPunct/>
        <w:topLinePunct w:val="0"/>
        <w:autoSpaceDE/>
        <w:autoSpaceDN/>
        <w:bidi w:val="0"/>
        <w:adjustRightInd/>
        <w:snapToGrid w:val="0"/>
        <w:spacing w:line="520" w:lineRule="exact"/>
        <w:ind w:firstLine="641"/>
        <w:jc w:val="both"/>
        <w:rPr>
          <w:rStyle w:val="8"/>
          <w:rFonts w:ascii="Times New Roman" w:hAnsi="Times New Roman" w:eastAsia="方正仿宋_GBK" w:cs="仿宋_GB2312"/>
          <w:b w:val="0"/>
          <w:sz w:val="32"/>
          <w:szCs w:val="32"/>
          <w:lang w:bidi="ar"/>
        </w:rPr>
      </w:pPr>
      <w:r>
        <w:rPr>
          <w:rStyle w:val="8"/>
          <w:rFonts w:hint="eastAsia" w:ascii="仿宋_GB2312" w:hAnsi="仿宋_GB2312" w:eastAsia="仿宋_GB2312" w:cs="仿宋_GB2312"/>
          <w:color w:val="333333"/>
          <w:sz w:val="32"/>
          <w:szCs w:val="32"/>
          <w:lang w:bidi="ar"/>
        </w:rPr>
        <w:t>（</w:t>
      </w:r>
      <w:r>
        <w:rPr>
          <w:rStyle w:val="8"/>
          <w:rFonts w:hint="eastAsia" w:ascii="宋体" w:hAnsi="宋体" w:eastAsia="宋体" w:cs="宋体"/>
          <w:color w:val="333333"/>
          <w:sz w:val="32"/>
          <w:szCs w:val="32"/>
          <w:lang w:bidi="ar"/>
        </w:rPr>
        <w:t>1）</w:t>
      </w:r>
      <w:r>
        <w:rPr>
          <w:rStyle w:val="8"/>
          <w:rFonts w:hint="eastAsia" w:ascii="Times New Roman" w:hAnsi="Times New Roman" w:eastAsia="方正仿宋_GBK" w:cs="仿宋_GB2312"/>
          <w:b w:val="0"/>
          <w:sz w:val="32"/>
          <w:szCs w:val="32"/>
          <w:lang w:bidi="ar"/>
        </w:rPr>
        <w:t>管理制度健全性</w:t>
      </w:r>
    </w:p>
    <w:p w14:paraId="6BF44B3D">
      <w:pPr>
        <w:pStyle w:val="10"/>
        <w:keepNext w:val="0"/>
        <w:keepLines w:val="0"/>
        <w:pageBreakBefore w:val="0"/>
        <w:kinsoku/>
        <w:wordWrap/>
        <w:overflowPunct/>
        <w:topLinePunct w:val="0"/>
        <w:autoSpaceDE/>
        <w:autoSpaceDN/>
        <w:bidi w:val="0"/>
        <w:adjustRightInd/>
        <w:snapToGrid w:val="0"/>
        <w:spacing w:line="520" w:lineRule="exact"/>
        <w:ind w:firstLine="640"/>
        <w:jc w:val="both"/>
        <w:rPr>
          <w:rFonts w:hint="eastAsia" w:ascii="方正仿宋_GBK" w:hAnsi="方正仿宋_GBK" w:eastAsia="方正仿宋_GBK" w:cs="方正仿宋_GBK"/>
          <w:sz w:val="32"/>
          <w:szCs w:val="32"/>
          <w:lang w:eastAsia="zh-CN"/>
        </w:rPr>
      </w:pPr>
      <w:r>
        <w:rPr>
          <w:rStyle w:val="8"/>
          <w:rFonts w:hint="eastAsia" w:ascii="Times New Roman" w:hAnsi="Times New Roman" w:eastAsia="方正仿宋_GBK" w:cs="仿宋_GB2312"/>
          <w:b w:val="0"/>
          <w:sz w:val="32"/>
          <w:szCs w:val="32"/>
          <w:lang w:bidi="ar"/>
        </w:rPr>
        <w:t>本</w:t>
      </w:r>
      <w:r>
        <w:rPr>
          <w:rFonts w:hint="eastAsia" w:ascii="方正仿宋_GBK" w:hAnsi="方正仿宋_GBK" w:eastAsia="方正仿宋_GBK" w:cs="方正仿宋_GBK"/>
          <w:sz w:val="32"/>
          <w:szCs w:val="32"/>
          <w:lang w:eastAsia="zh-CN"/>
        </w:rPr>
        <w:t>单位从预算收支管理、资产管理、政府采购管理、合同管理等方面，健全和完善单位财务管理制度、坚定实施各项内部控制制度；</w:t>
      </w:r>
      <w:r>
        <w:rPr>
          <w:rStyle w:val="8"/>
          <w:rFonts w:hint="eastAsia" w:ascii="Times New Roman" w:hAnsi="Times New Roman" w:eastAsia="方正仿宋_GBK" w:cs="仿宋_GB2312"/>
          <w:b w:val="0"/>
          <w:sz w:val="32"/>
          <w:szCs w:val="32"/>
          <w:lang w:bidi="ar"/>
        </w:rPr>
        <w:t>为加强预算管理，规范财务行为</w:t>
      </w:r>
      <w:r>
        <w:rPr>
          <w:rFonts w:hint="eastAsia" w:ascii="方正仿宋_GBK" w:hAnsi="方正仿宋_GBK" w:eastAsia="方正仿宋_GBK" w:cs="方正仿宋_GBK"/>
          <w:sz w:val="32"/>
          <w:szCs w:val="32"/>
          <w:lang w:eastAsia="zh-CN"/>
        </w:rPr>
        <w:t>，已制定《克州审计局部门单位预算绩效管理工作实施办法》，《克州审计局单位财务管理制度》等健全完整的各项管理制度，有效保障了我单位高效的履行工作职能，较好的促进事业发展。</w:t>
      </w:r>
    </w:p>
    <w:p w14:paraId="793D7A87">
      <w:pPr>
        <w:pStyle w:val="10"/>
        <w:keepNext w:val="0"/>
        <w:keepLines w:val="0"/>
        <w:pageBreakBefore w:val="0"/>
        <w:kinsoku/>
        <w:wordWrap/>
        <w:overflowPunct/>
        <w:topLinePunct w:val="0"/>
        <w:autoSpaceDE/>
        <w:autoSpaceDN/>
        <w:bidi w:val="0"/>
        <w:adjustRightInd/>
        <w:snapToGrid w:val="0"/>
        <w:spacing w:line="520" w:lineRule="exact"/>
        <w:ind w:firstLine="640"/>
        <w:jc w:val="both"/>
        <w:rPr>
          <w:rStyle w:val="8"/>
          <w:rFonts w:ascii="Times New Roman" w:hAnsi="Times New Roman" w:eastAsia="方正仿宋_GBK" w:cs="仿宋_GB2312"/>
          <w:b w:val="0"/>
          <w:sz w:val="32"/>
          <w:szCs w:val="32"/>
          <w:lang w:bidi="ar"/>
        </w:rPr>
      </w:pPr>
      <w:r>
        <w:rPr>
          <w:rStyle w:val="8"/>
          <w:rFonts w:hint="eastAsia" w:ascii="Times New Roman" w:hAnsi="Times New Roman" w:eastAsia="方正仿宋_GBK" w:cs="仿宋_GB2312"/>
          <w:b w:val="0"/>
          <w:sz w:val="32"/>
          <w:szCs w:val="32"/>
          <w:lang w:bidi="ar"/>
        </w:rPr>
        <w:t>（2）资金使用合规性和安全性</w:t>
      </w:r>
    </w:p>
    <w:p w14:paraId="24D8133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Style w:val="8"/>
          <w:rFonts w:ascii="Times New Roman" w:hAnsi="Times New Roman" w:eastAsia="方正仿宋_GBK" w:cs="仿宋_GB2312"/>
          <w:b w:val="0"/>
          <w:sz w:val="32"/>
          <w:szCs w:val="32"/>
          <w:highlight w:val="yellow"/>
          <w:lang w:bidi="ar"/>
        </w:rPr>
      </w:pPr>
      <w:r>
        <w:rPr>
          <w:rStyle w:val="8"/>
          <w:rFonts w:hint="eastAsia" w:ascii="Times New Roman" w:hAnsi="Times New Roman" w:eastAsia="方正仿宋_GBK" w:cs="仿宋_GB2312"/>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38E86B87">
      <w:pPr>
        <w:keepNext w:val="0"/>
        <w:keepLines w:val="0"/>
        <w:pageBreakBefore w:val="0"/>
        <w:kinsoku/>
        <w:wordWrap/>
        <w:overflowPunct/>
        <w:topLinePunct w:val="0"/>
        <w:autoSpaceDE/>
        <w:autoSpaceDN/>
        <w:bidi w:val="0"/>
        <w:adjustRightInd/>
        <w:spacing w:line="520" w:lineRule="exact"/>
        <w:ind w:firstLine="567" w:firstLineChars="181"/>
        <w:jc w:val="both"/>
        <w:rPr>
          <w:rFonts w:hint="eastAsia"/>
          <w:lang w:eastAsia="zh-CN"/>
        </w:rPr>
      </w:pPr>
      <w:r>
        <w:rPr>
          <w:rStyle w:val="8"/>
          <w:rFonts w:hint="eastAsia" w:ascii="Times New Roman" w:hAnsi="Times New Roman" w:eastAsia="方正仿宋_GBK" w:cs="Times New Roman"/>
          <w:spacing w:val="-4"/>
          <w:sz w:val="32"/>
          <w:szCs w:val="32"/>
        </w:rPr>
        <w:t>2.项目使用情况</w:t>
      </w:r>
    </w:p>
    <w:p w14:paraId="4D5E7E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2023年</w:t>
      </w:r>
      <w:r>
        <w:rPr>
          <w:rFonts w:hint="eastAsia" w:ascii="仿宋" w:hAnsi="仿宋" w:eastAsia="仿宋" w:cs="仿宋"/>
          <w:color w:val="auto"/>
          <w:sz w:val="32"/>
          <w:szCs w:val="32"/>
        </w:rPr>
        <w:t>度本单位项目支出预算总额为</w:t>
      </w:r>
      <w:r>
        <w:rPr>
          <w:rFonts w:hint="eastAsia" w:ascii="仿宋" w:hAnsi="仿宋" w:eastAsia="仿宋" w:cs="仿宋"/>
          <w:color w:val="auto"/>
          <w:sz w:val="32"/>
          <w:szCs w:val="32"/>
          <w:lang w:val="en-US" w:eastAsia="zh-CN"/>
        </w:rPr>
        <w:t>12.65</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本级追加项目预算数合计285.97万元</w:t>
      </w:r>
      <w:r>
        <w:rPr>
          <w:rFonts w:hint="eastAsia" w:ascii="仿宋" w:hAnsi="仿宋" w:eastAsia="仿宋" w:cs="仿宋"/>
          <w:color w:val="auto"/>
          <w:sz w:val="32"/>
          <w:szCs w:val="32"/>
        </w:rPr>
        <w:t>，实际执行资总额为</w:t>
      </w:r>
      <w:r>
        <w:rPr>
          <w:rFonts w:hint="eastAsia" w:ascii="仿宋" w:hAnsi="仿宋" w:eastAsia="仿宋" w:cs="仿宋"/>
          <w:color w:val="auto"/>
          <w:sz w:val="32"/>
          <w:szCs w:val="32"/>
          <w:lang w:val="en-US" w:eastAsia="zh-CN"/>
        </w:rPr>
        <w:t>225.11</w:t>
      </w:r>
      <w:r>
        <w:rPr>
          <w:rFonts w:hint="eastAsia" w:ascii="仿宋" w:hAnsi="仿宋" w:eastAsia="仿宋" w:cs="仿宋"/>
          <w:color w:val="auto"/>
          <w:sz w:val="32"/>
          <w:szCs w:val="32"/>
        </w:rPr>
        <w:t>万元，预算执行率为</w:t>
      </w:r>
      <w:r>
        <w:rPr>
          <w:rFonts w:hint="eastAsia" w:ascii="仿宋" w:hAnsi="仿宋" w:eastAsia="仿宋" w:cs="仿宋"/>
          <w:color w:val="auto"/>
          <w:sz w:val="32"/>
          <w:szCs w:val="32"/>
          <w:lang w:val="en-US" w:eastAsia="zh-CN"/>
        </w:rPr>
        <w:t>75.38</w:t>
      </w:r>
      <w:r>
        <w:rPr>
          <w:rFonts w:hint="eastAsia" w:ascii="仿宋" w:hAnsi="仿宋" w:eastAsia="仿宋" w:cs="仿宋"/>
          <w:color w:val="auto"/>
          <w:sz w:val="32"/>
          <w:szCs w:val="32"/>
        </w:rPr>
        <w:t>%。</w:t>
      </w:r>
    </w:p>
    <w:p w14:paraId="28CF7D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本级财力预算安排支出管理和使用情况</w:t>
      </w:r>
    </w:p>
    <w:p w14:paraId="2734DF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2023年度预算安排本级财力资金</w:t>
      </w:r>
      <w:r>
        <w:rPr>
          <w:rFonts w:hint="eastAsia" w:ascii="仿宋" w:hAnsi="仿宋" w:eastAsia="仿宋" w:cs="仿宋"/>
          <w:color w:val="auto"/>
          <w:sz w:val="32"/>
          <w:szCs w:val="32"/>
          <w:lang w:val="en-US" w:eastAsia="zh-CN"/>
        </w:rPr>
        <w:t>12.65</w:t>
      </w:r>
      <w:r>
        <w:rPr>
          <w:rFonts w:hint="eastAsia" w:ascii="仿宋" w:hAnsi="仿宋" w:eastAsia="仿宋" w:cs="仿宋"/>
          <w:color w:val="auto"/>
          <w:sz w:val="32"/>
          <w:szCs w:val="32"/>
        </w:rPr>
        <w:t>万元，实际支出资金额</w:t>
      </w:r>
      <w:r>
        <w:rPr>
          <w:rFonts w:hint="eastAsia" w:ascii="仿宋" w:hAnsi="仿宋" w:eastAsia="仿宋" w:cs="仿宋"/>
          <w:color w:val="auto"/>
          <w:sz w:val="32"/>
          <w:szCs w:val="32"/>
          <w:lang w:val="en-US" w:eastAsia="zh-CN"/>
        </w:rPr>
        <w:t>12.65</w:t>
      </w:r>
      <w:r>
        <w:rPr>
          <w:rFonts w:hint="eastAsia" w:ascii="仿宋" w:hAnsi="仿宋" w:eastAsia="仿宋" w:cs="仿宋"/>
          <w:color w:val="auto"/>
          <w:sz w:val="32"/>
          <w:szCs w:val="32"/>
        </w:rPr>
        <w:t>万元，预算执行率为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%，涉及项目个数</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个。各项目详细执行情况如下：</w:t>
      </w:r>
    </w:p>
    <w:p w14:paraId="7F5971AD">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2023年度乡村振兴专项审计项目：预算数12.65万元，预算执行数为12.65万元，预算执行率为100%</w:t>
      </w:r>
    </w:p>
    <w:p w14:paraId="723960A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 w:hAnsi="仿宋" w:eastAsia="仿宋" w:cs="仿宋"/>
          <w:color w:val="auto"/>
          <w:sz w:val="32"/>
          <w:szCs w:val="32"/>
          <w:highlight w:val="none"/>
        </w:rPr>
      </w:pPr>
      <w:r>
        <w:rPr>
          <w:rFonts w:hint="eastAsia" w:ascii="仿宋" w:hAnsi="仿宋" w:eastAsia="仿宋" w:cs="仿宋"/>
          <w:b w:val="0"/>
          <w:bCs w:val="0"/>
          <w:color w:val="auto"/>
          <w:sz w:val="32"/>
          <w:szCs w:val="32"/>
          <w:highlight w:val="none"/>
          <w:lang w:val="en-US" w:eastAsia="zh-CN" w:bidi="ar"/>
        </w:rPr>
        <w:t>（2）专项支出</w:t>
      </w:r>
      <w:r>
        <w:rPr>
          <w:rFonts w:hint="eastAsia" w:ascii="仿宋" w:hAnsi="仿宋" w:eastAsia="仿宋" w:cs="仿宋"/>
          <w:color w:val="auto"/>
          <w:sz w:val="32"/>
          <w:szCs w:val="32"/>
          <w:highlight w:val="none"/>
        </w:rPr>
        <w:t>管理和使用情况</w:t>
      </w:r>
    </w:p>
    <w:p w14:paraId="1CD585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lang w:eastAsia="zh-CN"/>
        </w:rPr>
        <w:t>2023年</w:t>
      </w:r>
      <w:r>
        <w:rPr>
          <w:rFonts w:hint="eastAsia" w:ascii="仿宋" w:hAnsi="仿宋" w:eastAsia="仿宋" w:cs="仿宋"/>
          <w:color w:val="auto"/>
          <w:sz w:val="32"/>
          <w:szCs w:val="32"/>
          <w:highlight w:val="none"/>
        </w:rPr>
        <w:t>度预算安排专项资金</w:t>
      </w:r>
      <w:r>
        <w:rPr>
          <w:rFonts w:hint="eastAsia" w:ascii="仿宋" w:hAnsi="仿宋" w:eastAsia="仿宋" w:cs="仿宋"/>
          <w:color w:val="auto"/>
          <w:sz w:val="32"/>
          <w:szCs w:val="32"/>
          <w:highlight w:val="none"/>
          <w:lang w:val="en-US" w:eastAsia="zh-CN"/>
        </w:rPr>
        <w:t>工程竣工审计专项项目53.54</w:t>
      </w:r>
      <w:r>
        <w:rPr>
          <w:rFonts w:hint="eastAsia" w:ascii="仿宋" w:hAnsi="仿宋" w:eastAsia="仿宋" w:cs="仿宋"/>
          <w:color w:val="auto"/>
          <w:sz w:val="32"/>
          <w:szCs w:val="32"/>
          <w:highlight w:val="none"/>
        </w:rPr>
        <w:t>万元，实际支出资金</w:t>
      </w:r>
      <w:r>
        <w:rPr>
          <w:rFonts w:hint="eastAsia" w:ascii="仿宋" w:hAnsi="仿宋" w:eastAsia="仿宋" w:cs="仿宋"/>
          <w:color w:val="auto"/>
          <w:sz w:val="32"/>
          <w:szCs w:val="32"/>
          <w:highlight w:val="none"/>
          <w:lang w:val="en-US" w:eastAsia="zh-CN"/>
        </w:rPr>
        <w:t>53.54</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rPr>
        <w:t>预算执行率为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%，涉及项目个数</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个。各项目详细执行情况如下：</w:t>
      </w:r>
    </w:p>
    <w:p w14:paraId="313F8584">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default" w:ascii="仿宋" w:hAnsi="仿宋" w:eastAsia="仿宋" w:cs="仿宋"/>
          <w:sz w:val="32"/>
          <w:szCs w:val="32"/>
          <w:highlight w:val="none"/>
          <w:lang w:val="en-US" w:eastAsia="zh-CN"/>
        </w:rPr>
      </w:pPr>
      <w:r>
        <w:rPr>
          <w:rFonts w:hint="eastAsia" w:ascii="仿宋" w:hAnsi="仿宋" w:eastAsia="仿宋" w:cs="仿宋"/>
          <w:color w:val="auto"/>
          <w:sz w:val="32"/>
          <w:szCs w:val="32"/>
          <w:highlight w:val="none"/>
          <w:lang w:val="en-US" w:eastAsia="zh-CN"/>
        </w:rPr>
        <w:t>克州地质陈列馆工程建设审计项目：预算数22.32</w:t>
      </w:r>
      <w:r>
        <w:rPr>
          <w:rFonts w:hint="eastAsia" w:ascii="仿宋" w:hAnsi="仿宋" w:eastAsia="仿宋" w:cs="仿宋"/>
          <w:sz w:val="32"/>
          <w:szCs w:val="32"/>
          <w:highlight w:val="none"/>
          <w:lang w:val="en-US" w:eastAsia="zh-CN"/>
        </w:rPr>
        <w:t>万元，预算执行数为22.32万元，预算执行率为100%。</w:t>
      </w:r>
    </w:p>
    <w:p w14:paraId="791F111F">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克州公安局反恐实战训练基地建设审计项目：预算数31.22万元，预算执行数为31.22万元，预算执行率为100%。</w:t>
      </w:r>
    </w:p>
    <w:p w14:paraId="4BD32DDF">
      <w:pPr>
        <w:pStyle w:val="5"/>
        <w:rPr>
          <w:rFonts w:hint="default" w:eastAsia="仿宋"/>
          <w:lang w:val="en-US" w:eastAsia="zh-CN"/>
        </w:rPr>
      </w:pPr>
    </w:p>
    <w:p w14:paraId="34BA33D7">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0"/>
        <w:rPr>
          <w:rFonts w:hint="eastAsia" w:ascii="仿宋" w:hAnsi="仿宋" w:eastAsia="仿宋" w:cs="仿宋"/>
          <w:b/>
          <w:bCs/>
          <w:color w:val="000000" w:themeColor="text1"/>
          <w:sz w:val="32"/>
          <w:szCs w:val="32"/>
          <w:lang w:bidi="ar"/>
          <w14:textFill>
            <w14:solidFill>
              <w14:schemeClr w14:val="tx1"/>
            </w14:solidFill>
          </w14:textFill>
        </w:rPr>
      </w:pPr>
      <w:r>
        <w:rPr>
          <w:rFonts w:hint="eastAsia" w:ascii="仿宋" w:hAnsi="仿宋" w:eastAsia="仿宋" w:cs="仿宋"/>
          <w:b/>
          <w:bCs/>
          <w:color w:val="000000" w:themeColor="text1"/>
          <w:sz w:val="32"/>
          <w:szCs w:val="32"/>
          <w:lang w:val="en-US" w:eastAsia="zh-CN" w:bidi="ar"/>
          <w14:textFill>
            <w14:solidFill>
              <w14:schemeClr w14:val="tx1"/>
            </w14:solidFill>
          </w14:textFill>
        </w:rPr>
        <w:t>三</w:t>
      </w:r>
      <w:r>
        <w:rPr>
          <w:rFonts w:hint="eastAsia" w:ascii="仿宋" w:hAnsi="仿宋" w:eastAsia="仿宋" w:cs="仿宋"/>
          <w:b/>
          <w:bCs/>
          <w:color w:val="000000" w:themeColor="text1"/>
          <w:sz w:val="32"/>
          <w:szCs w:val="32"/>
          <w:lang w:bidi="ar"/>
          <w14:textFill>
            <w14:solidFill>
              <w14:schemeClr w14:val="tx1"/>
            </w14:solidFill>
          </w14:textFill>
        </w:rPr>
        <w:t>、部门单位整体支出绩效情况</w:t>
      </w:r>
    </w:p>
    <w:p w14:paraId="292BA5F5">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964" w:firstLineChars="300"/>
        <w:jc w:val="left"/>
        <w:textAlignment w:val="auto"/>
        <w:outlineLvl w:val="1"/>
        <w:rPr>
          <w:rFonts w:hint="eastAsia" w:ascii="仿宋" w:hAnsi="仿宋" w:eastAsia="仿宋" w:cs="仿宋"/>
          <w:b/>
          <w:bCs/>
          <w:color w:val="000000" w:themeColor="text1"/>
          <w:sz w:val="32"/>
          <w:szCs w:val="32"/>
          <w:lang w:bidi="ar"/>
          <w14:textFill>
            <w14:solidFill>
              <w14:schemeClr w14:val="tx1"/>
            </w14:solidFill>
          </w14:textFill>
        </w:rPr>
      </w:pPr>
      <w:r>
        <w:rPr>
          <w:rFonts w:hint="eastAsia" w:ascii="仿宋" w:hAnsi="仿宋" w:eastAsia="仿宋" w:cs="仿宋"/>
          <w:b/>
          <w:bCs/>
          <w:color w:val="000000" w:themeColor="text1"/>
          <w:sz w:val="32"/>
          <w:szCs w:val="32"/>
          <w:lang w:eastAsia="zh-CN" w:bidi="ar"/>
          <w14:textFill>
            <w14:solidFill>
              <w14:schemeClr w14:val="tx1"/>
            </w14:solidFill>
          </w14:textFill>
        </w:rPr>
        <w:t>履职效能</w:t>
      </w:r>
      <w:r>
        <w:rPr>
          <w:rFonts w:hint="eastAsia" w:ascii="仿宋" w:hAnsi="仿宋" w:eastAsia="仿宋" w:cs="仿宋"/>
          <w:b/>
          <w:bCs/>
          <w:color w:val="000000" w:themeColor="text1"/>
          <w:sz w:val="32"/>
          <w:szCs w:val="32"/>
          <w:lang w:bidi="ar"/>
          <w14:textFill>
            <w14:solidFill>
              <w14:schemeClr w14:val="tx1"/>
            </w14:solidFill>
          </w14:textFill>
        </w:rPr>
        <w:t>指标完成情况分析</w:t>
      </w:r>
    </w:p>
    <w:p w14:paraId="675661E2">
      <w:pPr>
        <w:keepNext w:val="0"/>
        <w:keepLines w:val="0"/>
        <w:pageBreakBefore w:val="0"/>
        <w:widowControl w:val="0"/>
        <w:numPr>
          <w:ilvl w:val="0"/>
          <w:numId w:val="2"/>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b w:val="0"/>
          <w:bCs w:val="0"/>
          <w:color w:val="auto"/>
          <w:sz w:val="32"/>
          <w:szCs w:val="32"/>
          <w:lang w:eastAsia="zh-CN" w:bidi="ar"/>
        </w:rPr>
      </w:pPr>
      <w:r>
        <w:rPr>
          <w:rFonts w:hint="eastAsia" w:ascii="仿宋" w:hAnsi="仿宋" w:eastAsia="仿宋" w:cs="仿宋"/>
          <w:b w:val="0"/>
          <w:bCs w:val="0"/>
          <w:color w:val="auto"/>
          <w:sz w:val="32"/>
          <w:szCs w:val="32"/>
          <w:lang w:bidi="ar"/>
        </w:rPr>
        <w:t>“</w:t>
      </w:r>
      <w:r>
        <w:rPr>
          <w:rFonts w:hint="eastAsia" w:ascii="仿宋" w:hAnsi="仿宋" w:eastAsia="仿宋" w:cs="仿宋"/>
          <w:b w:val="0"/>
          <w:bCs w:val="0"/>
          <w:color w:val="auto"/>
          <w:sz w:val="32"/>
          <w:szCs w:val="32"/>
          <w:lang w:val="en-US" w:eastAsia="zh-CN" w:bidi="ar"/>
        </w:rPr>
        <w:t>2023年度审计项目（个）</w:t>
      </w:r>
      <w:r>
        <w:rPr>
          <w:rFonts w:hint="eastAsia" w:ascii="仿宋" w:hAnsi="仿宋" w:eastAsia="仿宋" w:cs="仿宋"/>
          <w:b w:val="0"/>
          <w:bCs w:val="0"/>
          <w:color w:val="auto"/>
          <w:sz w:val="32"/>
          <w:szCs w:val="32"/>
          <w:lang w:bidi="ar"/>
        </w:rPr>
        <w:t>”指标：预期指标值为</w:t>
      </w:r>
      <w:r>
        <w:rPr>
          <w:rFonts w:hint="eastAsia" w:ascii="仿宋" w:hAnsi="仿宋" w:eastAsia="仿宋" w:cs="仿宋"/>
          <w:b w:val="0"/>
          <w:bCs w:val="0"/>
          <w:color w:val="auto"/>
          <w:sz w:val="32"/>
          <w:szCs w:val="32"/>
          <w:lang w:val="en-US" w:eastAsia="zh-CN" w:bidi="ar"/>
        </w:rPr>
        <w:t>≥25</w:t>
      </w:r>
      <w:r>
        <w:rPr>
          <w:rFonts w:hint="eastAsia" w:ascii="仿宋" w:hAnsi="仿宋" w:eastAsia="仿宋" w:cs="仿宋"/>
          <w:b w:val="0"/>
          <w:bCs w:val="0"/>
          <w:color w:val="auto"/>
          <w:sz w:val="32"/>
          <w:szCs w:val="32"/>
          <w:lang w:eastAsia="zh-CN" w:bidi="ar"/>
        </w:rPr>
        <w:t>个</w:t>
      </w:r>
      <w:r>
        <w:rPr>
          <w:rFonts w:hint="eastAsia" w:ascii="仿宋" w:hAnsi="仿宋" w:eastAsia="仿宋" w:cs="仿宋"/>
          <w:b w:val="0"/>
          <w:bCs w:val="0"/>
          <w:color w:val="auto"/>
          <w:sz w:val="32"/>
          <w:szCs w:val="32"/>
          <w:lang w:bidi="ar"/>
        </w:rPr>
        <w:t>，实际完成指标值为</w:t>
      </w:r>
      <w:r>
        <w:rPr>
          <w:rFonts w:hint="eastAsia" w:ascii="仿宋" w:hAnsi="仿宋" w:eastAsia="仿宋" w:cs="仿宋"/>
          <w:b w:val="0"/>
          <w:bCs w:val="0"/>
          <w:color w:val="auto"/>
          <w:sz w:val="32"/>
          <w:szCs w:val="32"/>
          <w:lang w:val="en-US" w:eastAsia="zh-CN" w:bidi="ar"/>
        </w:rPr>
        <w:t>25</w:t>
      </w:r>
      <w:r>
        <w:rPr>
          <w:rFonts w:hint="eastAsia" w:ascii="仿宋" w:hAnsi="仿宋" w:eastAsia="仿宋" w:cs="仿宋"/>
          <w:b w:val="0"/>
          <w:bCs w:val="0"/>
          <w:color w:val="auto"/>
          <w:sz w:val="32"/>
          <w:szCs w:val="32"/>
          <w:lang w:bidi="ar"/>
        </w:rPr>
        <w:t>件，指标完成率为100%</w:t>
      </w:r>
      <w:r>
        <w:rPr>
          <w:rFonts w:hint="eastAsia" w:ascii="仿宋" w:hAnsi="仿宋" w:eastAsia="仿宋" w:cs="仿宋"/>
          <w:b w:val="0"/>
          <w:bCs w:val="0"/>
          <w:color w:val="auto"/>
          <w:sz w:val="32"/>
          <w:szCs w:val="32"/>
          <w:lang w:eastAsia="zh-CN" w:bidi="ar"/>
        </w:rPr>
        <w:t>。</w:t>
      </w:r>
    </w:p>
    <w:p w14:paraId="0EB542D1">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b w:val="0"/>
          <w:bCs w:val="0"/>
          <w:i w:val="0"/>
          <w:iCs w:val="0"/>
          <w:color w:val="auto"/>
          <w:kern w:val="2"/>
          <w:sz w:val="32"/>
          <w:szCs w:val="32"/>
          <w:lang w:val="en-US" w:eastAsia="zh-CN" w:bidi="ar"/>
        </w:rPr>
      </w:pPr>
      <w:r>
        <w:rPr>
          <w:rFonts w:hint="eastAsia" w:ascii="仿宋" w:hAnsi="仿宋" w:eastAsia="仿宋" w:cs="仿宋"/>
          <w:b w:val="0"/>
          <w:bCs w:val="0"/>
          <w:i w:val="0"/>
          <w:iCs w:val="0"/>
          <w:color w:val="auto"/>
          <w:kern w:val="2"/>
          <w:sz w:val="32"/>
          <w:szCs w:val="32"/>
          <w:lang w:val="en-US" w:eastAsia="zh-CN" w:bidi="ar"/>
        </w:rPr>
        <w:t>（2）</w:t>
      </w:r>
      <w:r>
        <w:rPr>
          <w:rFonts w:hint="eastAsia" w:ascii="仿宋" w:hAnsi="仿宋" w:eastAsia="仿宋" w:cs="仿宋"/>
          <w:b w:val="0"/>
          <w:bCs w:val="0"/>
          <w:color w:val="auto"/>
          <w:sz w:val="32"/>
          <w:szCs w:val="32"/>
          <w:lang w:bidi="ar"/>
        </w:rPr>
        <w:t>“</w:t>
      </w:r>
      <w:r>
        <w:rPr>
          <w:rFonts w:hint="eastAsia" w:ascii="仿宋" w:hAnsi="仿宋" w:eastAsia="仿宋" w:cs="仿宋"/>
          <w:b w:val="0"/>
          <w:bCs w:val="0"/>
          <w:color w:val="auto"/>
          <w:sz w:val="32"/>
          <w:szCs w:val="32"/>
          <w:lang w:val="en-US" w:eastAsia="zh-CN" w:bidi="ar"/>
        </w:rPr>
        <w:t>被审计单位对审计建议采纳比例（%）</w:t>
      </w:r>
      <w:r>
        <w:rPr>
          <w:rFonts w:hint="eastAsia" w:ascii="仿宋" w:hAnsi="仿宋" w:eastAsia="仿宋" w:cs="仿宋"/>
          <w:b w:val="0"/>
          <w:bCs w:val="0"/>
          <w:color w:val="auto"/>
          <w:sz w:val="32"/>
          <w:szCs w:val="32"/>
          <w:lang w:bidi="ar"/>
        </w:rPr>
        <w:t>”指标：预期指标值为</w:t>
      </w:r>
      <w:r>
        <w:rPr>
          <w:rFonts w:hint="eastAsia" w:ascii="仿宋" w:hAnsi="仿宋" w:eastAsia="仿宋" w:cs="仿宋"/>
          <w:b w:val="0"/>
          <w:bCs w:val="0"/>
          <w:color w:val="auto"/>
          <w:sz w:val="32"/>
          <w:szCs w:val="32"/>
          <w:lang w:val="en-US" w:eastAsia="zh-CN" w:bidi="ar"/>
        </w:rPr>
        <w:t>≥95%</w:t>
      </w:r>
      <w:r>
        <w:rPr>
          <w:rFonts w:hint="eastAsia" w:ascii="仿宋" w:hAnsi="仿宋" w:eastAsia="仿宋" w:cs="仿宋"/>
          <w:b w:val="0"/>
          <w:bCs w:val="0"/>
          <w:color w:val="auto"/>
          <w:sz w:val="32"/>
          <w:szCs w:val="32"/>
          <w:lang w:bidi="ar"/>
        </w:rPr>
        <w:t>，实际完成指标值为</w:t>
      </w:r>
      <w:r>
        <w:rPr>
          <w:rFonts w:hint="eastAsia" w:ascii="仿宋" w:hAnsi="仿宋" w:eastAsia="仿宋" w:cs="仿宋"/>
          <w:b w:val="0"/>
          <w:bCs w:val="0"/>
          <w:color w:val="auto"/>
          <w:sz w:val="32"/>
          <w:szCs w:val="32"/>
          <w:lang w:val="en-US" w:eastAsia="zh-CN" w:bidi="ar"/>
        </w:rPr>
        <w:t>95%</w:t>
      </w:r>
      <w:r>
        <w:rPr>
          <w:rFonts w:hint="eastAsia" w:ascii="仿宋" w:hAnsi="仿宋" w:eastAsia="仿宋" w:cs="仿宋"/>
          <w:b w:val="0"/>
          <w:bCs w:val="0"/>
          <w:color w:val="auto"/>
          <w:sz w:val="32"/>
          <w:szCs w:val="32"/>
          <w:lang w:bidi="ar"/>
        </w:rPr>
        <w:t>，指标完成率为100%</w:t>
      </w:r>
      <w:r>
        <w:rPr>
          <w:rFonts w:hint="eastAsia" w:ascii="仿宋" w:hAnsi="仿宋" w:eastAsia="仿宋" w:cs="仿宋"/>
          <w:b w:val="0"/>
          <w:bCs w:val="0"/>
          <w:color w:val="auto"/>
          <w:sz w:val="32"/>
          <w:szCs w:val="32"/>
          <w:lang w:eastAsia="zh-CN" w:bidi="ar"/>
        </w:rPr>
        <w:t>。</w:t>
      </w:r>
    </w:p>
    <w:p w14:paraId="33AA00E9">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b w:val="0"/>
          <w:bCs w:val="0"/>
          <w:color w:val="auto"/>
          <w:sz w:val="32"/>
          <w:szCs w:val="32"/>
          <w:lang w:bidi="ar"/>
        </w:rPr>
      </w:pPr>
      <w:r>
        <w:rPr>
          <w:rFonts w:hint="eastAsia" w:ascii="仿宋" w:hAnsi="仿宋" w:eastAsia="仿宋" w:cs="仿宋"/>
          <w:b w:val="0"/>
          <w:bCs w:val="0"/>
          <w:i w:val="0"/>
          <w:iCs w:val="0"/>
          <w:color w:val="auto"/>
          <w:kern w:val="2"/>
          <w:sz w:val="32"/>
          <w:szCs w:val="32"/>
          <w:lang w:val="en-US" w:eastAsia="zh-CN" w:bidi="ar"/>
        </w:rPr>
        <w:t>（3）</w:t>
      </w:r>
      <w:r>
        <w:rPr>
          <w:rFonts w:hint="eastAsia" w:ascii="仿宋" w:hAnsi="仿宋" w:eastAsia="仿宋" w:cs="仿宋"/>
          <w:b w:val="0"/>
          <w:bCs w:val="0"/>
          <w:color w:val="auto"/>
          <w:sz w:val="32"/>
          <w:szCs w:val="32"/>
          <w:lang w:bidi="ar"/>
        </w:rPr>
        <w:t>“</w:t>
      </w:r>
      <w:r>
        <w:rPr>
          <w:rFonts w:hint="eastAsia" w:ascii="仿宋" w:hAnsi="仿宋" w:eastAsia="仿宋" w:cs="仿宋"/>
          <w:b w:val="0"/>
          <w:bCs w:val="0"/>
          <w:color w:val="auto"/>
          <w:sz w:val="32"/>
          <w:szCs w:val="32"/>
          <w:lang w:val="en-US" w:eastAsia="zh-CN" w:bidi="ar"/>
        </w:rPr>
        <w:t>审计项目按时完成率（%）</w:t>
      </w:r>
      <w:r>
        <w:rPr>
          <w:rFonts w:hint="eastAsia" w:ascii="仿宋" w:hAnsi="仿宋" w:eastAsia="仿宋" w:cs="仿宋"/>
          <w:b w:val="0"/>
          <w:bCs w:val="0"/>
          <w:color w:val="auto"/>
          <w:sz w:val="32"/>
          <w:szCs w:val="32"/>
          <w:lang w:bidi="ar"/>
        </w:rPr>
        <w:t>”指标：预期指标值为</w:t>
      </w:r>
      <w:r>
        <w:rPr>
          <w:rFonts w:hint="eastAsia" w:ascii="仿宋" w:hAnsi="仿宋" w:eastAsia="仿宋" w:cs="仿宋"/>
          <w:b w:val="0"/>
          <w:bCs w:val="0"/>
          <w:color w:val="auto"/>
          <w:sz w:val="32"/>
          <w:szCs w:val="32"/>
          <w:lang w:val="en-US" w:eastAsia="zh-CN" w:bidi="ar"/>
        </w:rPr>
        <w:t>≥95%</w:t>
      </w:r>
      <w:r>
        <w:rPr>
          <w:rFonts w:hint="eastAsia" w:ascii="仿宋" w:hAnsi="仿宋" w:eastAsia="仿宋" w:cs="仿宋"/>
          <w:b w:val="0"/>
          <w:bCs w:val="0"/>
          <w:color w:val="auto"/>
          <w:sz w:val="32"/>
          <w:szCs w:val="32"/>
          <w:lang w:bidi="ar"/>
        </w:rPr>
        <w:t>，实际完成指标值为</w:t>
      </w:r>
      <w:r>
        <w:rPr>
          <w:rFonts w:hint="eastAsia" w:ascii="仿宋" w:hAnsi="仿宋" w:eastAsia="仿宋" w:cs="仿宋"/>
          <w:b w:val="0"/>
          <w:bCs w:val="0"/>
          <w:color w:val="auto"/>
          <w:sz w:val="32"/>
          <w:szCs w:val="32"/>
          <w:lang w:val="en-US" w:eastAsia="zh-CN" w:bidi="ar"/>
        </w:rPr>
        <w:t>95%</w:t>
      </w:r>
      <w:r>
        <w:rPr>
          <w:rFonts w:hint="eastAsia" w:ascii="仿宋" w:hAnsi="仿宋" w:eastAsia="仿宋" w:cs="仿宋"/>
          <w:b w:val="0"/>
          <w:bCs w:val="0"/>
          <w:color w:val="auto"/>
          <w:sz w:val="32"/>
          <w:szCs w:val="32"/>
          <w:lang w:bidi="ar"/>
        </w:rPr>
        <w:t>，指标完成率为100%</w:t>
      </w:r>
      <w:r>
        <w:rPr>
          <w:rFonts w:hint="eastAsia" w:ascii="仿宋" w:hAnsi="仿宋" w:eastAsia="仿宋" w:cs="仿宋"/>
          <w:b w:val="0"/>
          <w:bCs w:val="0"/>
          <w:color w:val="auto"/>
          <w:sz w:val="32"/>
          <w:szCs w:val="32"/>
          <w:lang w:eastAsia="zh-CN" w:bidi="ar"/>
        </w:rPr>
        <w:t>。</w:t>
      </w:r>
    </w:p>
    <w:p w14:paraId="341DEBDC">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0"/>
        <w:rPr>
          <w:rFonts w:hint="eastAsia" w:ascii="仿宋" w:hAnsi="仿宋" w:eastAsia="仿宋" w:cs="仿宋"/>
          <w:b/>
          <w:bCs/>
          <w:color w:val="000000" w:themeColor="text1"/>
          <w:sz w:val="32"/>
          <w:szCs w:val="32"/>
          <w:lang w:val="en-US" w:eastAsia="zh-CN" w:bidi="ar"/>
          <w14:textFill>
            <w14:solidFill>
              <w14:schemeClr w14:val="tx1"/>
            </w14:solidFill>
          </w14:textFill>
        </w:rPr>
      </w:pPr>
      <w:r>
        <w:rPr>
          <w:rFonts w:hint="eastAsia" w:ascii="仿宋" w:hAnsi="仿宋" w:eastAsia="仿宋" w:cs="仿宋"/>
          <w:b/>
          <w:bCs/>
          <w:color w:val="000000" w:themeColor="text1"/>
          <w:sz w:val="32"/>
          <w:szCs w:val="32"/>
          <w:lang w:val="en-US" w:eastAsia="zh-CN" w:bidi="ar"/>
          <w14:textFill>
            <w14:solidFill>
              <w14:schemeClr w14:val="tx1"/>
            </w14:solidFill>
          </w14:textFill>
        </w:rPr>
        <w:t>四、评价结论</w:t>
      </w:r>
    </w:p>
    <w:p w14:paraId="46D982A0">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sz w:val="32"/>
          <w:szCs w:val="32"/>
          <w:lang w:val="en-US" w:eastAsia="zh-CN" w:bidi="ar"/>
        </w:rPr>
      </w:pPr>
      <w:r>
        <w:rPr>
          <w:rFonts w:hint="eastAsia" w:ascii="仿宋" w:hAnsi="仿宋" w:eastAsia="仿宋" w:cs="仿宋"/>
          <w:b w:val="0"/>
          <w:bCs w:val="0"/>
          <w:sz w:val="32"/>
          <w:szCs w:val="32"/>
          <w:lang w:val="en-US" w:eastAsia="zh-CN" w:bidi="ar"/>
        </w:rPr>
        <w:t>2023年度部门整体支出绩效自评综合得分80分，评价结果为“中”。</w:t>
      </w:r>
    </w:p>
    <w:p w14:paraId="7D819890">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0"/>
        <w:rPr>
          <w:rFonts w:hint="eastAsia" w:ascii="仿宋" w:hAnsi="仿宋" w:eastAsia="仿宋" w:cs="仿宋"/>
          <w:b/>
          <w:bCs/>
          <w:color w:val="000000" w:themeColor="text1"/>
          <w:sz w:val="32"/>
          <w:szCs w:val="32"/>
          <w:lang w:val="en-US" w:eastAsia="zh-CN" w:bidi="ar"/>
          <w14:textFill>
            <w14:solidFill>
              <w14:schemeClr w14:val="tx1"/>
            </w14:solidFill>
          </w14:textFill>
        </w:rPr>
      </w:pPr>
      <w:r>
        <w:rPr>
          <w:rFonts w:hint="eastAsia" w:ascii="仿宋" w:hAnsi="仿宋" w:eastAsia="仿宋" w:cs="仿宋"/>
          <w:b/>
          <w:bCs/>
          <w:color w:val="000000" w:themeColor="text1"/>
          <w:sz w:val="32"/>
          <w:szCs w:val="32"/>
          <w:lang w:val="en-US" w:eastAsia="zh-CN" w:bidi="ar"/>
          <w14:textFill>
            <w14:solidFill>
              <w14:schemeClr w14:val="tx1"/>
            </w14:solidFill>
          </w14:textFill>
        </w:rPr>
        <w:t>五</w:t>
      </w:r>
      <w:r>
        <w:rPr>
          <w:rFonts w:hint="eastAsia" w:ascii="仿宋" w:hAnsi="仿宋" w:eastAsia="仿宋" w:cs="仿宋"/>
          <w:b/>
          <w:bCs/>
          <w:color w:val="000000" w:themeColor="text1"/>
          <w:sz w:val="32"/>
          <w:szCs w:val="32"/>
          <w:lang w:bidi="ar"/>
          <w14:textFill>
            <w14:solidFill>
              <w14:schemeClr w14:val="tx1"/>
            </w14:solidFill>
          </w14:textFill>
        </w:rPr>
        <w:t>、存在的主要问</w:t>
      </w:r>
      <w:r>
        <w:rPr>
          <w:rFonts w:hint="eastAsia" w:ascii="仿宋" w:hAnsi="仿宋" w:eastAsia="仿宋" w:cs="仿宋"/>
          <w:b/>
          <w:bCs/>
          <w:color w:val="000000" w:themeColor="text1"/>
          <w:sz w:val="32"/>
          <w:szCs w:val="32"/>
          <w:lang w:val="en-US" w:eastAsia="zh-CN" w:bidi="ar"/>
          <w14:textFill>
            <w14:solidFill>
              <w14:schemeClr w14:val="tx1"/>
            </w14:solidFill>
          </w14:textFill>
        </w:rPr>
        <w:t>题</w:t>
      </w:r>
    </w:p>
    <w:p w14:paraId="010875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1.部分业务人员绩效管理意识有待增强，未能全面深入认识理解绩效管理工作的意义。绩效管理经验不足，预算绩效管理工作有待进一步落实。</w:t>
      </w:r>
    </w:p>
    <w:p w14:paraId="5B920DD7">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bCs/>
          <w:color w:val="000000" w:themeColor="text1"/>
          <w:sz w:val="32"/>
          <w:szCs w:val="32"/>
          <w:lang w:val="en-US" w:eastAsia="zh-CN" w:bidi="ar"/>
          <w14:textFill>
            <w14:solidFill>
              <w14:schemeClr w14:val="tx1"/>
            </w14:solidFill>
          </w14:textFill>
        </w:rPr>
      </w:pPr>
      <w:r>
        <w:rPr>
          <w:rFonts w:hint="eastAsia" w:ascii="仿宋" w:hAnsi="仿宋" w:eastAsia="仿宋" w:cs="仿宋"/>
          <w:sz w:val="32"/>
          <w:szCs w:val="32"/>
        </w:rPr>
        <w:t>2.绩效指标的明确性、可衡量性、相关性还需进一步提升。预算精细化管理还需完善，预算编制管理水平仍有进一步提升的空间。</w:t>
      </w:r>
    </w:p>
    <w:p w14:paraId="1B8BA68F">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0"/>
        <w:rPr>
          <w:rFonts w:hint="eastAsia" w:ascii="仿宋" w:hAnsi="仿宋" w:eastAsia="仿宋" w:cs="仿宋"/>
          <w:b/>
          <w:bCs/>
          <w:color w:val="000000" w:themeColor="text1"/>
          <w:sz w:val="32"/>
          <w:szCs w:val="32"/>
          <w:lang w:bidi="ar"/>
          <w14:textFill>
            <w14:solidFill>
              <w14:schemeClr w14:val="tx1"/>
            </w14:solidFill>
          </w14:textFill>
        </w:rPr>
      </w:pPr>
      <w:r>
        <w:rPr>
          <w:rFonts w:hint="eastAsia" w:ascii="仿宋" w:hAnsi="仿宋" w:eastAsia="仿宋" w:cs="仿宋"/>
          <w:b/>
          <w:bCs/>
          <w:color w:val="000000" w:themeColor="text1"/>
          <w:sz w:val="32"/>
          <w:szCs w:val="32"/>
          <w:lang w:bidi="ar"/>
          <w14:textFill>
            <w14:solidFill>
              <w14:schemeClr w14:val="tx1"/>
            </w14:solidFill>
          </w14:textFill>
        </w:rPr>
        <w:t>七、改进措施和理议</w:t>
      </w:r>
    </w:p>
    <w:p w14:paraId="414963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仿宋" w:hAnsi="仿宋" w:eastAsia="仿宋" w:cs="仿宋"/>
          <w:sz w:val="32"/>
          <w:szCs w:val="32"/>
        </w:rPr>
      </w:pPr>
      <w:r>
        <w:rPr>
          <w:rFonts w:hint="eastAsia" w:ascii="仿宋" w:hAnsi="仿宋" w:eastAsia="仿宋" w:cs="仿宋"/>
          <w:sz w:val="32"/>
          <w:szCs w:val="32"/>
        </w:rPr>
        <w:t>（一）改进措施</w:t>
      </w:r>
    </w:p>
    <w:p w14:paraId="1882900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 w:hAnsi="仿宋" w:eastAsia="仿宋" w:cs="仿宋"/>
          <w:sz w:val="32"/>
          <w:szCs w:val="32"/>
        </w:rPr>
      </w:pPr>
      <w:r>
        <w:rPr>
          <w:rFonts w:hint="eastAsia" w:ascii="仿宋" w:hAnsi="仿宋" w:eastAsia="仿宋" w:cs="仿宋"/>
          <w:sz w:val="32"/>
          <w:szCs w:val="32"/>
        </w:rPr>
        <w:t>1.继续加大绩效工作宣传力度，强化绩效理念。</w:t>
      </w:r>
    </w:p>
    <w:p w14:paraId="48A4152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2.继续完善绩效指标，提高整体绩效目标质量。提升预算精细化管理水平。</w:t>
      </w:r>
    </w:p>
    <w:p w14:paraId="2BCF19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3.继续完善预算绩效管理相关工作制度，建立全过程预算绩效管理链条，有效贯彻落实全面实施绩效管理的精神。</w:t>
      </w:r>
    </w:p>
    <w:p w14:paraId="0F2AC1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仿宋" w:hAnsi="仿宋" w:eastAsia="仿宋" w:cs="仿宋"/>
          <w:sz w:val="32"/>
          <w:szCs w:val="32"/>
        </w:rPr>
      </w:pPr>
      <w:r>
        <w:rPr>
          <w:rFonts w:hint="eastAsia" w:ascii="仿宋" w:hAnsi="仿宋" w:eastAsia="仿宋" w:cs="仿宋"/>
          <w:sz w:val="32"/>
          <w:szCs w:val="32"/>
        </w:rPr>
        <w:t>（二）建议</w:t>
      </w:r>
    </w:p>
    <w:p w14:paraId="204F41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1.加强预算绩效目标管理工作。明确预算项目绩效目标编制要求，分类别建立科学合理、细化量化、可比可测预算绩效指标体系，突出结果导向，重点考核实绩。</w:t>
      </w:r>
    </w:p>
    <w:p w14:paraId="55CFA7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2.加强绩效业务学习及培训，提高业务人员绩效管理意识，进一步加强预算绩效管理工作，优化项目支出绩效指标体系，完善预算绩效管理制度，有效推动我单位下一年度预算绩效管理工作常态化、规范化。</w:t>
      </w:r>
    </w:p>
    <w:p w14:paraId="4A901B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3.通过强化专业培训、学习考察、业务交流等措施，帮助和促进本单位现有人员提高绩效管理业务水平、实际工作能力。强化预算绩效执行工作，指定专人负责预算执行监督管理，进一步推动预算绩效管理工作。</w:t>
      </w:r>
    </w:p>
    <w:p w14:paraId="016F5885">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4.借助第三方专业机构力量，贯彻落实全面预算绩效管理工作，建立全过程预算绩效管理链条，将绩效各个环节紧密贯通。</w:t>
      </w:r>
    </w:p>
    <w:p w14:paraId="6C20B1C7">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outlineLvl w:val="0"/>
        <w:rPr>
          <w:rFonts w:hint="eastAsia" w:ascii="仿宋" w:hAnsi="仿宋" w:eastAsia="仿宋" w:cs="仿宋"/>
          <w:b/>
          <w:bCs/>
          <w:color w:val="000000" w:themeColor="text1"/>
          <w:sz w:val="32"/>
          <w:szCs w:val="32"/>
          <w:lang w:bidi="ar"/>
          <w14:textFill>
            <w14:solidFill>
              <w14:schemeClr w14:val="tx1"/>
            </w14:solidFill>
          </w14:textFill>
        </w:rPr>
      </w:pPr>
      <w:r>
        <w:rPr>
          <w:rFonts w:hint="eastAsia" w:ascii="仿宋" w:hAnsi="仿宋" w:eastAsia="仿宋" w:cs="仿宋"/>
          <w:b/>
          <w:bCs/>
          <w:color w:val="000000" w:themeColor="text1"/>
          <w:sz w:val="32"/>
          <w:szCs w:val="32"/>
          <w:lang w:bidi="ar"/>
          <w14:textFill>
            <w14:solidFill>
              <w14:schemeClr w14:val="tx1"/>
            </w14:solidFill>
          </w14:textFill>
        </w:rPr>
        <w:t>八、附表：《部门整体支出绩效目标自评表》</w:t>
      </w:r>
    </w:p>
    <w:p w14:paraId="2D0F3342">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 w:hAnsi="仿宋" w:eastAsia="仿宋" w:cs="仿宋"/>
          <w:b/>
          <w:bCs/>
          <w:sz w:val="32"/>
          <w:szCs w:val="32"/>
        </w:rPr>
      </w:pPr>
    </w:p>
    <w:bookmarkEnd w:id="0"/>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BC497D"/>
    <w:multiLevelType w:val="singleLevel"/>
    <w:tmpl w:val="09BC497D"/>
    <w:lvl w:ilvl="0" w:tentative="0">
      <w:start w:val="3"/>
      <w:numFmt w:val="chineseCounting"/>
      <w:suff w:val="nothing"/>
      <w:lvlText w:val="（%1）"/>
      <w:lvlJc w:val="left"/>
      <w:rPr>
        <w:rFonts w:hint="eastAsia"/>
      </w:rPr>
    </w:lvl>
  </w:abstractNum>
  <w:abstractNum w:abstractNumId="1">
    <w:nsid w:val="6D57D4F4"/>
    <w:multiLevelType w:val="singleLevel"/>
    <w:tmpl w:val="6D57D4F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iYjRmNTcwNGNhOGY5Y2I2MjUyNzE1NmNiMWMwYmYifQ=="/>
  </w:docVars>
  <w:rsids>
    <w:rsidRoot w:val="14E171EC"/>
    <w:rsid w:val="0D76371D"/>
    <w:rsid w:val="113A6CCE"/>
    <w:rsid w:val="14E171EC"/>
    <w:rsid w:val="1506521C"/>
    <w:rsid w:val="162F2D59"/>
    <w:rsid w:val="165D1DA4"/>
    <w:rsid w:val="1A6A3BDB"/>
    <w:rsid w:val="1ABC044C"/>
    <w:rsid w:val="1B797F5E"/>
    <w:rsid w:val="1BF9747E"/>
    <w:rsid w:val="200D4289"/>
    <w:rsid w:val="233214D6"/>
    <w:rsid w:val="265213ED"/>
    <w:rsid w:val="27667618"/>
    <w:rsid w:val="2FB71CC8"/>
    <w:rsid w:val="30BB3EE9"/>
    <w:rsid w:val="30C07F88"/>
    <w:rsid w:val="311635D2"/>
    <w:rsid w:val="38BD6328"/>
    <w:rsid w:val="3C5E715D"/>
    <w:rsid w:val="40D00770"/>
    <w:rsid w:val="4133513C"/>
    <w:rsid w:val="41DF489C"/>
    <w:rsid w:val="42C90F74"/>
    <w:rsid w:val="44E865FD"/>
    <w:rsid w:val="4A03145C"/>
    <w:rsid w:val="4A4F3447"/>
    <w:rsid w:val="4C6E3827"/>
    <w:rsid w:val="5B767A69"/>
    <w:rsid w:val="5B983BD2"/>
    <w:rsid w:val="5FA95ED8"/>
    <w:rsid w:val="614047E9"/>
    <w:rsid w:val="633066C6"/>
    <w:rsid w:val="66020866"/>
    <w:rsid w:val="6AE64DAA"/>
    <w:rsid w:val="6D872C5E"/>
    <w:rsid w:val="70A95EF1"/>
    <w:rsid w:val="71774A76"/>
    <w:rsid w:val="7CD807A1"/>
    <w:rsid w:val="7ECA321E"/>
    <w:rsid w:val="7FED7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3"/>
    <w:next w:val="3"/>
    <w:qFormat/>
    <w:uiPriority w:val="0"/>
    <w:pPr>
      <w:keepNext/>
      <w:keepLines/>
      <w:outlineLvl w:val="2"/>
    </w:pPr>
    <w:rPr>
      <w:rFonts w:ascii="仿宋_GB2312" w:hAnsi="仿宋_GB2312" w:eastAsia="仿宋_GB2312"/>
      <w:b/>
      <w:bCs/>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200" w:leftChars="200"/>
    </w:pPr>
  </w:style>
  <w:style w:type="paragraph" w:styleId="4">
    <w:name w:val="annotation text"/>
    <w:basedOn w:val="1"/>
    <w:qFormat/>
    <w:uiPriority w:val="0"/>
    <w:pPr>
      <w:jc w:val="left"/>
    </w:pPr>
  </w:style>
  <w:style w:type="paragraph" w:styleId="5">
    <w:name w:val="HTML Address"/>
    <w:basedOn w:val="1"/>
    <w:qFormat/>
    <w:uiPriority w:val="0"/>
    <w:rPr>
      <w:i/>
      <w:iCs/>
    </w:rPr>
  </w:style>
  <w:style w:type="character" w:styleId="8">
    <w:name w:val="Strong"/>
    <w:basedOn w:val="7"/>
    <w:qFormat/>
    <w:uiPriority w:val="0"/>
    <w:rPr>
      <w:b/>
      <w:bCs/>
    </w:rPr>
  </w:style>
  <w:style w:type="character" w:styleId="9">
    <w:name w:val="annotation reference"/>
    <w:basedOn w:val="7"/>
    <w:semiHidden/>
    <w:unhideWhenUsed/>
    <w:qFormat/>
    <w:uiPriority w:val="99"/>
    <w:rPr>
      <w:sz w:val="21"/>
      <w:szCs w:val="21"/>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4601</Words>
  <Characters>4954</Characters>
  <Lines>0</Lines>
  <Paragraphs>0</Paragraphs>
  <TotalTime>5</TotalTime>
  <ScaleCrop>false</ScaleCrop>
  <LinksUpToDate>false</LinksUpToDate>
  <CharactersWithSpaces>4959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2024-03-18T10:21:00Z</dcterms:created>
  <dc:creator>赵鑫</dc:creator>
  <cp:lastModifiedBy>禅</cp:lastModifiedBy>
  <dcterms:modified xsi:type="dcterms:W3CDTF">2024-11-28T10:56:08Z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382D97C4724440BCA38AEAD31A57649F_11</vt:lpwstr>
  </property>
</Properties>
</file>