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D4510">
      <w:pPr>
        <w:spacing w:line="570" w:lineRule="exact"/>
        <w:jc w:val="center"/>
        <w:rPr>
          <w:rFonts w:ascii="华文中宋" w:hAnsi="华文中宋" w:eastAsia="华文中宋" w:cs="宋体"/>
          <w:b/>
          <w:kern w:val="0"/>
          <w:sz w:val="52"/>
          <w:szCs w:val="52"/>
        </w:rPr>
      </w:pPr>
      <w:bookmarkStart w:id="0" w:name="_GoBack"/>
    </w:p>
    <w:p w14:paraId="192F438C">
      <w:pPr>
        <w:spacing w:line="570" w:lineRule="exact"/>
        <w:jc w:val="center"/>
        <w:rPr>
          <w:rFonts w:ascii="华文中宋" w:hAnsi="华文中宋" w:eastAsia="华文中宋" w:cs="宋体"/>
          <w:b/>
          <w:kern w:val="0"/>
          <w:sz w:val="52"/>
          <w:szCs w:val="52"/>
        </w:rPr>
      </w:pPr>
    </w:p>
    <w:p w14:paraId="4BC4C11C">
      <w:pPr>
        <w:spacing w:line="570" w:lineRule="exact"/>
        <w:jc w:val="center"/>
        <w:rPr>
          <w:rFonts w:ascii="华文中宋" w:hAnsi="华文中宋" w:eastAsia="华文中宋" w:cs="宋体"/>
          <w:b/>
          <w:kern w:val="0"/>
          <w:sz w:val="52"/>
          <w:szCs w:val="52"/>
        </w:rPr>
      </w:pPr>
    </w:p>
    <w:p w14:paraId="227BFFEF">
      <w:pPr>
        <w:spacing w:line="570" w:lineRule="exact"/>
        <w:jc w:val="center"/>
        <w:rPr>
          <w:rFonts w:ascii="华文中宋" w:hAnsi="华文中宋" w:eastAsia="华文中宋" w:cs="宋体"/>
          <w:b/>
          <w:kern w:val="0"/>
          <w:sz w:val="52"/>
          <w:szCs w:val="52"/>
        </w:rPr>
      </w:pPr>
    </w:p>
    <w:p w14:paraId="44730057">
      <w:pPr>
        <w:spacing w:line="570" w:lineRule="exact"/>
        <w:rPr>
          <w:rFonts w:ascii="华文中宋" w:hAnsi="华文中宋" w:eastAsia="华文中宋" w:cs="宋体"/>
          <w:b/>
          <w:kern w:val="0"/>
          <w:sz w:val="52"/>
          <w:szCs w:val="52"/>
        </w:rPr>
      </w:pPr>
    </w:p>
    <w:p w14:paraId="6DF90342">
      <w:pPr>
        <w:spacing w:line="570" w:lineRule="exact"/>
        <w:jc w:val="center"/>
        <w:rPr>
          <w:rFonts w:ascii="华文中宋" w:hAnsi="华文中宋" w:eastAsia="华文中宋" w:cs="宋体"/>
          <w:b/>
          <w:kern w:val="0"/>
          <w:sz w:val="52"/>
          <w:szCs w:val="52"/>
        </w:rPr>
      </w:pPr>
    </w:p>
    <w:p w14:paraId="31DBDBA7">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14:paraId="3A791C15">
      <w:pPr>
        <w:spacing w:line="570" w:lineRule="exact"/>
        <w:jc w:val="center"/>
        <w:rPr>
          <w:rFonts w:ascii="华文中宋" w:hAnsi="华文中宋" w:eastAsia="华文中宋" w:cs="宋体"/>
          <w:b/>
          <w:kern w:val="0"/>
          <w:sz w:val="52"/>
          <w:szCs w:val="52"/>
        </w:rPr>
      </w:pPr>
    </w:p>
    <w:p w14:paraId="43F9B7D5">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0F674BBC">
      <w:pPr>
        <w:spacing w:line="570" w:lineRule="exact"/>
        <w:jc w:val="center"/>
        <w:rPr>
          <w:rFonts w:hAnsi="宋体" w:eastAsia="仿宋_GB2312" w:cs="宋体"/>
          <w:kern w:val="0"/>
          <w:sz w:val="30"/>
          <w:szCs w:val="30"/>
        </w:rPr>
      </w:pPr>
    </w:p>
    <w:p w14:paraId="49151B01">
      <w:pPr>
        <w:spacing w:line="570" w:lineRule="exact"/>
        <w:jc w:val="center"/>
        <w:rPr>
          <w:rFonts w:hAnsi="宋体" w:eastAsia="仿宋_GB2312" w:cs="宋体"/>
          <w:kern w:val="0"/>
          <w:sz w:val="30"/>
          <w:szCs w:val="30"/>
        </w:rPr>
      </w:pPr>
    </w:p>
    <w:p w14:paraId="2AB6FD50">
      <w:pPr>
        <w:spacing w:line="570" w:lineRule="exact"/>
        <w:jc w:val="center"/>
        <w:rPr>
          <w:rFonts w:hAnsi="宋体" w:eastAsia="仿宋_GB2312" w:cs="宋体"/>
          <w:kern w:val="0"/>
          <w:sz w:val="30"/>
          <w:szCs w:val="30"/>
        </w:rPr>
      </w:pPr>
    </w:p>
    <w:p w14:paraId="7195C29D">
      <w:pPr>
        <w:spacing w:line="570" w:lineRule="exact"/>
        <w:jc w:val="center"/>
        <w:rPr>
          <w:rFonts w:hAnsi="宋体" w:eastAsia="仿宋_GB2312" w:cs="宋体"/>
          <w:kern w:val="0"/>
          <w:sz w:val="30"/>
          <w:szCs w:val="30"/>
        </w:rPr>
      </w:pPr>
    </w:p>
    <w:p w14:paraId="17E8E624">
      <w:pPr>
        <w:spacing w:line="570" w:lineRule="exact"/>
        <w:jc w:val="center"/>
        <w:rPr>
          <w:rFonts w:hAnsi="宋体" w:eastAsia="仿宋_GB2312" w:cs="宋体"/>
          <w:kern w:val="0"/>
          <w:sz w:val="30"/>
          <w:szCs w:val="30"/>
        </w:rPr>
      </w:pPr>
    </w:p>
    <w:p w14:paraId="7B37867A">
      <w:pPr>
        <w:spacing w:line="570" w:lineRule="exact"/>
        <w:jc w:val="center"/>
        <w:rPr>
          <w:rFonts w:hAnsi="宋体" w:eastAsia="仿宋_GB2312" w:cs="宋体"/>
          <w:kern w:val="0"/>
          <w:sz w:val="30"/>
          <w:szCs w:val="30"/>
        </w:rPr>
      </w:pPr>
    </w:p>
    <w:p w14:paraId="3C0AF80B">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吐尔尕特口岸管委会吊装移位仓储费项目</w:t>
      </w:r>
    </w:p>
    <w:p w14:paraId="5BAA26E5">
      <w:pPr>
        <w:spacing w:line="570" w:lineRule="exact"/>
        <w:ind w:firstLine="360" w:firstLineChars="100"/>
        <w:jc w:val="left"/>
        <w:rPr>
          <w:rFonts w:hint="eastAsia" w:ascii="仿宋" w:hAnsi="仿宋" w:eastAsia="仿宋" w:cs="仿宋"/>
          <w:kern w:val="0"/>
          <w:sz w:val="32"/>
          <w:szCs w:val="32"/>
          <w:lang w:eastAsia="zh-CN"/>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克孜勒苏柯尔克孜自治州吐尔尕特口岸</w:t>
      </w:r>
      <w:r>
        <w:rPr>
          <w:rStyle w:val="18"/>
          <w:rFonts w:hint="eastAsia" w:ascii="仿宋" w:hAnsi="仿宋" w:eastAsia="仿宋" w:cs="仿宋"/>
          <w:b w:val="0"/>
          <w:bCs w:val="0"/>
          <w:spacing w:val="-4"/>
          <w:sz w:val="32"/>
          <w:szCs w:val="32"/>
          <w:lang w:eastAsia="zh-CN"/>
        </w:rPr>
        <w:t>管理委员会</w:t>
      </w:r>
    </w:p>
    <w:p w14:paraId="1B34AD1D">
      <w:pPr>
        <w:spacing w:line="540" w:lineRule="exact"/>
        <w:ind w:firstLine="360" w:firstLineChars="100"/>
        <w:rPr>
          <w:rFonts w:hint="eastAsia" w:ascii="仿宋" w:hAnsi="仿宋" w:eastAsia="仿宋" w:cs="仿宋"/>
          <w:spacing w:val="-4"/>
          <w:sz w:val="32"/>
          <w:szCs w:val="32"/>
          <w:lang w:eastAsia="zh-CN"/>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克孜勒苏柯尔克孜自治州吐尔尕特口岸</w:t>
      </w:r>
      <w:r>
        <w:rPr>
          <w:rStyle w:val="18"/>
          <w:rFonts w:hint="eastAsia" w:ascii="仿宋" w:hAnsi="仿宋" w:eastAsia="仿宋" w:cs="仿宋"/>
          <w:b w:val="0"/>
          <w:bCs w:val="0"/>
          <w:spacing w:val="-4"/>
          <w:sz w:val="32"/>
          <w:szCs w:val="32"/>
          <w:lang w:eastAsia="zh-CN"/>
        </w:rPr>
        <w:t>管理委员会</w:t>
      </w:r>
    </w:p>
    <w:p w14:paraId="56A2E78F">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王为</w:t>
      </w:r>
    </w:p>
    <w:p w14:paraId="0D7531F6">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2024年05月15日</w:t>
      </w:r>
    </w:p>
    <w:p w14:paraId="5F77CF51">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31A5551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62E1CF59">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2BCB4C8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吊装移位仓储费项目实施前期、过程及效果，评价财政预算资金使用的效率及效益。坚持以习近平新时代中国特色社会主义思想为指导，深入学习贯彻党的二十大精神，完整准确贯彻新时代党的治疆方略，牢牢扭住社会稳定和长治久安总目标，坚持稳中求进工作总基调，完整、准确、全面贯彻新发展理念，积极服务和融入新发展格局，按照积极的财政政策要加力提效，注重精准、更可持续要求，全面落实各项减税降费政策，积极培植财源税源，依法依规组织财政收入；牢固树立过紧日子思想，严格财政支出管理，加强预算绩效管理，优化财政支出结构，持续压减非刚性、非重点和一般性支出；坚持有保有压，集中可用财力，全力保障基层“三保”支出，坚决做好自治区和自治州党委确定的重大战略、重要任务、重点改革的财力保障；确保财政运行平稳可持续，为推进自治州经济社会高质量发展作出积极贡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吊装移位仓储费2023年下达资金5.48万元，是外贸企业补助资金，该项目资金主要用于在吐尔尕特口岸出境查验没有问题的外贸企业的吊装移位仓储费用补助。</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牢固树立过紧日子思想，严格财政支出管理，加强预算绩效管理，优化财政支出结构，持续压减非刚性、非重点和一般性支出；坚持有保有压，集中可用财力，全力保障基层“三保”支出，坚决做好自治区和自治州党委确定的重大战略、重要任务、重点改革的财力保障；确保财政运行平稳可持续，为推进自治州经济社会高质量发展作出积极贡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该项目由克孜勒苏柯尔克孜自治州吐尔尕特口岸管理委员会实施，内设3个科室，分别是：党政办公室、综合科、服务中心。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中共吐尔尕特口岸工作委员会为自治州党委的派驻机构，吐尔尕特口岸管委会为自治州人民政府的派驻机构，其职能：贯彻落实党和国家的方针、政策及自治区重大部署；了解和掌握外事、侨务、口岸工作的情况，协调有关部门处理涉外事务；负责编制口岸总体规划和各专项发展规划，并组织实施；负责招商引资工作，按规定权限审批、审定、申报各项投资项目；负责规划建设、公共设施建设管理工作；负责口岸财政预决算、国有资产管理、投资、融资工作；根据规定权限负责口岸各类进出口行政事务；承担上级部门、驻口岸各部门及相关单位的沟通联系和协调职责；承办自治区和自治州、人民政府交办的其他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编制人数22人，其中：行政人员编制6人、事业人员编制16人。实有在职人数24人，其中：行政在职4人、事业人员20人。退休人员25人，其中：事业退休13人、行政退休人员12人。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坚持以习近平新时代中国特色社会主义思想为指导，深入学习贯彻党的二十大精神，完整准确贯彻新时代党的治疆方略，牢牢扭住社会稳定和长治久安总目标，坚持稳中求进工作总基调，完整、准确、全面贯彻新发展理念，积极服务和融入新发展格局，按照积极的财政政策要加力提效，注重精准、更可持续要求，全面落实各项减税降费政策，积极培植财源税源，依法依规组织财政收入，本年度安排下达资金5.48万元，为自治区财力安排资金，最终确定项目资金总数为5.48万元。其中：中央财政拨款0万元，自治区财政拨款5.48万元，本级财政拨款0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截至2023年12月31日，实际支出4.96万元，预算执行率90.51%。</w:t>
      </w:r>
    </w:p>
    <w:p w14:paraId="68ACDD85">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0B3E5E7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为本年度追加企业补助资金，是州财政下拨资金，2023年下达资金5.48万元，是外贸企业吊装移位仓储费补助资金，该项目资金主要用于在吐尔尕特口岸出境查验没有问题的外贸企业的吊装移位仓储费用补助。</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“吊装移位费支付给企业个数（个）”指标，预期指标值为&gt;=3个。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“吊装移位仓储费支出合理合规（%）”指标，预期指标值为&gt;=90%。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“吊装移位仓储费拨付及时性（%）”指标，预期指标值为&gt;=90%。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“拨付乌鲁木齐嘉美悦国际贸易有限公司吊装移位仓储费用（万元）”指标，预期指标值为&lt;=1.28万元；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“拨付图木舒克中亚锦润国际有限吊装移位仓储费（万元）”指标，预期指标值为&lt;=3.36万元；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“拨付石河子久荣贸易有限公司吊装移位费（万元）”指标，预期指标值为&gt;=0.32万元；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“拨付企业吊装移位仓储费（万元）”指标，预期指标值为&lt;=0.52万元。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“支付吊装移位仓储费产生效益（%）”指标，预期指标值为&gt;=90%；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“吊装移位仓储费群众满意率（%）”指标，预期指标值为&gt;=90%。</w:t>
      </w:r>
    </w:p>
    <w:p w14:paraId="77D82D6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6453171A">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7588955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604E84A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0075700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吊装移位仓储费项目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一级指标为：决策、过程、产出、成本、效益、满意度。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二级指标为：项目立项、绩效目标、资金投入、资金管理、组织实施、产出数量、产出质量、产出时效、产出成本、项目效益、项目满意度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经济效益、社会效益、生态效益、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63410C16">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3483716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裴建忠任评价组组长，职务为党工委书记，绩效评价工作职责为负责全盘工作。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王为任评价组副组长，绩效评价工作职责为对项目实施情况进行实地调查。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荣兰任评价组成员，绩效评价工作职责为负责资料审核等工作。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24D91B1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0BC90BE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吊装移位仓储费”项目绩效进行客观公正的评价，本项目总得分为94.81分，绩效评级属于“优”。其中，决策类指标得分20分，过程类指标得分19.53分，产出类指标得分35.28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截至2023年12月31日，我单位项目执行数为5.48万元。已完成：吊装移位费支付给企业个数3个，外贸企业补助资金，该项目资金主要用于在吐尔尕特口岸出境查验没有问题的外贸企业的吊装移位仓储费用补助。</w:t>
      </w:r>
    </w:p>
    <w:p w14:paraId="48AF57B4">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468E1061">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23B9938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坚持以习近平新时代中国特色社会主义思想为指导，深入学习贯彻党的二十大精神，完整准确贯彻新时代党的治疆方略，牢牢扭住社会稳定和长治久安总目标，坚持稳中求进工作总基调，完整、准确、全面贯彻新发展理念，积极服务和融入新发展格局，按照积极的财政政策要加力提效，注重精准、更可持续要求，全面落实各项减税降费政策，积极培植财源税源，依法依规组织财政收入；牢固树立过紧日子思想，严格财政支出管理，加强预算绩效管理，优化财政支出结构，持续压减非刚性、非重点和一般性支出；坚持有保有压，集中可用财力，全力保障基层“三保”支出，坚决做好自治区和自治州党委确定的重大战略、重要任务、重点改革的财力保障；确保财政运行平稳可持续，为推进自治州经济社会高质量发展作出积极贡献。并结合克州吐尔尕特口岸管委会职责组织实施。围绕克州吐尔尕特口岸管委会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州吐尔尕特口岸管委会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根据牢固树立过紧日子思想，严格财政支出管理，加强预算绩效管理，优化财政支出结构，持续压减非刚性、非重点和一般性支出；坚持有保有压，集中可用财力，全力保障基层“三保”支出，坚决做好自治区和自治州党委确定的重大战略、重要任务、重点改革的财力保障；确保财政运行平稳可持续，为推进自治州经济社会高质量发展作出积极贡献，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牢固树立过紧日子思想，严格财政支出管理，加强预算绩效管理，优化财政支出结构，持续压减非刚性、非重点和一般性支出；坚持有保有压，集中可用财力，全力保障基层“三保”支出，坚决做好自治区和自治州党委确定的重大战略、重要任务、重点改革的财力保障；确保财政运行平稳可持续，为推进自治州经济社会高质量发展作出积极贡献。资金分配与实际相适应，根据评分标准，该指标不扣分，得5分。</w:t>
      </w:r>
    </w:p>
    <w:p w14:paraId="0B336B9B">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15FCBBA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 5个三级指标构成，权重分为20分，实际得分19.53分，得分率为97.65%。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（1）资金到位率：该项目总投资5.48万元，克州财政局实际下达经费5.48万元，其中当年财政拨款5.48万元，财政资金足额拨付到位，根据评分标准，该指标不扣分，得5分。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（2）预算执行率：本项目申请预算金额为5.48万元，预算批复实际下达金额为5.48万元，截至 2023年 12 月 31日，资金执行4.96万元，资金执行率90.51%。项目资金支出总体能够按照预算执行，根据评分标准，该指标扣0.47分，得4.53分。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根据牢固树立过紧日子思想，严格财政支出管理，加强预算绩效管理，优化财政支出结构，持续压减非刚性、非重点和一般性支出；坚持有保有压，集中可用财力，全力保障基层“三保”支出，坚决做好自治区和自治州党委确定的重大战略、重要任务、重点改革的财力保障；确保财政运行平稳可持续，为推进自治州经济社会高质量发展作出积极贡献，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（4）管理制度健全性：该项目严格按照《克州吐尔尕特口岸管委会财务制度》和管理规定实施，对财政专项资金进行严格管理，基本做到了专款专用，根据评分标准，该指标不扣分，得2分。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44A41C5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4D780DE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项目产出类指标包括产出数量、产出质量、产出时效三方面的内容，由7个三级指标构成，权重分为40分，实际得分35.28分，得分率为88.2%。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吊装移位费支付给企业个数3个，与预期目标一致，根据评分标准，该指标不扣分，得10分。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吊装移位仓储费支出合理合规100%，根据评分标准，11.11%×10=1.11.该指标扣1.11分，得8.89分。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合计得8.89分。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吊装移位仓储费拨付及时性100%，根据评分标准，11.11%×10=1.11该指标扣1.11分，得8.89分。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合计得8.89分。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拨付乌鲁木齐嘉美悦国际贸易有限公司吊装移位仓储费用1.28万元，与预期目标指标一致，根据评分标准，该指标不扣分，得2.5分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拨付图木舒克中亚锦润国际有限吊装移位仓储费3.36万元，与预期目标指标一致，根据评分标准，该指标不扣分，得2.5分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拨付石河子久荣贸易有限公司吊装移位费0.32万元，与预期目标指标一致，根据评分标准，该指标不扣分，得2.5分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拨付企业吊装移位仓储费0万元，期目标指标一致，根据评分标准，该指标不扣分，得0分。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合计得7.5分。</w:t>
      </w:r>
    </w:p>
    <w:p w14:paraId="5804F95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14:paraId="50FB2DA1">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支付吊装移位仓储费产生效益90%，与预期指标一致，根据评分标准，该指标不扣分，得10分。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（五）满意度指标完成情况分析。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对于满意度指标：吊装移位仓储费群众满意率90%，与预期目标一致，根据评分标准，该指标不扣分，得10分。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满意度指标合计得10分。</w:t>
      </w:r>
    </w:p>
    <w:p w14:paraId="040010B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14:paraId="665D8A5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一是本项目能够严格按照《项目实施方案》执行，项目执行情况较好。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二是加强组织领导，本项目绩效评价工作，有县政府主要领导亲自挂帅，分管县领导具体负责，从项目到资金，均能后很好的执行。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三是加强沟通协调，我单位及时向县领导汇报项目建设进度，加强与实施单位的沟通，确保项目按期完工。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7705CC8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6E51BEF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4．评价工作应从项目实施方案源头抓起，评价工作和意识应贯穿项目整个过程。</w:t>
      </w:r>
    </w:p>
    <w:p w14:paraId="2BE8B84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3F72F3CF">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附件1：吐尔尕特口岸管委会吊装移位仓储费项目绩效评价指标体系及评分标准</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7C1158D">
        <w:pPr>
          <w:pStyle w:val="12"/>
          <w:jc w:val="center"/>
        </w:pPr>
        <w:r>
          <w:fldChar w:fldCharType="begin"/>
        </w:r>
        <w:r>
          <w:instrText xml:space="preserve">PAGE   \* MERGEFORMAT</w:instrText>
        </w:r>
        <w:r>
          <w:fldChar w:fldCharType="separate"/>
        </w:r>
        <w:r>
          <w:rPr>
            <w:lang w:val="zh-CN"/>
          </w:rPr>
          <w:t>1</w:t>
        </w:r>
        <w:r>
          <w:fldChar w:fldCharType="end"/>
        </w:r>
      </w:p>
    </w:sdtContent>
  </w:sdt>
  <w:p w14:paraId="2641D935">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5DC07C39"/>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22</Pages>
  <Words>8268</Words>
  <Characters>8597</Characters>
  <Lines>5</Lines>
  <Paragraphs>1</Paragraphs>
  <TotalTime>40</TotalTime>
  <ScaleCrop>false</ScaleCrop>
  <LinksUpToDate>false</LinksUpToDate>
  <CharactersWithSpaces>8882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2024-11-28T10:26:47Z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366DE64FA3E34F0896CA01BBEE7770C3_12</vt:lpwstr>
  </property>
</Properties>
</file>