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11C29">
      <w:pPr>
        <w:spacing w:line="570" w:lineRule="exact"/>
        <w:jc w:val="center"/>
        <w:rPr>
          <w:rFonts w:ascii="华文中宋" w:hAnsi="华文中宋" w:eastAsia="华文中宋" w:cs="宋体"/>
          <w:b/>
          <w:kern w:val="0"/>
          <w:sz w:val="52"/>
          <w:szCs w:val="52"/>
        </w:rPr>
      </w:pPr>
      <w:bookmarkStart w:id="0" w:name="_GoBack"/>
    </w:p>
    <w:p w14:paraId="14DDC853">
      <w:pPr>
        <w:spacing w:line="570" w:lineRule="exact"/>
        <w:jc w:val="center"/>
        <w:rPr>
          <w:rFonts w:ascii="华文中宋" w:hAnsi="华文中宋" w:eastAsia="华文中宋" w:cs="宋体"/>
          <w:b/>
          <w:kern w:val="0"/>
          <w:sz w:val="52"/>
          <w:szCs w:val="52"/>
        </w:rPr>
      </w:pPr>
    </w:p>
    <w:p w14:paraId="1BCD7CB8">
      <w:pPr>
        <w:spacing w:line="570" w:lineRule="exact"/>
        <w:jc w:val="center"/>
        <w:rPr>
          <w:rFonts w:ascii="华文中宋" w:hAnsi="华文中宋" w:eastAsia="华文中宋" w:cs="宋体"/>
          <w:b/>
          <w:kern w:val="0"/>
          <w:sz w:val="52"/>
          <w:szCs w:val="52"/>
        </w:rPr>
      </w:pPr>
    </w:p>
    <w:p w14:paraId="33A5ADC9">
      <w:pPr>
        <w:spacing w:line="570" w:lineRule="exact"/>
        <w:jc w:val="center"/>
        <w:rPr>
          <w:rFonts w:ascii="华文中宋" w:hAnsi="华文中宋" w:eastAsia="华文中宋" w:cs="宋体"/>
          <w:b/>
          <w:kern w:val="0"/>
          <w:sz w:val="52"/>
          <w:szCs w:val="52"/>
        </w:rPr>
      </w:pPr>
    </w:p>
    <w:p w14:paraId="4D0F0D3A">
      <w:pPr>
        <w:spacing w:line="570" w:lineRule="exact"/>
        <w:rPr>
          <w:rFonts w:ascii="华文中宋" w:hAnsi="华文中宋" w:eastAsia="华文中宋" w:cs="宋体"/>
          <w:b/>
          <w:kern w:val="0"/>
          <w:sz w:val="52"/>
          <w:szCs w:val="52"/>
        </w:rPr>
      </w:pPr>
    </w:p>
    <w:p w14:paraId="239B97B2">
      <w:pPr>
        <w:spacing w:line="570" w:lineRule="exact"/>
        <w:jc w:val="center"/>
        <w:rPr>
          <w:rFonts w:ascii="华文中宋" w:hAnsi="华文中宋" w:eastAsia="华文中宋" w:cs="宋体"/>
          <w:b/>
          <w:kern w:val="0"/>
          <w:sz w:val="52"/>
          <w:szCs w:val="52"/>
        </w:rPr>
      </w:pPr>
    </w:p>
    <w:p w14:paraId="5F39C304">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00E1DF42">
      <w:pPr>
        <w:spacing w:line="570" w:lineRule="exact"/>
        <w:jc w:val="center"/>
        <w:rPr>
          <w:rFonts w:ascii="华文中宋" w:hAnsi="华文中宋" w:eastAsia="华文中宋" w:cs="宋体"/>
          <w:b/>
          <w:kern w:val="0"/>
          <w:sz w:val="52"/>
          <w:szCs w:val="52"/>
        </w:rPr>
      </w:pPr>
    </w:p>
    <w:p w14:paraId="43C1589A">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4FC0CD3D">
      <w:pPr>
        <w:spacing w:line="570" w:lineRule="exact"/>
        <w:jc w:val="center"/>
        <w:rPr>
          <w:rFonts w:hAnsi="宋体" w:eastAsia="仿宋_GB2312" w:cs="宋体"/>
          <w:kern w:val="0"/>
          <w:sz w:val="30"/>
          <w:szCs w:val="30"/>
        </w:rPr>
      </w:pPr>
    </w:p>
    <w:p w14:paraId="50B74666">
      <w:pPr>
        <w:spacing w:line="570" w:lineRule="exact"/>
        <w:jc w:val="center"/>
        <w:rPr>
          <w:rFonts w:hAnsi="宋体" w:eastAsia="仿宋_GB2312" w:cs="宋体"/>
          <w:kern w:val="0"/>
          <w:sz w:val="30"/>
          <w:szCs w:val="30"/>
        </w:rPr>
      </w:pPr>
    </w:p>
    <w:p w14:paraId="3AFB1B68">
      <w:pPr>
        <w:spacing w:line="570" w:lineRule="exact"/>
        <w:jc w:val="center"/>
        <w:rPr>
          <w:rFonts w:hAnsi="宋体" w:eastAsia="仿宋_GB2312" w:cs="宋体"/>
          <w:kern w:val="0"/>
          <w:sz w:val="30"/>
          <w:szCs w:val="30"/>
        </w:rPr>
      </w:pPr>
    </w:p>
    <w:p w14:paraId="2CBE8B80">
      <w:pPr>
        <w:spacing w:line="570" w:lineRule="exact"/>
        <w:jc w:val="center"/>
        <w:rPr>
          <w:rFonts w:hAnsi="宋体" w:eastAsia="仿宋_GB2312" w:cs="宋体"/>
          <w:kern w:val="0"/>
          <w:sz w:val="30"/>
          <w:szCs w:val="30"/>
        </w:rPr>
      </w:pPr>
    </w:p>
    <w:p w14:paraId="73AFF3D0">
      <w:pPr>
        <w:spacing w:line="570" w:lineRule="exact"/>
        <w:jc w:val="center"/>
        <w:rPr>
          <w:rFonts w:hAnsi="宋体" w:eastAsia="仿宋_GB2312" w:cs="宋体"/>
          <w:kern w:val="0"/>
          <w:sz w:val="30"/>
          <w:szCs w:val="30"/>
        </w:rPr>
      </w:pPr>
    </w:p>
    <w:p w14:paraId="76A4AD35">
      <w:pPr>
        <w:spacing w:line="570" w:lineRule="exact"/>
        <w:jc w:val="center"/>
        <w:rPr>
          <w:rFonts w:hAnsi="宋体" w:eastAsia="仿宋_GB2312" w:cs="宋体"/>
          <w:kern w:val="0"/>
          <w:sz w:val="30"/>
          <w:szCs w:val="30"/>
        </w:rPr>
      </w:pPr>
    </w:p>
    <w:p w14:paraId="119E69FF">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应急监控调度平台</w:t>
      </w:r>
    </w:p>
    <w:p w14:paraId="1AB5A60C">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克孜勒苏柯尔克孜自治州应急管理局</w:t>
      </w:r>
    </w:p>
    <w:p w14:paraId="417F030F">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克孜勒苏柯尔克孜自治州应急管理局</w:t>
      </w:r>
    </w:p>
    <w:p w14:paraId="1ED5A033">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刘晓翔</w:t>
      </w:r>
    </w:p>
    <w:p w14:paraId="4BBD1621">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2024年04月15日</w:t>
      </w:r>
    </w:p>
    <w:p w14:paraId="0E4EBFAA">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469EC5F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594C7CD0">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2A7C169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应急监控调度平台项目实施前期、过程及效果，评价财政预算资金使用的效率及效益。在原有州应急指挥中心建设基础上，完善调度指挥、会商研判、模拟推演、业务保障等配套设施设备和系统功能。加强物联网新基建，特别是防汛、森林防火、地震、地质灾害监测监控网站（点）、感知设备以及应急发电车、移动指挥平台、应急电力通信设施等新型基础设施建设，提高应急通讯保障能力和数据无障碍实时获取能力。围绕自治区应急管理厅应急指挥中心建设规划、本行业发展规划、单位职能、工作职责结合年度工作计划和业务工作开展本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项目资金32万元，全部为财政资金，主要用于购买应急监控调度平台设备。达到单位与公安视频会议系统连通、会议设备运转正常的效果。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通过该项目的实施，在原有州应急指挥中心建设基础上，完善调度指挥、会商研判、模拟推演、业务保障等配套设施设备和系统功能。加强物联网新基建，特别是防汛、森林防火、地震、地质灾害监测监控网站（点）、感知设备以及应急发电车、移动指挥平台、应急电力通信设施等新型基础设施建设，提高应急通讯保障能力和数据无障碍实时获取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克孜勒苏柯尔克孜自治州应急管理局部门本级下设 4  个处室，分别是：办公室、安全生产科、应急管理科、执法支队（参公编制）。克孜勒苏柯尔克孜自治州应急管理局部门中，行政单位 1 家，应急服务保障中心和矿山服务保障中心2家事业单位。克孜勒苏柯尔克孜自治州应急管理局部门编制数39，实有人数33人，其中：在职29人， 退休4人。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根据州委州政府本年度安排下达资金32万元，为应急监控调度平台经费项目资金，最终确定项目资金总数为32万元。其中：中央财政拨款0万元，自治区财政拨款0万元，本级财政拨款32万元，上年结余0万元。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截至2022年12月31日，实际支出32万元，预算执行率100%。</w:t>
      </w:r>
    </w:p>
    <w:p w14:paraId="077D500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01B6E0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该项目资金32万元，其中财政资金32万元，其他资金0万元。为进一步补齐应急指挥工作短板，提升应急指挥中心工作质量，达到指挥全州防灾减灾救灾工作效果，切实体现应急指挥中心能够完成工作职能。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“购置应急监控调度设备（批）”指标，预期指标值为≥1批；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“应急监控链路（次）”指标，预期指标值为≥3次；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“设备质量合格率（%）”指标，预期指标值为＝100%；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w:t>
      </w:r>
      <w:r>
        <w:rPr>
          <w:rStyle w:val="18"/>
          <w:rFonts w:hint="eastAsia" w:ascii="仿宋" w:hAnsi="仿宋" w:eastAsia="仿宋" w:cs="仿宋"/>
          <w:b w:val="0"/>
          <w:bCs w:val="0"/>
          <w:spacing w:val="-4"/>
          <w:sz w:val="32"/>
          <w:szCs w:val="32"/>
          <w:lang w:eastAsia="zh-CN"/>
        </w:rPr>
        <w:t>拨付</w:t>
      </w:r>
      <w:r>
        <w:rPr>
          <w:rStyle w:val="18"/>
          <w:rFonts w:hint="eastAsia" w:ascii="仿宋" w:hAnsi="仿宋" w:eastAsia="仿宋" w:cs="仿宋"/>
          <w:b w:val="0"/>
          <w:bCs w:val="0"/>
          <w:spacing w:val="-4"/>
          <w:sz w:val="32"/>
          <w:szCs w:val="32"/>
        </w:rPr>
        <w:t>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“应急监控调度平台采购金额（万元）”指标，预期指标值为≤31.2万元；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“应急监控调度平台链路费（万元）”指标，预期指标值为≤0.8万元；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“强化应急调度，提升应急指挥能力”指标，预期指标值为有效提升；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“人民群众满意度（%）”指标，预期指标值为≥95%。</w:t>
      </w:r>
    </w:p>
    <w:p w14:paraId="320B6D0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154A703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1CBCABD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324A2F4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1FF3870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应急监控调度平台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54126C0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24D4C54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刘晓翔任评价组组长，职务为副局长，绩效评价工作职责为负责全盘工作。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郑为敏任评价组副组长，绩效评价工作职责为对项目实施情况进行实地调查。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朱晓繁任评价组成员，绩效评价工作职责为负责资料审核等工作。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189EC49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552547D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应急监控调度平台”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应急监控调度平台已完成建设，推动了与各企业视频监管，对保企业作业面实施进行智慧监控，对违规作业进行时实报警，产生了社会效益，通过该项目的实施，有效提升了全州应急指挥视频决策能力。</w:t>
      </w:r>
    </w:p>
    <w:p w14:paraId="3EFDDD88">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4808565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34562A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根据自治区会议要求，州领导参会并批示（该会议纪要涉密），并结合克州应急管理局职责组织实施。围绕克州应急管理局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（2）立项程序规范性：根据决策依据编制工作计划和经费预算，经过与克州应急管理局财经领导小组进行沟通、筛选确定经费预算计划，上局务会研究确定最终预算方案，根据评分标准，该指标不扣分，得2分。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（5）预算编制科学性：预算编制经过州财政局审核资金32万元，实际完成内容与项目内容匹配，项目投资额与工作任务相匹配，根据评分标准，该指标不扣分，得5分。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（6）资金分配合理性：资金分配按照自治区会议要求，全部用于应急监控调度平台建设，资金分配与实际相适应，根据评分标准，该指标不扣分，得5分。</w:t>
      </w:r>
    </w:p>
    <w:p w14:paraId="129988B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57305E5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（1）资金到位率：该项目总投资32万元，克州财政局实际下达经费32万元，财政资金足额拨付到位，根据评分标准，该指标不扣分，得5分。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（2）预算执行率：本项目申请预算金额为32万元，预算批复实际下达金额为 32万元截至 2023年 12 月 31日，资金执行32万元，资金执行率100.00%。项目资金支出总体能够按照预算执行，根据评分标准，该指标不扣分，得5分。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（3）资金使用合规性：根据自治区会议要求和州领导参会的，批示符合预算批复规定用途，不存在截留、挤占、挪用、虚列支出等情况，未发现违规使用情况，根据评分标准，该指标不扣分，得5分。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（4）管理制度健全性：该项目严格按照《克州应急管理局财务制度》及应急管理相关的制度和管理规定实施，对财政专项资金进行严格管理，基本做到了专款专用，根据评分标准，该指标不扣分，得2分。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27D492E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461FE1D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购置应急监控调度设备1批，与预期目标一致，根据评分标准，该指标不扣分，得5分。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应急监控链路3次，与预期目标一致，根据评分标准，该指标不扣分，得5分。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设备质量合格率100%，与预期目标一致，根据评分标准，该指标不扣分，得10分。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w:t>
      </w:r>
      <w:r>
        <w:rPr>
          <w:rStyle w:val="18"/>
          <w:rFonts w:hint="eastAsia" w:ascii="仿宋" w:hAnsi="仿宋" w:eastAsia="仿宋" w:cs="仿宋"/>
          <w:b w:val="0"/>
          <w:bCs w:val="0"/>
          <w:spacing w:val="-4"/>
          <w:sz w:val="32"/>
          <w:szCs w:val="32"/>
          <w:lang w:eastAsia="zh-CN"/>
        </w:rPr>
        <w:t>拨付</w:t>
      </w:r>
      <w:r>
        <w:rPr>
          <w:rStyle w:val="18"/>
          <w:rFonts w:hint="eastAsia" w:ascii="仿宋" w:hAnsi="仿宋" w:eastAsia="仿宋" w:cs="仿宋"/>
          <w:b w:val="0"/>
          <w:bCs w:val="0"/>
          <w:spacing w:val="-4"/>
          <w:sz w:val="32"/>
          <w:szCs w:val="32"/>
        </w:rPr>
        <w:t>及时率100%，与预期目标指标一致，根据评分标准，该指标不扣分，得10分。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应急监控调度平台采购金额31.20万元，与预期目标一致，根据评分标准，该指标不扣分，得5分。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应急监控调度平台链路费0.80万元，与预期目标一致，根据评分标准，该指标不扣分，得5分。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14:paraId="1759B90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15237F84">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提升公共服务水平，与预期指标一致，根据评分标准，该指标不扣分，得10分。：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对于满意度指标：受益人民群众满意度95%，与预期目标一致，根据评分标准，该指标不扣分，得10分。</w:t>
      </w:r>
    </w:p>
    <w:p w14:paraId="470350F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3D4A1E5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一是本项目能够严格按照《项目实施方案》执行，项目执行情况较好。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二是加强组织领导，本项目绩效评价工作，有县政府主要领导亲自挂帅，分管县领导具体负责，从项目到资金，均能后很好的执行。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三是加强沟通协调，我单位及时向县领导汇报项目建设进度，加强与实施单位的沟通，确保项目按期完工。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34853CF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0B2D2A2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0891EBA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499700ED">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2E47DCF">
        <w:pPr>
          <w:pStyle w:val="12"/>
          <w:jc w:val="center"/>
        </w:pPr>
        <w:r>
          <w:fldChar w:fldCharType="begin"/>
        </w:r>
        <w:r>
          <w:instrText xml:space="preserve">PAGE   \* MERGEFORMAT</w:instrText>
        </w:r>
        <w:r>
          <w:fldChar w:fldCharType="separate"/>
        </w:r>
        <w:r>
          <w:rPr>
            <w:lang w:val="zh-CN"/>
          </w:rPr>
          <w:t>1</w:t>
        </w:r>
        <w:r>
          <w:fldChar w:fldCharType="end"/>
        </w:r>
      </w:p>
    </w:sdtContent>
  </w:sdt>
  <w:p w14:paraId="35EB73F3">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2300673"/>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19</Pages>
  <Words>6767</Words>
  <Characters>6955</Characters>
  <Lines>5</Lines>
  <Paragraphs>1</Paragraphs>
  <TotalTime>40</TotalTime>
  <ScaleCrop>false</ScaleCrop>
  <LinksUpToDate>false</LinksUpToDate>
  <CharactersWithSpaces>7228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2024-12-17T09:07:00Z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CA6C5C565DA64E4E817E26B9350CC951_12</vt:lpwstr>
  </property>
</Properties>
</file>