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A0A18">
      <w:pPr>
        <w:spacing w:line="570" w:lineRule="exact"/>
        <w:jc w:val="center"/>
        <w:rPr>
          <w:rFonts w:ascii="华文中宋" w:hAnsi="华文中宋" w:eastAsia="华文中宋" w:cs="宋体"/>
          <w:b/>
          <w:kern w:val="0"/>
          <w:sz w:val="52"/>
          <w:szCs w:val="52"/>
        </w:rPr>
      </w:pPr>
      <w:bookmarkStart w:id="0" w:name="_GoBack"/>
    </w:p>
    <w:p w14:paraId="0FA64797">
      <w:pPr>
        <w:spacing w:line="570" w:lineRule="exact"/>
        <w:jc w:val="center"/>
        <w:rPr>
          <w:rFonts w:ascii="华文中宋" w:hAnsi="华文中宋" w:eastAsia="华文中宋" w:cs="宋体"/>
          <w:b/>
          <w:kern w:val="0"/>
          <w:sz w:val="52"/>
          <w:szCs w:val="52"/>
        </w:rPr>
      </w:pPr>
    </w:p>
    <w:p w14:paraId="0390A695">
      <w:pPr>
        <w:spacing w:line="570" w:lineRule="exact"/>
        <w:jc w:val="center"/>
        <w:rPr>
          <w:rFonts w:ascii="华文中宋" w:hAnsi="华文中宋" w:eastAsia="华文中宋" w:cs="宋体"/>
          <w:b/>
          <w:kern w:val="0"/>
          <w:sz w:val="52"/>
          <w:szCs w:val="52"/>
        </w:rPr>
      </w:pPr>
    </w:p>
    <w:p w14:paraId="1E157916">
      <w:pPr>
        <w:spacing w:line="570" w:lineRule="exact"/>
        <w:jc w:val="center"/>
        <w:rPr>
          <w:rFonts w:ascii="华文中宋" w:hAnsi="华文中宋" w:eastAsia="华文中宋" w:cs="宋体"/>
          <w:b/>
          <w:kern w:val="0"/>
          <w:sz w:val="52"/>
          <w:szCs w:val="52"/>
        </w:rPr>
      </w:pPr>
    </w:p>
    <w:p w14:paraId="236B040C">
      <w:pPr>
        <w:spacing w:line="570" w:lineRule="exact"/>
        <w:rPr>
          <w:rFonts w:ascii="华文中宋" w:hAnsi="华文中宋" w:eastAsia="华文中宋" w:cs="宋体"/>
          <w:b/>
          <w:kern w:val="0"/>
          <w:sz w:val="52"/>
          <w:szCs w:val="52"/>
        </w:rPr>
      </w:pPr>
    </w:p>
    <w:p w14:paraId="48AEE788">
      <w:pPr>
        <w:spacing w:line="570" w:lineRule="exact"/>
        <w:jc w:val="center"/>
        <w:rPr>
          <w:rFonts w:ascii="华文中宋" w:hAnsi="华文中宋" w:eastAsia="华文中宋" w:cs="宋体"/>
          <w:b/>
          <w:kern w:val="0"/>
          <w:sz w:val="52"/>
          <w:szCs w:val="52"/>
        </w:rPr>
      </w:pPr>
    </w:p>
    <w:p w14:paraId="7DC483CB">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73618701">
      <w:pPr>
        <w:spacing w:line="570" w:lineRule="exact"/>
        <w:jc w:val="center"/>
        <w:rPr>
          <w:rFonts w:ascii="华文中宋" w:hAnsi="华文中宋" w:eastAsia="华文中宋" w:cs="宋体"/>
          <w:b/>
          <w:kern w:val="0"/>
          <w:sz w:val="52"/>
          <w:szCs w:val="52"/>
        </w:rPr>
      </w:pPr>
    </w:p>
    <w:p w14:paraId="5E6776A4">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E954338">
      <w:pPr>
        <w:spacing w:line="570" w:lineRule="exact"/>
        <w:jc w:val="center"/>
        <w:rPr>
          <w:rFonts w:hAnsi="宋体" w:eastAsia="仿宋_GB2312" w:cs="宋体"/>
          <w:kern w:val="0"/>
          <w:sz w:val="30"/>
          <w:szCs w:val="30"/>
        </w:rPr>
      </w:pPr>
    </w:p>
    <w:p w14:paraId="1EEC1D92">
      <w:pPr>
        <w:spacing w:line="570" w:lineRule="exact"/>
        <w:jc w:val="center"/>
        <w:rPr>
          <w:rFonts w:hAnsi="宋体" w:eastAsia="仿宋_GB2312" w:cs="宋体"/>
          <w:kern w:val="0"/>
          <w:sz w:val="30"/>
          <w:szCs w:val="30"/>
        </w:rPr>
      </w:pPr>
    </w:p>
    <w:p w14:paraId="1075B96E">
      <w:pPr>
        <w:spacing w:line="570" w:lineRule="exact"/>
        <w:jc w:val="center"/>
        <w:rPr>
          <w:rFonts w:hAnsi="宋体" w:eastAsia="仿宋_GB2312" w:cs="宋体"/>
          <w:kern w:val="0"/>
          <w:sz w:val="30"/>
          <w:szCs w:val="30"/>
        </w:rPr>
      </w:pPr>
    </w:p>
    <w:p w14:paraId="293DD3CF">
      <w:pPr>
        <w:spacing w:line="570" w:lineRule="exact"/>
        <w:jc w:val="center"/>
        <w:rPr>
          <w:rFonts w:hAnsi="宋体" w:eastAsia="仿宋_GB2312" w:cs="宋体"/>
          <w:kern w:val="0"/>
          <w:sz w:val="30"/>
          <w:szCs w:val="30"/>
        </w:rPr>
      </w:pPr>
    </w:p>
    <w:p w14:paraId="7ACE5937">
      <w:pPr>
        <w:spacing w:line="570" w:lineRule="exact"/>
        <w:jc w:val="center"/>
        <w:rPr>
          <w:rFonts w:hAnsi="宋体" w:eastAsia="仿宋_GB2312" w:cs="宋体"/>
          <w:kern w:val="0"/>
          <w:sz w:val="30"/>
          <w:szCs w:val="30"/>
        </w:rPr>
      </w:pPr>
    </w:p>
    <w:p w14:paraId="378F55E8">
      <w:pPr>
        <w:spacing w:line="570" w:lineRule="exact"/>
        <w:jc w:val="center"/>
        <w:rPr>
          <w:rFonts w:hAnsi="宋体" w:eastAsia="仿宋_GB2312" w:cs="宋体"/>
          <w:kern w:val="0"/>
          <w:sz w:val="30"/>
          <w:szCs w:val="30"/>
        </w:rPr>
      </w:pPr>
    </w:p>
    <w:p w14:paraId="2F782E74">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2023年老干部活动费</w:t>
      </w:r>
    </w:p>
    <w:p w14:paraId="01A9241D">
      <w:pPr>
        <w:spacing w:line="570" w:lineRule="exact"/>
        <w:ind w:firstLine="360" w:firstLineChars="100"/>
        <w:jc w:val="left"/>
        <w:rPr>
          <w:rFonts w:hint="eastAsia" w:ascii="仿宋" w:hAnsi="仿宋" w:eastAsia="仿宋" w:cs="仿宋"/>
          <w:kern w:val="0"/>
          <w:sz w:val="32"/>
          <w:szCs w:val="32"/>
          <w:lang w:eastAsia="zh-CN"/>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克孜勒苏柯尔克孜自治州委员会</w:t>
      </w:r>
      <w:r>
        <w:rPr>
          <w:rStyle w:val="18"/>
          <w:rFonts w:hint="eastAsia" w:ascii="仿宋" w:hAnsi="仿宋" w:eastAsia="仿宋" w:cs="仿宋"/>
          <w:b w:val="0"/>
          <w:bCs w:val="0"/>
          <w:spacing w:val="-4"/>
          <w:sz w:val="32"/>
          <w:szCs w:val="32"/>
          <w:lang w:eastAsia="zh-CN"/>
        </w:rPr>
        <w:t>老干部局</w:t>
      </w:r>
    </w:p>
    <w:p w14:paraId="74CE8FC6">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克州党委老干部局</w:t>
      </w:r>
    </w:p>
    <w:p w14:paraId="1D041C12">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徐园林</w:t>
      </w:r>
    </w:p>
    <w:p w14:paraId="5802634B">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2024年04月23日</w:t>
      </w:r>
    </w:p>
    <w:p w14:paraId="0C223517">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5AB217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C7F7D10">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6CBE896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2022年老干部活动经费项目实施前期、过程及效果，评价财政预算资金使用的效率及效益。根据自治州相关工作要求，活动经费主要用于发挥离退休干部作用、节日慰问、住院探视、开展文体活动、实地考察、订阅学习资料、召开茶话会、座谈会、表彰会、经验交流会以及健康疗养和参观农业建设项目等活动开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20万元，其中：财政资金20万元，其他资金0万元。活动经费主要用于发挥离退休干部作用、节日慰问、住院探视、开展文体活动、实地考察、订阅学习资料、召开茶话会、座谈会、表彰会、经验交流会以及健康疗养和参观农业建设项目等活动开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党委组织部《关于调整离退休干部活动费标准的通知》（新党组通字〔2014〕11号）和自治区党委组织部、人力资源和社会保障局《转发&lt;中共中央组织部人力资源和社会保障部财政部关于调整离休干部特需经费标准的通知&gt;的通知》（新人社发〔2017〕2号）等，进一步提升了离退休干部党组织工作质量，达到离退休党组织工作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克州党委老干部局无下属预算单位，下设2个处室，分别是：办公室和离退休干部管理科。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克州党委老干部局编制数17人，实有人数30人，其中：在职13人，增加0人；退休13人，增加1人；离休5人，增加0人。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本年度安排下达资金20万元，为本级财力安排资金，最终确定项目资金总数为20万元。其中：中央财政拨款0万元，自治区财政拨款0万元，本级财政拨款20万元，上年结余0万元。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截至2023年12月31日，实际支出20万元，预算执行率100%。</w:t>
      </w:r>
    </w:p>
    <w:p w14:paraId="3F52CBA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537EA5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主要用于发挥离退休干部作用、节日慰问、住院探视、开展文体活动、实地考察、订阅学习资料、召开茶话会、座谈会、表彰会、经验交流会以及健康疗养和参观农业建设项目等活动开支，有利于了解掌握老干部们的情况，分门别类地提出服务措施，切实加强亲情化、个性化、多样化服务，通过该项目实施达到确保广大老干部老有所养、老有所医、老有所教、老有所学、老有所为、老有所乐，切实把党的关怀和温暖落实到每一位老干部身上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“开展文体活动次数（场次）”指标，预期指标值为≥4场次；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“节日走访慰问人数（人）”指标，预期指标值为≥100人；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“节日期间慰问、座谈次数（次）”指标，预期指标值为≥4次；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“开展文体活动参与率(%)”指标，预期指标值为＝100%；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“节日慰问费用（万元）”指标，预期指标值为≤10万元；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“开展活动经费（万元）”指标，预期指标值为≤10万元；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“提升公共服务水平”指标，预期指标值为有效提升；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“受益离退休干部满意度(%)”指标，预期指标值为≥95%。</w:t>
      </w:r>
    </w:p>
    <w:p w14:paraId="38B95AB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E3A994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33C67A4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248687E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22056A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老干部活动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AFEA96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62886B1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邓昌武任评价组组长，职务为副局长，绩效评价工作职责为负责全盘工作。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黄树成任评价组副组长，绩效评价工作职责为对项目实施情况进行实地调查。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桑宁任评价组成员，绩效评价工作职责为负责资料审核等工作。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29DE126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4CDD992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2023年老干部活动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2023年老干部活动经费项目已完成100%，推动了离退休干部工作发展需要，已确保广大老干部老有所养、老有所医、老有所教、老有所学、老有所为、老有所乐，切实把党的关怀和温暖落实到每一位老干部身上效果。</w:t>
      </w:r>
    </w:p>
    <w:p w14:paraId="6F597466">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0F26730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D8FFF0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自治区党委组织部《关于调整离退休干部活动费标准的通知》（新党组通字〔2014〕11号）和自治区党委组织部、人力资源和社会保障局《转发&lt;中共中央组织部人力资源和社会保障部财政部关于调整离休干部特需经费标准的通知&gt;的通知》（新人社发〔2017〕2号）等并结合克州党委老干部局职责组织实施。围绕克州党委老干部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党委老干部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（5）预算编制科学性：预算编制经经过自治区按照退休干部0.06万元/年/人、离休干部0.17万元/年/人下拨，实际完成内容与项目内容匹配，项目投资额与工作任务相匹配，根据评分标准，该指标不扣分，得5分。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自治区党委组织部《关于调整离退休干部活动费标准的通知》（新党组通字〔2014〕11号）和自治区党委组织部、人力资源和社会保障局《转发&lt;中共中央组织部人力资源和社会保障部财政部关于调整离休干部特需经费标准的通知&gt;的通知》（新人社发〔2017〕2号）文件要求，主要用于发挥离退休干部作用、节日慰问、住院探视、开展文体活动、实地考察、订阅学习资料、召开茶话会、座谈会、表彰会、经验交流会以及健康疗养和参观农业建设项目等活动开支，资金分配与实际相适应，根据评分标准，该指标不扣分，得5分。</w:t>
      </w:r>
    </w:p>
    <w:p w14:paraId="78EF910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4BB97E5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（1）资金到位率：该项目总投资20万元，克州财政局实际下达经费20万元，其中当年财政拨款20万元，上年结转资金0万元，财政资金足额拨付到位，根据评分标准，该指标不扣分，得5分。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20万元，预算批复实际下达金额为20万元，截至2023年12月31日，资金执行数为20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自治区党委组织部《关于调整离退休干部活动费标准的通知》（新党组通字〔2014〕11号）和自治区党委组织部、人力资源和社会保障局《转发&lt;中共中央组织部人力资源和社会保障部财政部关于调整离休干部特需经费标准的通知&gt;的通知》（新人社发〔2017〕2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党委老干部局财务制度》及老干部活动经费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50366D3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2CE1EB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项目产出类指标包括产出数量、产出质量、产出时效、产出成本四方面的内容，由7个三级指标构成，权重分为40分，实际得分40分，得分率为100%。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开展文体活动次数4场次，与预期目标一致，根据评分标准，该指标不扣分，得4分。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节日走访慰问人数100人，与预期目标一致，根据评分标准，该指标不扣分，得3分。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节日期间慰问、座谈次数4次，与预期目标一致，根据评分标准，该指标不扣分，得3分。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开展文体活动参与率100%，与预期目标一致，根据评分标准，该指标不扣分，得10分。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节日慰问费用10万元、预期目标指标一致，根据评分标准，该指标不扣分，得5分。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开展活动经费10万元。预期目标指标一致，根据评分标准，该指标不扣分，得5分。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3EAA25F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70588605">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提升公共服务水平，与预期指标一致，根据评分标准，该指标不扣分，得10分。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对于满意度指标：受益离退休干部满意度95%，与预期目标一致，根据评分标准，该指标不扣分，得10分。</w:t>
      </w:r>
    </w:p>
    <w:p w14:paraId="045E3D8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0EC2110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1E012D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569E660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5894B95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61891F0F">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附件1：2023年老干部活动费项目绩效评价指标体系及评分标准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F0420B1">
        <w:pPr>
          <w:pStyle w:val="12"/>
          <w:jc w:val="center"/>
        </w:pPr>
        <w:r>
          <w:fldChar w:fldCharType="begin"/>
        </w:r>
        <w:r>
          <w:instrText xml:space="preserve">PAGE   \* MERGEFORMAT</w:instrText>
        </w:r>
        <w:r>
          <w:fldChar w:fldCharType="separate"/>
        </w:r>
        <w:r>
          <w:rPr>
            <w:lang w:val="zh-CN"/>
          </w:rPr>
          <w:t>1</w:t>
        </w:r>
        <w:r>
          <w:fldChar w:fldCharType="end"/>
        </w:r>
      </w:p>
    </w:sdtContent>
  </w:sdt>
  <w:p w14:paraId="7075A26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22167D3"/>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7227</Words>
  <Characters>7468</Characters>
  <Lines>5</Lines>
  <Paragraphs>1</Paragraphs>
  <TotalTime>40</TotalTime>
  <ScaleCrop>false</ScaleCrop>
  <LinksUpToDate>false</LinksUpToDate>
  <CharactersWithSpaces>7745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2024-11-28T10:57:53Z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CCA2FD4A73DF4D74B09ACAEA4C442725_12</vt:lpwstr>
  </property>
</Properties>
</file>