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楷体" w:hAnsi="楷体" w:eastAsia="仿宋"/>
          <w:sz w:val="32"/>
          <w:szCs w:val="32"/>
          <w:lang w:eastAsia="zh-CN"/>
        </w:rPr>
      </w:pPr>
      <w:r>
        <w:rPr>
          <w:rFonts w:hint="eastAsia" w:ascii="仿宋_GB2312" w:hAnsi="仿宋_GB2312" w:eastAsia="仿宋_GB2312"/>
          <w:sz w:val="32"/>
          <w:szCs w:val="32"/>
        </w:rPr>
        <w:t>克财</w:t>
      </w:r>
      <w:r>
        <w:rPr>
          <w:rFonts w:hint="eastAsia" w:ascii="仿宋_GB2312" w:hAnsi="仿宋_GB2312" w:eastAsia="仿宋_GB2312"/>
          <w:sz w:val="32"/>
          <w:szCs w:val="32"/>
          <w:lang w:eastAsia="zh-CN"/>
        </w:rPr>
        <w:t>规</w:t>
      </w:r>
      <w:r>
        <w:rPr>
          <w:rFonts w:hint="eastAsia" w:ascii="仿宋_GB2312" w:hAnsi="仿宋_GB2312" w:eastAsia="仿宋_GB2312"/>
          <w:sz w:val="32"/>
          <w:szCs w:val="32"/>
        </w:rPr>
        <w:t>〔202</w:t>
      </w:r>
      <w:r>
        <w:rPr>
          <w:rFonts w:hint="eastAsia" w:ascii="仿宋_GB2312" w:hAnsi="仿宋_GB2312" w:eastAsia="仿宋_GB2312"/>
          <w:sz w:val="32"/>
          <w:szCs w:val="32"/>
          <w:lang w:val="en-US" w:eastAsia="zh-CN"/>
        </w:rPr>
        <w:t>5</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1</w:t>
      </w:r>
      <w:r>
        <w:rPr>
          <w:rFonts w:hint="eastAsia" w:ascii="仿宋_GB2312" w:hAns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_GBK" w:hAnsi="方正小标宋_GBK" w:eastAsia="方正小标宋_GBK" w:cs="方正小标宋_GBK"/>
          <w:sz w:val="44"/>
          <w:szCs w:val="44"/>
          <w:lang w:eastAsia="zh-CN"/>
        </w:rPr>
        <w:t>关于</w:t>
      </w:r>
      <w:r>
        <w:rPr>
          <w:rFonts w:hint="eastAsia" w:ascii="方正小标宋_GBK" w:hAnsi="方正小标宋_GBK" w:eastAsia="方正小标宋_GBK" w:cs="方正小标宋_GBK"/>
          <w:sz w:val="44"/>
          <w:szCs w:val="44"/>
          <w:lang w:val="en-US" w:eastAsia="zh-CN"/>
        </w:rPr>
        <w:t>印发</w:t>
      </w:r>
      <w:r>
        <w:rPr>
          <w:rFonts w:hint="eastAsia" w:ascii="方正小标宋_GBK" w:hAnsi="方正小标宋_GBK" w:eastAsia="方正小标宋_GBK" w:cs="方正小标宋_GBK"/>
          <w:sz w:val="44"/>
          <w:szCs w:val="44"/>
          <w:lang w:eastAsia="zh-CN"/>
        </w:rPr>
        <w:t>《克孜勒苏柯尔克孜自治州本级国有资本收益收取管理办法》的通知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自治州本级有关部门，州属国有企业：</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jc w:val="both"/>
        <w:textAlignment w:val="auto"/>
        <w:rPr>
          <w:rFonts w:hint="eastAsia"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为了规范自治州本级国有资本收益收取行为，建立健全全面规范、有力有效的国有资本收益收取制度，</w:t>
      </w:r>
      <w:r>
        <w:rPr>
          <w:rFonts w:hint="default" w:ascii="Times New Roman" w:hAnsi="Times New Roman" w:eastAsia="仿宋_GB2312" w:cs="Times New Roman"/>
          <w:sz w:val="32"/>
          <w:szCs w:val="32"/>
          <w:highlight w:val="none"/>
          <w:lang w:val="en-US" w:eastAsia="zh-CN"/>
        </w:rPr>
        <w:t>依法依规收取国有资本收益，</w:t>
      </w:r>
      <w:r>
        <w:rPr>
          <w:rFonts w:hint="eastAsia" w:ascii="Times New Roman" w:hAnsi="Times New Roman" w:eastAsia="仿宋_GB2312" w:cs="Times New Roman"/>
          <w:sz w:val="32"/>
          <w:szCs w:val="32"/>
          <w:highlight w:val="none"/>
          <w:lang w:val="en-US" w:eastAsia="zh-CN"/>
        </w:rPr>
        <w:t>自治州财政局研究制定了《克孜勒苏柯尔克孜自治州本级国有资本收益收取管理办法》。经自治州人民政府批准同意，现印发你们，请遵照执行。</w:t>
      </w:r>
    </w:p>
    <w:p/>
    <w:p>
      <w:pPr>
        <w:pStyle w:val="2"/>
      </w:pPr>
    </w:p>
    <w:p>
      <w:pPr>
        <w:pStyle w:val="2"/>
      </w:pPr>
    </w:p>
    <w:p>
      <w:pPr>
        <w:keepNext w:val="0"/>
        <w:keepLines w:val="0"/>
        <w:pageBreakBefore w:val="0"/>
        <w:widowControl w:val="0"/>
        <w:kinsoku/>
        <w:wordWrap/>
        <w:overflowPunct/>
        <w:topLinePunct w:val="0"/>
        <w:autoSpaceDE/>
        <w:autoSpaceDN/>
        <w:bidi w:val="0"/>
        <w:adjustRightInd/>
        <w:snapToGrid/>
        <w:spacing w:line="578" w:lineRule="exact"/>
        <w:ind w:left="0" w:leftChars="0" w:firstLine="5120" w:firstLineChars="1600"/>
        <w:textAlignment w:val="auto"/>
        <w:rPr>
          <w:rFonts w:hint="eastAsia"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克州财政局</w:t>
      </w:r>
    </w:p>
    <w:p>
      <w:pPr>
        <w:pStyle w:val="2"/>
        <w:ind w:firstLine="4800" w:firstLineChars="1500"/>
        <w:rPr>
          <w:rFonts w:hint="eastAsia" w:ascii="仿宋_GB2312" w:hAnsi="仿宋_GB2312" w:eastAsia="仿宋_GB2312"/>
          <w:sz w:val="32"/>
          <w:szCs w:val="32"/>
          <w:highlight w:val="none"/>
          <w:lang w:val="en-US" w:eastAsia="zh-CN"/>
        </w:rPr>
      </w:pPr>
      <w:r>
        <w:rPr>
          <w:rFonts w:hint="eastAsia" w:ascii="仿宋_GB2312" w:hAnsi="仿宋_GB2312" w:eastAsia="仿宋_GB2312"/>
          <w:sz w:val="32"/>
          <w:szCs w:val="32"/>
          <w:highlight w:val="none"/>
          <w:lang w:val="en-US" w:eastAsia="zh-CN"/>
        </w:rPr>
        <w:t>2025年12月1日</w:t>
      </w:r>
    </w:p>
    <w:p>
      <w:pPr>
        <w:pStyle w:val="2"/>
        <w:ind w:firstLine="4800" w:firstLineChars="1500"/>
        <w:rPr>
          <w:rFonts w:hint="eastAsia" w:ascii="仿宋_GB2312" w:hAnsi="仿宋_GB2312" w:eastAsia="仿宋_GB2312"/>
          <w:sz w:val="32"/>
          <w:szCs w:val="32"/>
          <w:highlight w:val="none"/>
          <w:lang w:val="en-US" w:eastAsia="zh-CN"/>
        </w:rPr>
      </w:pPr>
    </w:p>
    <w:p>
      <w:pPr>
        <w:pStyle w:val="2"/>
        <w:rPr>
          <w:rFonts w:hint="eastAsia" w:ascii="仿宋_GB2312" w:hAnsi="仿宋_GB2312" w:eastAsia="仿宋_GB2312"/>
          <w:sz w:val="32"/>
          <w:szCs w:val="32"/>
          <w:highlight w:val="none"/>
          <w:lang w:val="en-US" w:eastAsia="zh-CN"/>
        </w:rPr>
      </w:pPr>
      <w:r>
        <w:rPr>
          <w:rFonts w:hint="eastAsia" w:ascii="仿宋_GB2312" w:hAnsi="仿宋_GB2312" w:eastAsia="仿宋_GB2312"/>
          <w:sz w:val="32"/>
          <w:szCs w:val="32"/>
          <w:highlight w:val="none"/>
          <w:lang w:val="en-US" w:eastAsia="zh-CN"/>
        </w:rPr>
        <w:t xml:space="preserve">  （此件公开发布）</w:t>
      </w:r>
    </w:p>
    <w:p>
      <w:pPr>
        <w:pStyle w:val="2"/>
        <w:rPr>
          <w:rFonts w:hint="eastAsia" w:ascii="仿宋_GB2312" w:hAnsi="仿宋_GB2312" w:eastAsia="仿宋_GB2312"/>
          <w:sz w:val="32"/>
          <w:szCs w:val="32"/>
          <w:highlight w:val="none"/>
          <w:lang w:val="en-US" w:eastAsia="zh-CN"/>
        </w:rPr>
      </w:pPr>
    </w:p>
    <w:p>
      <w:pPr>
        <w:pStyle w:val="2"/>
        <w:rPr>
          <w:rFonts w:hint="eastAsia" w:ascii="仿宋_GB2312" w:hAnsi="仿宋_GB2312" w:eastAsia="仿宋_GB2312"/>
          <w:sz w:val="32"/>
          <w:szCs w:val="32"/>
          <w:highlight w:val="none"/>
          <w:lang w:val="en-US" w:eastAsia="zh-CN"/>
        </w:rPr>
      </w:pPr>
    </w:p>
    <w:p>
      <w:pPr>
        <w:pStyle w:val="2"/>
        <w:rPr>
          <w:rFonts w:hint="eastAsia" w:ascii="仿宋_GB2312" w:hAnsi="仿宋_GB2312" w:eastAsia="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4"/>
          <w:szCs w:val="44"/>
          <w:highlight w:val="none"/>
          <w:lang w:eastAsia="zh-CN"/>
        </w:rPr>
      </w:pPr>
      <w:bookmarkStart w:id="4" w:name="_GoBack"/>
      <w:bookmarkEnd w:id="4"/>
      <w:r>
        <w:rPr>
          <w:rFonts w:hint="default" w:ascii="Times New Roman" w:hAnsi="Times New Roman" w:eastAsia="方正小标宋_GBK" w:cs="Times New Roman"/>
          <w:sz w:val="44"/>
          <w:szCs w:val="44"/>
          <w:highlight w:val="none"/>
          <w:lang w:eastAsia="zh-CN"/>
        </w:rPr>
        <w:t>克孜勒苏柯尔克孜自治州</w:t>
      </w:r>
      <w:r>
        <w:rPr>
          <w:rFonts w:hint="eastAsia" w:eastAsia="方正小标宋_GBK" w:cs="Times New Roman"/>
          <w:sz w:val="44"/>
          <w:szCs w:val="44"/>
          <w:highlight w:val="none"/>
          <w:lang w:eastAsia="zh-CN"/>
        </w:rPr>
        <w:t>本级</w:t>
      </w:r>
      <w:r>
        <w:rPr>
          <w:rFonts w:hint="default" w:ascii="Times New Roman" w:hAnsi="Times New Roman" w:eastAsia="方正小标宋_GBK" w:cs="Times New Roman"/>
          <w:sz w:val="44"/>
          <w:szCs w:val="44"/>
          <w:highlight w:val="none"/>
          <w:lang w:eastAsia="zh-CN"/>
        </w:rPr>
        <w:t>国有资本</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sz w:val="44"/>
          <w:szCs w:val="44"/>
          <w:highlight w:val="none"/>
          <w:lang w:eastAsia="zh-CN"/>
        </w:rPr>
      </w:pPr>
      <w:r>
        <w:rPr>
          <w:rFonts w:hint="default" w:ascii="Times New Roman" w:hAnsi="Times New Roman" w:eastAsia="方正小标宋_GBK" w:cs="Times New Roman"/>
          <w:sz w:val="44"/>
          <w:szCs w:val="44"/>
          <w:highlight w:val="none"/>
          <w:lang w:eastAsia="zh-CN"/>
        </w:rPr>
        <w:t>收益收取管理办法</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第一条</w:t>
      </w:r>
      <w:r>
        <w:rPr>
          <w:rFonts w:hint="default" w:ascii="Times New Roman" w:hAnsi="Times New Roman" w:eastAsia="仿宋_GB2312" w:cs="Times New Roman"/>
          <w:sz w:val="32"/>
          <w:szCs w:val="32"/>
          <w:highlight w:val="none"/>
          <w:lang w:val="en-US" w:eastAsia="zh-CN"/>
        </w:rPr>
        <w:t xml:space="preserve"> </w:t>
      </w:r>
      <w:r>
        <w:rPr>
          <w:rFonts w:hint="eastAsia" w:eastAsia="仿宋_GB2312" w:cs="Times New Roman"/>
          <w:sz w:val="32"/>
          <w:szCs w:val="32"/>
          <w:highlight w:val="none"/>
          <w:lang w:val="en-US" w:eastAsia="zh-CN"/>
        </w:rPr>
        <w:t>为了规范自治州本级国有资本收益收取行为，建立健全全面规范、有力有效的国有资本收益收取制度，</w:t>
      </w:r>
      <w:r>
        <w:rPr>
          <w:rFonts w:hint="default" w:ascii="Times New Roman" w:hAnsi="Times New Roman" w:eastAsia="仿宋_GB2312" w:cs="Times New Roman"/>
          <w:sz w:val="32"/>
          <w:szCs w:val="32"/>
          <w:highlight w:val="none"/>
          <w:lang w:val="en-US" w:eastAsia="zh-CN"/>
        </w:rPr>
        <w:t>依法依规收取国有资本收益，根据《中华人民共和国预算法》《中华人民共和国预算法实施条例》《中华人民共和国公司法》《中华人民共和国企业国有资产法》</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国务院关于进一步深化预算管理制度改革的意见</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（国发〔</w:t>
      </w:r>
      <w:r>
        <w:rPr>
          <w:rFonts w:hint="default" w:ascii="Times New Roman" w:hAnsi="Times New Roman" w:eastAsia="仿宋_GB2312" w:cs="Times New Roman"/>
          <w:color w:val="auto"/>
          <w:sz w:val="32"/>
          <w:szCs w:val="32"/>
          <w:highlight w:val="none"/>
          <w:lang w:val="en-US" w:eastAsia="zh-CN"/>
        </w:rPr>
        <w:t>2021</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5号</w:t>
      </w:r>
      <w:r>
        <w:rPr>
          <w:rFonts w:hint="default"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《国务院关于进一步完善国有资本经营预算制度的意见》（国发〔</w:t>
      </w:r>
      <w:r>
        <w:rPr>
          <w:rFonts w:hint="default" w:ascii="Times New Roman" w:hAnsi="Times New Roman" w:eastAsia="仿宋_GB2312" w:cs="Times New Roman"/>
          <w:color w:val="auto"/>
          <w:sz w:val="32"/>
          <w:szCs w:val="32"/>
          <w:highlight w:val="none"/>
          <w:lang w:val="en-US" w:eastAsia="zh-CN"/>
        </w:rPr>
        <w:t>2024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2号</w:t>
      </w:r>
      <w:r>
        <w:rPr>
          <w:rFonts w:hint="default" w:ascii="Times New Roman" w:hAnsi="Times New Roman" w:eastAsia="仿宋_GB2312" w:cs="Times New Roman"/>
          <w:color w:val="auto"/>
          <w:sz w:val="32"/>
          <w:szCs w:val="32"/>
          <w:highlight w:val="none"/>
          <w:lang w:eastAsia="zh-CN"/>
        </w:rPr>
        <w:t>）</w:t>
      </w:r>
      <w:r>
        <w:rPr>
          <w:rFonts w:hint="eastAsia" w:eastAsia="仿宋_GB2312" w:cs="Times New Roman"/>
          <w:color w:val="auto"/>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关于进一步加强国有资本经营预算管理的通知</w:t>
      </w:r>
      <w:r>
        <w:rPr>
          <w:rFonts w:hint="eastAsia" w:ascii="仿宋_GB2312" w:hAnsi="仿宋_GB2312" w:eastAsia="仿宋_GB2312" w:cs="仿宋_GB2312"/>
          <w:sz w:val="32"/>
          <w:szCs w:val="32"/>
          <w:highlight w:val="none"/>
        </w:rPr>
        <w:t>》（新</w:t>
      </w:r>
      <w:r>
        <w:rPr>
          <w:rFonts w:hint="eastAsia" w:ascii="仿宋_GB2312" w:hAnsi="仿宋_GB2312" w:eastAsia="仿宋_GB2312" w:cs="仿宋_GB2312"/>
          <w:sz w:val="32"/>
          <w:szCs w:val="32"/>
          <w:highlight w:val="none"/>
          <w:lang w:eastAsia="zh-CN"/>
        </w:rPr>
        <w:t>财企</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115</w:t>
      </w:r>
      <w:r>
        <w:rPr>
          <w:rFonts w:hint="eastAsia" w:ascii="仿宋_GB2312" w:hAnsi="仿宋_GB2312" w:eastAsia="仿宋_GB2312" w:cs="仿宋_GB2312"/>
          <w:sz w:val="32"/>
          <w:szCs w:val="32"/>
          <w:highlight w:val="none"/>
        </w:rPr>
        <w:t>号）</w:t>
      </w:r>
      <w:r>
        <w:rPr>
          <w:rFonts w:hint="default" w:ascii="Times New Roman" w:hAnsi="Times New Roman" w:eastAsia="仿宋_GB2312" w:cs="Times New Roman"/>
          <w:sz w:val="32"/>
          <w:szCs w:val="32"/>
          <w:highlight w:val="none"/>
          <w:lang w:val="en-US" w:eastAsia="zh-CN"/>
        </w:rPr>
        <w:t>等法律法规</w:t>
      </w:r>
      <w:r>
        <w:rPr>
          <w:rFonts w:hint="eastAsia" w:eastAsia="仿宋_GB2312" w:cs="Times New Roman"/>
          <w:sz w:val="32"/>
          <w:szCs w:val="32"/>
          <w:highlight w:val="none"/>
          <w:lang w:val="en-US" w:eastAsia="zh-CN"/>
        </w:rPr>
        <w:t>和政策规定</w:t>
      </w:r>
      <w:r>
        <w:rPr>
          <w:rFonts w:hint="default" w:ascii="Times New Roman" w:hAnsi="Times New Roman" w:eastAsia="仿宋_GB2312" w:cs="Times New Roman"/>
          <w:sz w:val="32"/>
          <w:szCs w:val="32"/>
          <w:highlight w:val="none"/>
          <w:lang w:val="en-US" w:eastAsia="zh-CN"/>
        </w:rPr>
        <w:t>，制定本办法。</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w:t>
      </w:r>
      <w:r>
        <w:rPr>
          <w:rFonts w:hint="eastAsia" w:ascii="Times New Roman" w:hAnsi="Times New Roman" w:eastAsia="仿宋_GB2312" w:cs="Times New Roman"/>
          <w:b/>
          <w:bCs/>
          <w:sz w:val="32"/>
          <w:szCs w:val="32"/>
          <w:highlight w:val="none"/>
          <w:lang w:val="en-US" w:eastAsia="zh-CN"/>
        </w:rPr>
        <w:t>二</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w:t>
      </w:r>
      <w:r>
        <w:rPr>
          <w:rFonts w:hint="eastAsia" w:eastAsia="仿宋_GB2312" w:cs="Times New Roman"/>
          <w:sz w:val="32"/>
          <w:szCs w:val="32"/>
          <w:highlight w:val="none"/>
          <w:lang w:val="en-US" w:eastAsia="zh-CN"/>
        </w:rPr>
        <w:t>纳入自治州本级国有资本经营预算实施范围的国有企业（以下简称“国有企业”）国有资本收益申报、审核、收取、监督适用本办法</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执行《企业会计准则》或《小企业会计准则》的财政经费差额管理或自收自支管理（含企业化管理）的事业单位不适用本办法。</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本办法所称国有企业，是指由自治州人民政府</w:t>
      </w:r>
      <w:r>
        <w:rPr>
          <w:rFonts w:hint="default" w:ascii="Times New Roman" w:hAnsi="Times New Roman" w:eastAsia="仿宋_GB2312" w:cs="Times New Roman"/>
          <w:sz w:val="32"/>
          <w:szCs w:val="32"/>
          <w:highlight w:val="none"/>
          <w:lang w:val="en-US" w:eastAsia="zh-CN"/>
        </w:rPr>
        <w:t>授权的机构（部门）履行出资人职责的</w:t>
      </w:r>
      <w:r>
        <w:rPr>
          <w:rFonts w:hint="eastAsia" w:eastAsia="仿宋_GB2312" w:cs="Times New Roman"/>
          <w:sz w:val="32"/>
          <w:szCs w:val="32"/>
          <w:highlight w:val="none"/>
          <w:lang w:val="en-US" w:eastAsia="zh-CN"/>
        </w:rPr>
        <w:t>一级</w:t>
      </w:r>
      <w:r>
        <w:rPr>
          <w:rFonts w:hint="default" w:ascii="Times New Roman" w:hAnsi="Times New Roman" w:eastAsia="仿宋_GB2312" w:cs="Times New Roman"/>
          <w:sz w:val="32"/>
          <w:szCs w:val="32"/>
          <w:highlight w:val="none"/>
          <w:lang w:val="en-US" w:eastAsia="zh-CN"/>
        </w:rPr>
        <w:t>国有企业</w:t>
      </w:r>
      <w:r>
        <w:rPr>
          <w:rFonts w:hint="eastAsia" w:eastAsia="仿宋_GB2312" w:cs="Times New Roman"/>
          <w:sz w:val="32"/>
          <w:szCs w:val="32"/>
          <w:highlight w:val="none"/>
          <w:lang w:val="en-US" w:eastAsia="zh-CN"/>
        </w:rPr>
        <w:t>、金融企业和自治州党政机关</w:t>
      </w:r>
      <w:r>
        <w:rPr>
          <w:rFonts w:hint="default" w:ascii="Times New Roman" w:hAnsi="Times New Roman" w:eastAsia="仿宋_GB2312" w:cs="Times New Roman"/>
          <w:sz w:val="32"/>
          <w:szCs w:val="32"/>
          <w:highlight w:val="none"/>
          <w:lang w:val="en-US" w:eastAsia="zh-CN"/>
        </w:rPr>
        <w:t>和事业单位所办国有企业，</w:t>
      </w:r>
      <w:r>
        <w:rPr>
          <w:rFonts w:hint="eastAsia" w:eastAsia="仿宋_GB2312" w:cs="Times New Roman"/>
          <w:sz w:val="32"/>
          <w:szCs w:val="32"/>
          <w:highlight w:val="none"/>
          <w:lang w:val="en-US" w:eastAsia="zh-CN"/>
        </w:rPr>
        <w:t>以及在特殊情形下视同一级管理的国有企业</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本办法所称</w:t>
      </w:r>
      <w:r>
        <w:rPr>
          <w:rFonts w:hint="default" w:ascii="Times New Roman" w:hAnsi="Times New Roman" w:eastAsia="仿宋_GB2312" w:cs="Times New Roman"/>
          <w:sz w:val="32"/>
          <w:szCs w:val="32"/>
          <w:highlight w:val="none"/>
          <w:lang w:val="en-US" w:eastAsia="zh-CN"/>
        </w:rPr>
        <w:t>国有资本收益</w:t>
      </w:r>
      <w:r>
        <w:rPr>
          <w:rFonts w:hint="eastAsia" w:eastAsia="仿宋_GB2312" w:cs="Times New Roman"/>
          <w:sz w:val="32"/>
          <w:szCs w:val="32"/>
          <w:highlight w:val="none"/>
          <w:lang w:val="en-US" w:eastAsia="zh-CN"/>
        </w:rPr>
        <w:t>，是指自治州人民政府</w:t>
      </w:r>
      <w:r>
        <w:rPr>
          <w:rFonts w:hint="default" w:ascii="Times New Roman" w:hAnsi="Times New Roman" w:eastAsia="仿宋_GB2312" w:cs="Times New Roman"/>
          <w:sz w:val="32"/>
          <w:szCs w:val="32"/>
          <w:highlight w:val="none"/>
          <w:lang w:val="en-US" w:eastAsia="zh-CN"/>
        </w:rPr>
        <w:t>以所有者身份从</w:t>
      </w:r>
      <w:r>
        <w:rPr>
          <w:rFonts w:hint="eastAsia" w:eastAsia="仿宋_GB2312" w:cs="Times New Roman"/>
          <w:sz w:val="32"/>
          <w:szCs w:val="32"/>
          <w:highlight w:val="none"/>
          <w:lang w:val="en-US" w:eastAsia="zh-CN"/>
        </w:rPr>
        <w:t>国有企业的</w:t>
      </w:r>
      <w:r>
        <w:rPr>
          <w:rFonts w:hint="default" w:ascii="Times New Roman" w:hAnsi="Times New Roman" w:eastAsia="仿宋_GB2312" w:cs="Times New Roman"/>
          <w:sz w:val="32"/>
          <w:szCs w:val="32"/>
          <w:highlight w:val="none"/>
          <w:lang w:val="en-US" w:eastAsia="zh-CN"/>
        </w:rPr>
        <w:t>国有资产经营活动中</w:t>
      </w:r>
      <w:r>
        <w:rPr>
          <w:rFonts w:hint="eastAsia" w:eastAsia="仿宋_GB2312" w:cs="Times New Roman"/>
          <w:sz w:val="32"/>
          <w:szCs w:val="32"/>
          <w:highlight w:val="none"/>
          <w:lang w:val="en-US" w:eastAsia="zh-CN"/>
        </w:rPr>
        <w:t>获得的收入</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3" w:firstLineChars="200"/>
        <w:textAlignment w:val="auto"/>
        <w:rPr>
          <w:rFonts w:hint="eastAsia" w:eastAsia="仿宋_GB2312" w:cs="Times New Roman"/>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第三条</w:t>
      </w:r>
      <w:r>
        <w:rPr>
          <w:rFonts w:hint="eastAsia" w:eastAsia="仿宋_GB2312" w:cs="Times New Roman"/>
          <w:sz w:val="32"/>
          <w:szCs w:val="32"/>
          <w:highlight w:val="none"/>
          <w:lang w:val="en-US" w:eastAsia="zh-CN"/>
        </w:rPr>
        <w:t xml:space="preserve"> 自治州财政局（以下简称“财政部门”）负责自治州本级国有资本收益收缴和管理。</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履行出资人职责的机构（以下简称“出资人单位”）</w:t>
      </w:r>
      <w:r>
        <w:rPr>
          <w:rFonts w:hint="eastAsia" w:eastAsia="仿宋_GB2312" w:cs="Times New Roman"/>
          <w:sz w:val="32"/>
          <w:szCs w:val="32"/>
          <w:highlight w:val="none"/>
          <w:lang w:eastAsia="zh-CN"/>
        </w:rPr>
        <w:t>是指经</w:t>
      </w:r>
      <w:r>
        <w:rPr>
          <w:rFonts w:hint="eastAsia" w:eastAsia="仿宋_GB2312" w:cs="Times New Roman"/>
          <w:sz w:val="32"/>
          <w:szCs w:val="32"/>
          <w:highlight w:val="none"/>
          <w:lang w:val="en-US" w:eastAsia="zh-CN"/>
        </w:rPr>
        <w:t>自治州人民政府</w:t>
      </w:r>
      <w:r>
        <w:rPr>
          <w:rFonts w:hint="default" w:ascii="Times New Roman" w:hAnsi="Times New Roman" w:eastAsia="仿宋_GB2312" w:cs="Times New Roman"/>
          <w:sz w:val="32"/>
          <w:szCs w:val="32"/>
          <w:highlight w:val="none"/>
          <w:lang w:val="en-US" w:eastAsia="zh-CN"/>
        </w:rPr>
        <w:t>授权履行出资人职责的</w:t>
      </w:r>
      <w:r>
        <w:rPr>
          <w:rFonts w:hint="eastAsia" w:eastAsia="仿宋_GB2312" w:cs="Times New Roman"/>
          <w:sz w:val="32"/>
          <w:szCs w:val="32"/>
          <w:highlight w:val="none"/>
          <w:lang w:val="en-US" w:eastAsia="zh-CN"/>
        </w:rPr>
        <w:t>国有资产监督管理</w:t>
      </w:r>
      <w:r>
        <w:rPr>
          <w:rFonts w:hint="default" w:ascii="Times New Roman" w:hAnsi="Times New Roman" w:eastAsia="仿宋_GB2312" w:cs="Times New Roman"/>
          <w:sz w:val="32"/>
          <w:szCs w:val="32"/>
          <w:highlight w:val="none"/>
          <w:lang w:val="en-US" w:eastAsia="zh-CN"/>
        </w:rPr>
        <w:t>机构</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部门</w:t>
      </w:r>
      <w:r>
        <w:rPr>
          <w:rFonts w:hint="eastAsia" w:eastAsia="仿宋_GB2312" w:cs="Times New Roman"/>
          <w:sz w:val="32"/>
          <w:szCs w:val="32"/>
          <w:highlight w:val="none"/>
          <w:lang w:val="en-US" w:eastAsia="zh-CN"/>
        </w:rPr>
        <w:t>），以及有关自治州党政机关和事业单位，负责组织和审核所监管企业按规定申报、上交国有资本收益，并将上交情况纳入企业负责人经营业绩考核与负责人薪酬挂钩。</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textAlignment w:val="auto"/>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国有企业按照规定申报、上交国有资本收益。</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w:t>
      </w:r>
      <w:r>
        <w:rPr>
          <w:rFonts w:hint="eastAsia" w:ascii="Times New Roman" w:hAnsi="Times New Roman" w:eastAsia="仿宋_GB2312" w:cs="Times New Roman"/>
          <w:b/>
          <w:bCs/>
          <w:sz w:val="32"/>
          <w:szCs w:val="32"/>
          <w:highlight w:val="none"/>
          <w:lang w:val="en-US" w:eastAsia="zh-CN"/>
        </w:rPr>
        <w:t>四</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国有资本收益包括国有独资企业和国有独资公司应交利润、国有控股和参股企业国有股股息红利、国有产权转让收入、国有企业清算收入</w:t>
      </w:r>
      <w:r>
        <w:rPr>
          <w:rFonts w:hint="eastAsia" w:eastAsia="仿宋_GB2312" w:cs="Times New Roman"/>
          <w:sz w:val="32"/>
          <w:szCs w:val="32"/>
          <w:highlight w:val="none"/>
          <w:lang w:val="en-US" w:eastAsia="zh-CN"/>
        </w:rPr>
        <w:t>等</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（一）国有独资企业和国有独资公司应交利润</w:t>
      </w:r>
      <w:r>
        <w:rPr>
          <w:rFonts w:hint="eastAsia" w:eastAsia="仿宋_GB2312" w:cs="Times New Roman"/>
          <w:sz w:val="32"/>
          <w:szCs w:val="32"/>
          <w:highlight w:val="none"/>
          <w:lang w:val="en-US" w:eastAsia="zh-CN"/>
        </w:rPr>
        <w:t>是指：</w:t>
      </w:r>
      <w:r>
        <w:rPr>
          <w:rFonts w:hint="default" w:ascii="Times New Roman" w:hAnsi="Times New Roman" w:eastAsia="仿宋_GB2312" w:cs="Times New Roman"/>
          <w:sz w:val="32"/>
          <w:szCs w:val="32"/>
          <w:highlight w:val="none"/>
          <w:lang w:val="en-US" w:eastAsia="zh-CN"/>
        </w:rPr>
        <w:t>国有独资企业和国有独资公司按规定比例向</w:t>
      </w:r>
      <w:r>
        <w:rPr>
          <w:rFonts w:hint="eastAsia" w:eastAsia="仿宋_GB2312" w:cs="Times New Roman"/>
          <w:sz w:val="32"/>
          <w:szCs w:val="32"/>
          <w:highlight w:val="none"/>
          <w:lang w:val="en-US" w:eastAsia="zh-CN"/>
        </w:rPr>
        <w:t>自治州人民政府</w:t>
      </w:r>
      <w:r>
        <w:rPr>
          <w:rFonts w:hint="default" w:ascii="Times New Roman" w:hAnsi="Times New Roman" w:eastAsia="仿宋_GB2312" w:cs="Times New Roman"/>
          <w:sz w:val="32"/>
          <w:szCs w:val="32"/>
          <w:highlight w:val="none"/>
          <w:lang w:val="en-US" w:eastAsia="zh-CN"/>
        </w:rPr>
        <w:t>上交的利润。</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（二）国有控股和参股企业国有股股息红利</w:t>
      </w:r>
      <w:r>
        <w:rPr>
          <w:rFonts w:hint="eastAsia" w:eastAsia="仿宋_GB2312" w:cs="Times New Roman"/>
          <w:sz w:val="32"/>
          <w:szCs w:val="32"/>
          <w:highlight w:val="none"/>
          <w:lang w:val="en-US" w:eastAsia="zh-CN"/>
        </w:rPr>
        <w:t>是指</w:t>
      </w:r>
      <w:r>
        <w:rPr>
          <w:rFonts w:hint="default" w:ascii="Times New Roman" w:hAnsi="Times New Roman" w:eastAsia="仿宋_GB2312" w:cs="Times New Roman"/>
          <w:sz w:val="32"/>
          <w:szCs w:val="32"/>
          <w:highlight w:val="none"/>
          <w:lang w:val="en-US" w:eastAsia="zh-CN"/>
        </w:rPr>
        <w:t>：国有控股、参股企业根据国有股权（股份）占比，向</w:t>
      </w:r>
      <w:r>
        <w:rPr>
          <w:rFonts w:hint="eastAsia" w:eastAsia="仿宋_GB2312" w:cs="Times New Roman"/>
          <w:sz w:val="32"/>
          <w:szCs w:val="32"/>
          <w:highlight w:val="none"/>
          <w:lang w:val="en-US" w:eastAsia="zh-CN"/>
        </w:rPr>
        <w:t>自治州人民政府</w:t>
      </w:r>
      <w:r>
        <w:rPr>
          <w:rFonts w:hint="default" w:ascii="Times New Roman" w:hAnsi="Times New Roman" w:eastAsia="仿宋_GB2312" w:cs="Times New Roman"/>
          <w:sz w:val="32"/>
          <w:szCs w:val="32"/>
          <w:highlight w:val="none"/>
          <w:lang w:val="en-US" w:eastAsia="zh-CN"/>
        </w:rPr>
        <w:t>上交的</w:t>
      </w:r>
      <w:r>
        <w:rPr>
          <w:rFonts w:hint="eastAsia" w:eastAsia="仿宋_GB2312" w:cs="Times New Roman"/>
          <w:sz w:val="32"/>
          <w:szCs w:val="32"/>
          <w:highlight w:val="none"/>
          <w:lang w:val="en-US" w:eastAsia="zh-CN"/>
        </w:rPr>
        <w:t>股息红利</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（三）国有产权转让收入</w:t>
      </w:r>
      <w:r>
        <w:rPr>
          <w:rFonts w:hint="eastAsia" w:eastAsia="仿宋_GB2312" w:cs="Times New Roman"/>
          <w:sz w:val="32"/>
          <w:szCs w:val="32"/>
          <w:highlight w:val="none"/>
          <w:lang w:val="en-US" w:eastAsia="zh-CN"/>
        </w:rPr>
        <w:t>是指</w:t>
      </w:r>
      <w:r>
        <w:rPr>
          <w:rFonts w:hint="default" w:ascii="Times New Roman" w:hAnsi="Times New Roman" w:eastAsia="仿宋_GB2312" w:cs="Times New Roman"/>
          <w:sz w:val="32"/>
          <w:szCs w:val="32"/>
          <w:highlight w:val="none"/>
          <w:lang w:val="en-US" w:eastAsia="zh-CN"/>
        </w:rPr>
        <w:t>：国有企业依法转让国有股权（股份）取得的转让</w:t>
      </w:r>
      <w:r>
        <w:rPr>
          <w:rFonts w:hint="eastAsia" w:eastAsia="仿宋_GB2312" w:cs="Times New Roman"/>
          <w:sz w:val="32"/>
          <w:szCs w:val="32"/>
          <w:highlight w:val="none"/>
          <w:lang w:val="en-US" w:eastAsia="zh-CN"/>
        </w:rPr>
        <w:t>净</w:t>
      </w:r>
      <w:r>
        <w:rPr>
          <w:rFonts w:hint="default" w:ascii="Times New Roman" w:hAnsi="Times New Roman" w:eastAsia="仿宋_GB2312" w:cs="Times New Roman"/>
          <w:sz w:val="32"/>
          <w:szCs w:val="32"/>
          <w:highlight w:val="none"/>
          <w:lang w:val="en-US" w:eastAsia="zh-CN"/>
        </w:rPr>
        <w:t>收入。</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（四）国有企业清算收入</w:t>
      </w:r>
      <w:r>
        <w:rPr>
          <w:rFonts w:hint="eastAsia" w:eastAsia="仿宋_GB2312" w:cs="Times New Roman"/>
          <w:sz w:val="32"/>
          <w:szCs w:val="32"/>
          <w:highlight w:val="none"/>
          <w:lang w:val="en-US" w:eastAsia="zh-CN"/>
        </w:rPr>
        <w:t>是指</w:t>
      </w:r>
      <w:r>
        <w:rPr>
          <w:rFonts w:hint="default" w:ascii="Times New Roman" w:hAnsi="Times New Roman" w:eastAsia="仿宋_GB2312" w:cs="Times New Roman"/>
          <w:sz w:val="32"/>
          <w:szCs w:val="32"/>
          <w:highlight w:val="none"/>
          <w:lang w:val="en-US" w:eastAsia="zh-CN"/>
        </w:rPr>
        <w:t>：国有企业财产依法按顺序清偿相关费用（债务），职工的工资、社会保险费用和法定补偿金，</w:t>
      </w:r>
      <w:r>
        <w:rPr>
          <w:rFonts w:hint="eastAsia" w:eastAsia="仿宋_GB2312" w:cs="Times New Roman"/>
          <w:sz w:val="32"/>
          <w:szCs w:val="32"/>
          <w:highlight w:val="none"/>
          <w:lang w:val="en-US" w:eastAsia="zh-CN"/>
        </w:rPr>
        <w:t>以及</w:t>
      </w:r>
      <w:r>
        <w:rPr>
          <w:rFonts w:hint="default" w:ascii="Times New Roman" w:hAnsi="Times New Roman" w:eastAsia="仿宋_GB2312" w:cs="Times New Roman"/>
          <w:sz w:val="32"/>
          <w:szCs w:val="32"/>
          <w:highlight w:val="none"/>
          <w:lang w:val="en-US" w:eastAsia="zh-CN"/>
        </w:rPr>
        <w:t>所欠税款</w:t>
      </w:r>
      <w:r>
        <w:rPr>
          <w:rFonts w:hint="eastAsia" w:eastAsia="仿宋_GB2312" w:cs="Times New Roman"/>
          <w:sz w:val="32"/>
          <w:szCs w:val="32"/>
          <w:highlight w:val="none"/>
          <w:lang w:val="en-US" w:eastAsia="zh-CN"/>
        </w:rPr>
        <w:t>和</w:t>
      </w:r>
      <w:r>
        <w:rPr>
          <w:rFonts w:hint="default" w:ascii="Times New Roman" w:hAnsi="Times New Roman" w:eastAsia="仿宋_GB2312" w:cs="Times New Roman"/>
          <w:sz w:val="32"/>
          <w:szCs w:val="32"/>
          <w:highlight w:val="none"/>
          <w:lang w:val="en-US" w:eastAsia="zh-CN"/>
        </w:rPr>
        <w:t>其他</w:t>
      </w:r>
      <w:r>
        <w:rPr>
          <w:rFonts w:hint="eastAsia" w:eastAsia="仿宋_GB2312" w:cs="Times New Roman"/>
          <w:sz w:val="32"/>
          <w:szCs w:val="32"/>
          <w:highlight w:val="none"/>
          <w:lang w:val="en-US" w:eastAsia="zh-CN"/>
        </w:rPr>
        <w:t>债务</w:t>
      </w:r>
      <w:r>
        <w:rPr>
          <w:rFonts w:hint="default" w:ascii="Times New Roman" w:hAnsi="Times New Roman" w:eastAsia="仿宋_GB2312" w:cs="Times New Roman"/>
          <w:sz w:val="32"/>
          <w:szCs w:val="32"/>
          <w:highlight w:val="none"/>
          <w:lang w:val="en-US" w:eastAsia="zh-CN"/>
        </w:rPr>
        <w:t>后</w:t>
      </w:r>
      <w:r>
        <w:rPr>
          <w:rFonts w:hint="eastAsia" w:eastAsia="仿宋_GB2312" w:cs="Times New Roman"/>
          <w:sz w:val="32"/>
          <w:szCs w:val="32"/>
          <w:highlight w:val="none"/>
          <w:lang w:val="en-US" w:eastAsia="zh-CN"/>
        </w:rPr>
        <w:t>应上交</w:t>
      </w:r>
      <w:r>
        <w:rPr>
          <w:rFonts w:hint="default" w:ascii="Times New Roman" w:hAnsi="Times New Roman" w:eastAsia="仿宋_GB2312" w:cs="Times New Roman"/>
          <w:sz w:val="32"/>
          <w:szCs w:val="32"/>
          <w:highlight w:val="none"/>
          <w:lang w:val="en-US" w:eastAsia="zh-CN"/>
        </w:rPr>
        <w:t>给</w:t>
      </w:r>
      <w:r>
        <w:rPr>
          <w:rFonts w:hint="eastAsia" w:eastAsia="仿宋_GB2312" w:cs="Times New Roman"/>
          <w:sz w:val="32"/>
          <w:szCs w:val="32"/>
          <w:highlight w:val="none"/>
          <w:lang w:val="en-US" w:eastAsia="zh-CN"/>
        </w:rPr>
        <w:t>自治州人民政府</w:t>
      </w:r>
      <w:r>
        <w:rPr>
          <w:rFonts w:hint="default" w:ascii="Times New Roman" w:hAnsi="Times New Roman" w:eastAsia="仿宋_GB2312" w:cs="Times New Roman"/>
          <w:sz w:val="32"/>
          <w:szCs w:val="32"/>
          <w:highlight w:val="none"/>
          <w:lang w:val="en-US" w:eastAsia="zh-CN"/>
        </w:rPr>
        <w:t>的收入。</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bookmarkStart w:id="0" w:name="OLE_LINK3"/>
      <w:r>
        <w:rPr>
          <w:rFonts w:hint="default" w:ascii="Times New Roman" w:hAnsi="Times New Roman" w:eastAsia="仿宋_GB2312" w:cs="Times New Roman"/>
          <w:b/>
          <w:bCs/>
          <w:sz w:val="32"/>
          <w:szCs w:val="32"/>
          <w:highlight w:val="none"/>
          <w:lang w:val="en-US" w:eastAsia="zh-CN"/>
        </w:rPr>
        <w:t>第</w:t>
      </w:r>
      <w:r>
        <w:rPr>
          <w:rFonts w:hint="eastAsia" w:ascii="Times New Roman" w:hAnsi="Times New Roman" w:eastAsia="仿宋_GB2312" w:cs="Times New Roman"/>
          <w:b/>
          <w:bCs/>
          <w:sz w:val="32"/>
          <w:szCs w:val="32"/>
          <w:highlight w:val="none"/>
          <w:lang w:val="en-US" w:eastAsia="zh-CN"/>
        </w:rPr>
        <w:t>五</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国有独资企业和国有独资公司应当以</w:t>
      </w:r>
      <w:r>
        <w:rPr>
          <w:rFonts w:hint="eastAsia" w:eastAsia="仿宋_GB2312" w:cs="Times New Roman"/>
          <w:sz w:val="32"/>
          <w:szCs w:val="32"/>
          <w:highlight w:val="none"/>
          <w:lang w:val="en-US" w:eastAsia="zh-CN"/>
        </w:rPr>
        <w:t>上年度</w:t>
      </w:r>
      <w:r>
        <w:rPr>
          <w:rFonts w:hint="default" w:ascii="Times New Roman" w:hAnsi="Times New Roman" w:eastAsia="仿宋_GB2312" w:cs="Times New Roman"/>
          <w:sz w:val="32"/>
          <w:szCs w:val="32"/>
          <w:highlight w:val="none"/>
          <w:lang w:val="en-US" w:eastAsia="zh-CN"/>
        </w:rPr>
        <w:t>净利润为基础，依法依规扣除以前年度未弥补亏损和提取法定公积金</w:t>
      </w:r>
      <w:r>
        <w:rPr>
          <w:rFonts w:hint="eastAsia" w:eastAsia="仿宋_GB2312" w:cs="Times New Roman"/>
          <w:sz w:val="32"/>
          <w:szCs w:val="32"/>
          <w:highlight w:val="none"/>
          <w:lang w:val="en-US" w:eastAsia="zh-CN"/>
        </w:rPr>
        <w:t>及法律法规规定的企业可抵扣事项</w:t>
      </w:r>
      <w:r>
        <w:rPr>
          <w:rFonts w:hint="default" w:ascii="Times New Roman" w:hAnsi="Times New Roman" w:eastAsia="仿宋_GB2312" w:cs="Times New Roman"/>
          <w:sz w:val="32"/>
          <w:szCs w:val="32"/>
          <w:highlight w:val="none"/>
          <w:lang w:val="en-US" w:eastAsia="zh-CN"/>
        </w:rPr>
        <w:t>后的剩余部分，按照上交比例，</w:t>
      </w:r>
      <w:r>
        <w:rPr>
          <w:rFonts w:hint="eastAsia" w:eastAsia="仿宋_GB2312" w:cs="Times New Roman"/>
          <w:sz w:val="32"/>
          <w:szCs w:val="32"/>
          <w:highlight w:val="none"/>
          <w:lang w:val="en-US" w:eastAsia="zh-CN"/>
        </w:rPr>
        <w:t>核定</w:t>
      </w:r>
      <w:r>
        <w:rPr>
          <w:rFonts w:hint="default" w:ascii="Times New Roman" w:hAnsi="Times New Roman" w:eastAsia="仿宋_GB2312" w:cs="Times New Roman"/>
          <w:sz w:val="32"/>
          <w:szCs w:val="32"/>
          <w:highlight w:val="none"/>
          <w:lang w:val="en-US" w:eastAsia="zh-CN"/>
        </w:rPr>
        <w:t>应交利润。</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国有独资企业和国有独资公司</w:t>
      </w:r>
      <w:r>
        <w:rPr>
          <w:rFonts w:hint="eastAsia" w:eastAsia="仿宋_GB2312" w:cs="Times New Roman"/>
          <w:sz w:val="32"/>
          <w:szCs w:val="32"/>
          <w:highlight w:val="none"/>
          <w:lang w:val="en-US" w:eastAsia="zh-CN"/>
        </w:rPr>
        <w:t>拥有全资子公司（企业）或控股子公司（企业），以集团公司（或总公司）上年度合并财务报表反映的归属于母公司所有者的净利润为基础。尚未规范母子产权关系、不执行合并财务报表的按单户企业分别计算核定。另有规定需上交特别收益的特殊情形，从其规定。</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eastAsia"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国有独资企业和国有独资公司以前年度未弥补亏损</w:t>
      </w:r>
      <w:r>
        <w:rPr>
          <w:rFonts w:hint="eastAsia" w:eastAsia="仿宋_GB2312" w:cs="Times New Roman"/>
          <w:sz w:val="32"/>
          <w:szCs w:val="32"/>
          <w:highlight w:val="none"/>
          <w:lang w:val="en-US" w:eastAsia="zh-CN"/>
        </w:rPr>
        <w:t>是指：经审计年度（合并）财务报表中未分配利润期初数与其他综合收益等项目转出并计入未分配利润的当期发生额之和小于0的部分。国有独资企业和国有独资公司依法依规扣除以前年度为弥补亏损的期限最长不得超过五年。</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textAlignment w:val="auto"/>
        <w:rPr>
          <w:rFonts w:hint="default" w:eastAsia="仿宋_GB2312" w:cs="Times New Roman"/>
          <w:sz w:val="32"/>
          <w:szCs w:val="32"/>
          <w:highlight w:val="none"/>
          <w:lang w:val="en-US" w:eastAsia="zh-CN"/>
        </w:rPr>
      </w:pPr>
      <w:r>
        <w:rPr>
          <w:rFonts w:hint="eastAsia" w:eastAsia="仿宋_GB2312" w:cs="Times New Roman"/>
          <w:sz w:val="32"/>
          <w:szCs w:val="32"/>
          <w:highlight w:val="none"/>
          <w:lang w:val="en-US" w:eastAsia="zh-CN"/>
        </w:rPr>
        <w:t>可抵扣的提取法定公积金是指：经审计年度财务报表中当年实际提取的法定公积金数。</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val="en-US" w:eastAsia="zh-CN"/>
        </w:rPr>
        <w:t>第六条</w:t>
      </w:r>
      <w:r>
        <w:rPr>
          <w:rFonts w:hint="eastAsia"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连续三年期末归属于母公司所有者的净利润大于0</w:t>
      </w:r>
      <w:r>
        <w:rPr>
          <w:rFonts w:hint="default" w:ascii="Times New Roman" w:hAnsi="Times New Roman" w:eastAsia="仿宋_GB2312" w:cs="Times New Roman"/>
          <w:sz w:val="32"/>
          <w:szCs w:val="32"/>
          <w:highlight w:val="none"/>
          <w:lang w:eastAsia="zh-CN"/>
        </w:rPr>
        <w:t>且</w:t>
      </w:r>
      <w:r>
        <w:rPr>
          <w:rFonts w:hint="default" w:ascii="Times New Roman" w:hAnsi="Times New Roman" w:eastAsia="仿宋_GB2312" w:cs="Times New Roman"/>
          <w:sz w:val="32"/>
          <w:szCs w:val="32"/>
          <w:highlight w:val="none"/>
        </w:rPr>
        <w:t>未分配利润小于0的国有独资企业和国有独资公司，</w:t>
      </w:r>
      <w:r>
        <w:rPr>
          <w:rFonts w:hint="default" w:ascii="Times New Roman" w:hAnsi="Times New Roman" w:eastAsia="仿宋_GB2312" w:cs="Times New Roman"/>
          <w:sz w:val="32"/>
          <w:szCs w:val="32"/>
          <w:highlight w:val="none"/>
          <w:lang w:eastAsia="zh-CN"/>
        </w:rPr>
        <w:t>且</w:t>
      </w:r>
      <w:r>
        <w:rPr>
          <w:rFonts w:hint="default" w:ascii="Times New Roman" w:hAnsi="Times New Roman" w:eastAsia="仿宋_GB2312" w:cs="Times New Roman"/>
          <w:sz w:val="32"/>
          <w:szCs w:val="32"/>
          <w:highlight w:val="none"/>
        </w:rPr>
        <w:t>符合</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中华人民共和国公司法</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第二百一十四条第二款、</w:t>
      </w:r>
      <w:r>
        <w:rPr>
          <w:rFonts w:hint="default" w:ascii="Times New Roman" w:hAnsi="Times New Roman" w:eastAsia="仿宋_GB2312" w:cs="Times New Roman"/>
          <w:sz w:val="32"/>
          <w:szCs w:val="32"/>
          <w:highlight w:val="none"/>
          <w:lang w:eastAsia="zh-CN"/>
        </w:rPr>
        <w:t>第</w:t>
      </w:r>
      <w:r>
        <w:rPr>
          <w:rFonts w:hint="default" w:ascii="Times New Roman" w:hAnsi="Times New Roman" w:eastAsia="仿宋_GB2312" w:cs="Times New Roman"/>
          <w:sz w:val="32"/>
          <w:szCs w:val="32"/>
          <w:highlight w:val="none"/>
        </w:rPr>
        <w:t>二百二十五条规定情形的，</w:t>
      </w:r>
      <w:r>
        <w:rPr>
          <w:rFonts w:hint="eastAsia" w:eastAsia="仿宋_GB2312" w:cs="Times New Roman"/>
          <w:sz w:val="32"/>
          <w:szCs w:val="32"/>
          <w:highlight w:val="none"/>
          <w:lang w:eastAsia="zh-CN"/>
        </w:rPr>
        <w:t>出资人单位</w:t>
      </w:r>
      <w:r>
        <w:rPr>
          <w:rFonts w:hint="default" w:ascii="Times New Roman" w:hAnsi="Times New Roman" w:eastAsia="仿宋_GB2312" w:cs="Times New Roman"/>
          <w:sz w:val="32"/>
          <w:szCs w:val="32"/>
          <w:highlight w:val="none"/>
          <w:lang w:eastAsia="zh-CN"/>
        </w:rPr>
        <w:t>应当在第</w:t>
      </w:r>
      <w:r>
        <w:rPr>
          <w:rFonts w:hint="eastAsia" w:eastAsia="仿宋_GB2312" w:cs="Times New Roman"/>
          <w:sz w:val="32"/>
          <w:szCs w:val="32"/>
          <w:highlight w:val="none"/>
          <w:lang w:eastAsia="zh-CN"/>
        </w:rPr>
        <w:t>四</w:t>
      </w:r>
      <w:r>
        <w:rPr>
          <w:rFonts w:hint="default" w:ascii="Times New Roman" w:hAnsi="Times New Roman" w:eastAsia="仿宋_GB2312" w:cs="Times New Roman"/>
          <w:sz w:val="32"/>
          <w:szCs w:val="32"/>
          <w:highlight w:val="none"/>
          <w:lang w:eastAsia="zh-CN"/>
        </w:rPr>
        <w:t>年</w:t>
      </w:r>
      <w:r>
        <w:rPr>
          <w:rFonts w:hint="default" w:ascii="Times New Roman" w:hAnsi="Times New Roman" w:eastAsia="仿宋_GB2312" w:cs="Times New Roman"/>
          <w:sz w:val="32"/>
          <w:szCs w:val="32"/>
          <w:highlight w:val="none"/>
        </w:rPr>
        <w:t>要求国有独资企业和国有独资公司办理资本公积金弥补亏损、减少注册资本弥补亏损事项。</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textAlignment w:val="auto"/>
        <w:rPr>
          <w:rFonts w:hint="eastAsia"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w:t>
      </w:r>
      <w:r>
        <w:rPr>
          <w:rFonts w:hint="eastAsia" w:ascii="Times New Roman" w:hAnsi="Times New Roman" w:eastAsia="仿宋_GB2312" w:cs="Times New Roman"/>
          <w:b/>
          <w:bCs/>
          <w:sz w:val="32"/>
          <w:szCs w:val="32"/>
          <w:highlight w:val="none"/>
          <w:lang w:val="en-US" w:eastAsia="zh-CN"/>
        </w:rPr>
        <w:t>七</w:t>
      </w:r>
      <w:r>
        <w:rPr>
          <w:rFonts w:hint="default" w:ascii="Times New Roman" w:hAnsi="Times New Roman" w:eastAsia="仿宋_GB2312" w:cs="Times New Roman"/>
          <w:b/>
          <w:bCs/>
          <w:sz w:val="32"/>
          <w:szCs w:val="32"/>
          <w:highlight w:val="none"/>
          <w:lang w:val="en-US" w:eastAsia="zh-CN"/>
        </w:rPr>
        <w:t>条</w:t>
      </w:r>
      <w:bookmarkEnd w:id="0"/>
      <w:r>
        <w:rPr>
          <w:rFonts w:hint="eastAsia"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国有独资企业和国有独资公司应交利润</w:t>
      </w:r>
      <w:r>
        <w:rPr>
          <w:rFonts w:hint="eastAsia" w:eastAsia="仿宋_GB2312" w:cs="Times New Roman"/>
          <w:sz w:val="32"/>
          <w:szCs w:val="32"/>
          <w:highlight w:val="none"/>
          <w:lang w:val="en-US" w:eastAsia="zh-CN"/>
        </w:rPr>
        <w:t>的</w:t>
      </w:r>
      <w:r>
        <w:rPr>
          <w:rFonts w:hint="default" w:ascii="Times New Roman" w:hAnsi="Times New Roman" w:eastAsia="仿宋_GB2312" w:cs="Times New Roman"/>
          <w:sz w:val="32"/>
          <w:szCs w:val="32"/>
          <w:highlight w:val="none"/>
          <w:lang w:val="en-US" w:eastAsia="zh-CN"/>
        </w:rPr>
        <w:t>上交比例</w:t>
      </w:r>
      <w:r>
        <w:rPr>
          <w:rFonts w:hint="eastAsia" w:eastAsia="仿宋_GB2312" w:cs="Times New Roman"/>
          <w:sz w:val="32"/>
          <w:szCs w:val="32"/>
          <w:highlight w:val="none"/>
          <w:lang w:val="en-US" w:eastAsia="zh-CN"/>
        </w:rPr>
        <w:t>均为30%，后续可根据自治区有关规定，由财政部门商出资人单位，报自治州人民政府同意后据实调整。</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w:t>
      </w:r>
      <w:r>
        <w:rPr>
          <w:rFonts w:hint="eastAsia" w:ascii="Times New Roman" w:hAnsi="Times New Roman" w:eastAsia="仿宋_GB2312" w:cs="Times New Roman"/>
          <w:b/>
          <w:bCs/>
          <w:sz w:val="32"/>
          <w:szCs w:val="32"/>
          <w:highlight w:val="none"/>
          <w:lang w:val="en-US" w:eastAsia="zh-CN"/>
        </w:rPr>
        <w:t>八</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国有控股和参股企业应当以股东会或股东大会决议通过的利润分配方案中明确的利润分配总额为基础，按照国有股权（股份）占总股本（总股份）的比例，</w:t>
      </w:r>
      <w:r>
        <w:rPr>
          <w:rFonts w:hint="eastAsia" w:eastAsia="仿宋_GB2312" w:cs="Times New Roman"/>
          <w:sz w:val="32"/>
          <w:szCs w:val="32"/>
          <w:highlight w:val="none"/>
          <w:lang w:val="en-US" w:eastAsia="zh-CN"/>
        </w:rPr>
        <w:t>核定</w:t>
      </w:r>
      <w:r>
        <w:rPr>
          <w:rFonts w:hint="default" w:ascii="Times New Roman" w:hAnsi="Times New Roman" w:eastAsia="仿宋_GB2312" w:cs="Times New Roman"/>
          <w:sz w:val="32"/>
          <w:szCs w:val="32"/>
          <w:highlight w:val="none"/>
          <w:lang w:val="en-US" w:eastAsia="zh-CN"/>
        </w:rPr>
        <w:t>国有股股息红利</w:t>
      </w:r>
      <w:r>
        <w:rPr>
          <w:rFonts w:hint="eastAsia" w:eastAsia="仿宋_GB2312" w:cs="Times New Roman"/>
          <w:sz w:val="32"/>
          <w:szCs w:val="32"/>
          <w:highlight w:val="none"/>
          <w:lang w:val="en-US" w:eastAsia="zh-CN"/>
        </w:rPr>
        <w:t>后，并全额上交</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72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w:t>
      </w:r>
      <w:r>
        <w:rPr>
          <w:rFonts w:hint="eastAsia" w:ascii="Times New Roman" w:hAnsi="Times New Roman" w:eastAsia="仿宋_GB2312" w:cs="Times New Roman"/>
          <w:b/>
          <w:bCs/>
          <w:sz w:val="32"/>
          <w:szCs w:val="32"/>
          <w:highlight w:val="none"/>
          <w:lang w:val="en-US" w:eastAsia="zh-CN"/>
        </w:rPr>
        <w:t>九</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应当委派股东代表参加国有控股和参股企业召开的股东会或股东大会，股东代表应当按照</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的指示提出提案、发表意见、行使表决权。</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rPr>
        <w:t>应当</w:t>
      </w:r>
      <w:r>
        <w:rPr>
          <w:rFonts w:hint="default" w:ascii="Times New Roman" w:hAnsi="Times New Roman" w:eastAsia="仿宋_GB2312" w:cs="Times New Roman"/>
          <w:sz w:val="32"/>
          <w:szCs w:val="32"/>
          <w:highlight w:val="none"/>
          <w:lang w:eastAsia="zh-CN"/>
        </w:rPr>
        <w:t>综合</w:t>
      </w:r>
      <w:r>
        <w:rPr>
          <w:rFonts w:hint="default" w:ascii="Times New Roman" w:hAnsi="Times New Roman" w:eastAsia="仿宋_GB2312" w:cs="Times New Roman"/>
          <w:sz w:val="32"/>
          <w:szCs w:val="32"/>
          <w:highlight w:val="none"/>
        </w:rPr>
        <w:t>考虑国有经济布局优化和结构调整总体要求</w:t>
      </w:r>
      <w:r>
        <w:rPr>
          <w:rFonts w:hint="default" w:ascii="Times New Roman" w:hAnsi="Times New Roman" w:eastAsia="仿宋_GB2312" w:cs="Times New Roman"/>
          <w:sz w:val="32"/>
          <w:szCs w:val="32"/>
          <w:highlight w:val="none"/>
          <w:lang w:eastAsia="zh-CN"/>
        </w:rPr>
        <w:t>和</w:t>
      </w:r>
      <w:r>
        <w:rPr>
          <w:rFonts w:hint="default" w:ascii="Times New Roman" w:hAnsi="Times New Roman" w:eastAsia="仿宋_GB2312" w:cs="Times New Roman"/>
          <w:sz w:val="32"/>
          <w:szCs w:val="32"/>
          <w:highlight w:val="none"/>
        </w:rPr>
        <w:t>企业所处行业特点、发展阶段、财务状况、发展规划以及其他股东意见等，研究提出国有控股、参股企业利润分配意见，利润分配原则上不低于同类国有独资企业和国有独资公司收益上交水平。</w:t>
      </w:r>
      <w:r>
        <w:rPr>
          <w:rFonts w:hint="eastAsia" w:eastAsia="仿宋_GB2312" w:cs="Times New Roman"/>
          <w:sz w:val="32"/>
          <w:szCs w:val="32"/>
          <w:highlight w:val="none"/>
          <w:lang w:eastAsia="zh-CN"/>
        </w:rPr>
        <w:t>出资人单位应当</w:t>
      </w:r>
      <w:r>
        <w:rPr>
          <w:rFonts w:hint="default" w:ascii="Times New Roman" w:hAnsi="Times New Roman" w:eastAsia="仿宋_GB2312" w:cs="Times New Roman"/>
          <w:sz w:val="32"/>
          <w:szCs w:val="32"/>
          <w:highlight w:val="none"/>
        </w:rPr>
        <w:t>督促</w:t>
      </w:r>
      <w:r>
        <w:rPr>
          <w:rFonts w:hint="default" w:ascii="Times New Roman" w:hAnsi="Times New Roman" w:eastAsia="仿宋_GB2312" w:cs="Times New Roman"/>
          <w:sz w:val="32"/>
          <w:szCs w:val="32"/>
          <w:highlight w:val="none"/>
          <w:lang w:val="en-US" w:eastAsia="zh-CN"/>
        </w:rPr>
        <w:t>国有控股和参股企业</w:t>
      </w:r>
      <w:r>
        <w:rPr>
          <w:rFonts w:hint="default" w:ascii="Times New Roman" w:hAnsi="Times New Roman" w:eastAsia="仿宋_GB2312" w:cs="Times New Roman"/>
          <w:sz w:val="32"/>
          <w:szCs w:val="32"/>
          <w:highlight w:val="none"/>
        </w:rPr>
        <w:t>依法及时制定利润分配方案，</w:t>
      </w:r>
      <w:r>
        <w:rPr>
          <w:rFonts w:hint="default" w:ascii="Times New Roman" w:hAnsi="Times New Roman" w:eastAsia="仿宋_GB2312" w:cs="Times New Roman"/>
          <w:sz w:val="32"/>
          <w:szCs w:val="32"/>
          <w:highlight w:val="none"/>
          <w:lang w:val="en-US" w:eastAsia="zh-CN"/>
        </w:rPr>
        <w:t>股东会或股东大会</w:t>
      </w:r>
      <w:r>
        <w:rPr>
          <w:rFonts w:hint="default" w:ascii="Times New Roman" w:hAnsi="Times New Roman" w:eastAsia="仿宋_GB2312" w:cs="Times New Roman"/>
          <w:sz w:val="32"/>
          <w:szCs w:val="32"/>
          <w:highlight w:val="none"/>
        </w:rPr>
        <w:t>审议决定上年利润分配方案的时间原则上不晚于当年</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月底</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国有控股、参股企业</w:t>
      </w:r>
      <w:r>
        <w:rPr>
          <w:rFonts w:hint="eastAsia" w:eastAsia="仿宋_GB2312" w:cs="Times New Roman"/>
          <w:sz w:val="32"/>
          <w:szCs w:val="32"/>
          <w:highlight w:val="none"/>
          <w:lang w:eastAsia="zh-CN"/>
        </w:rPr>
        <w:t>应当</w:t>
      </w:r>
      <w:r>
        <w:rPr>
          <w:rFonts w:hint="default" w:ascii="Times New Roman" w:hAnsi="Times New Roman" w:eastAsia="仿宋_GB2312" w:cs="Times New Roman"/>
          <w:sz w:val="32"/>
          <w:szCs w:val="32"/>
          <w:highlight w:val="none"/>
          <w:lang w:eastAsia="zh-CN"/>
        </w:rPr>
        <w:t>在</w:t>
      </w:r>
      <w:r>
        <w:rPr>
          <w:rFonts w:hint="default" w:ascii="Times New Roman" w:hAnsi="Times New Roman" w:eastAsia="仿宋_GB2312" w:cs="Times New Roman"/>
          <w:sz w:val="32"/>
          <w:szCs w:val="32"/>
          <w:highlight w:val="none"/>
        </w:rPr>
        <w:t>利润分配方案通过后</w:t>
      </w:r>
      <w:r>
        <w:rPr>
          <w:rFonts w:hint="default" w:ascii="Times New Roman" w:hAnsi="Times New Roman" w:eastAsia="仿宋_GB2312" w:cs="Times New Roman"/>
          <w:sz w:val="32"/>
          <w:szCs w:val="32"/>
          <w:highlight w:val="none"/>
          <w:lang w:val="en-US" w:eastAsia="zh-CN"/>
        </w:rPr>
        <w:t>20个工作日内按规</w:t>
      </w:r>
      <w:r>
        <w:rPr>
          <w:rFonts w:hint="default" w:ascii="Times New Roman" w:hAnsi="Times New Roman" w:eastAsia="仿宋_GB2312" w:cs="Times New Roman"/>
          <w:sz w:val="32"/>
          <w:szCs w:val="32"/>
          <w:highlight w:val="none"/>
        </w:rPr>
        <w:t>定上交国有股股息红利。</w:t>
      </w:r>
      <w:r>
        <w:rPr>
          <w:rFonts w:hint="default" w:ascii="Times New Roman" w:hAnsi="Times New Roman" w:eastAsia="仿宋_GB2312" w:cs="Times New Roman"/>
          <w:sz w:val="32"/>
          <w:szCs w:val="32"/>
          <w:highlight w:val="none"/>
          <w:lang w:val="en-US" w:eastAsia="zh-CN"/>
        </w:rPr>
        <w:t>股东会或股东大会决定不分配利润的，应当向</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报告。</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第十条</w:t>
      </w:r>
      <w:r>
        <w:rPr>
          <w:rFonts w:hint="default" w:ascii="Times New Roman" w:hAnsi="Times New Roman" w:eastAsia="仿宋_GB2312" w:cs="Times New Roman"/>
          <w:sz w:val="32"/>
          <w:szCs w:val="32"/>
          <w:highlight w:val="none"/>
          <w:lang w:val="en-US" w:eastAsia="zh-CN"/>
        </w:rPr>
        <w:t xml:space="preserve"> </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应当根据转让行为决策文件、国有股权（股份）转让合同、经核准的资产评估报告等，按照国有股权（股份）占总股本（总股份）的比例，</w:t>
      </w:r>
      <w:r>
        <w:rPr>
          <w:rFonts w:hint="eastAsia" w:eastAsia="仿宋_GB2312" w:cs="Times New Roman"/>
          <w:sz w:val="32"/>
          <w:szCs w:val="32"/>
          <w:highlight w:val="none"/>
          <w:lang w:val="en-US" w:eastAsia="zh-CN"/>
        </w:rPr>
        <w:t>在扣除交易过程中发生的相关费用后，</w:t>
      </w:r>
      <w:r>
        <w:rPr>
          <w:rFonts w:hint="default" w:ascii="Times New Roman" w:hAnsi="Times New Roman" w:eastAsia="仿宋_GB2312" w:cs="Times New Roman"/>
          <w:sz w:val="32"/>
          <w:szCs w:val="32"/>
          <w:highlight w:val="none"/>
          <w:lang w:val="en-US" w:eastAsia="zh-CN"/>
        </w:rPr>
        <w:t>据实</w:t>
      </w:r>
      <w:r>
        <w:rPr>
          <w:rFonts w:hint="eastAsia" w:eastAsia="仿宋_GB2312" w:cs="Times New Roman"/>
          <w:sz w:val="32"/>
          <w:szCs w:val="32"/>
          <w:highlight w:val="none"/>
          <w:lang w:val="en-US" w:eastAsia="zh-CN"/>
        </w:rPr>
        <w:t>核定</w:t>
      </w:r>
      <w:r>
        <w:rPr>
          <w:rFonts w:hint="default" w:ascii="Times New Roman" w:hAnsi="Times New Roman" w:eastAsia="仿宋_GB2312" w:cs="Times New Roman"/>
          <w:sz w:val="32"/>
          <w:szCs w:val="32"/>
          <w:highlight w:val="none"/>
          <w:lang w:val="en-US" w:eastAsia="zh-CN"/>
        </w:rPr>
        <w:t>国有产权转让收入</w:t>
      </w:r>
      <w:r>
        <w:rPr>
          <w:rFonts w:hint="eastAsia" w:eastAsia="仿宋_GB2312" w:cs="Times New Roman"/>
          <w:sz w:val="32"/>
          <w:szCs w:val="32"/>
          <w:highlight w:val="none"/>
          <w:lang w:val="en-US" w:eastAsia="zh-CN"/>
        </w:rPr>
        <w:t>，并全额上交</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w:t>
      </w:r>
      <w:r>
        <w:rPr>
          <w:rFonts w:hint="eastAsia" w:ascii="Times New Roman" w:hAnsi="Times New Roman" w:eastAsia="仿宋_GB2312" w:cs="Times New Roman"/>
          <w:b/>
          <w:bCs/>
          <w:sz w:val="32"/>
          <w:szCs w:val="32"/>
          <w:highlight w:val="none"/>
          <w:lang w:val="en-US" w:eastAsia="zh-CN"/>
        </w:rPr>
        <w:t>一</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应当根据</w:t>
      </w:r>
      <w:r>
        <w:rPr>
          <w:rFonts w:hint="eastAsia" w:eastAsia="仿宋_GB2312" w:cs="Times New Roman"/>
          <w:sz w:val="32"/>
          <w:szCs w:val="32"/>
          <w:highlight w:val="none"/>
          <w:lang w:val="en-US" w:eastAsia="zh-CN"/>
        </w:rPr>
        <w:t>自治州人民政府</w:t>
      </w:r>
      <w:r>
        <w:rPr>
          <w:rFonts w:hint="default" w:ascii="Times New Roman" w:hAnsi="Times New Roman" w:eastAsia="仿宋_GB2312" w:cs="Times New Roman"/>
          <w:sz w:val="32"/>
          <w:szCs w:val="32"/>
          <w:highlight w:val="none"/>
          <w:lang w:val="en-US" w:eastAsia="zh-CN"/>
        </w:rPr>
        <w:t>批准文件</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经股东会、股东大会、</w:t>
      </w:r>
      <w:r>
        <w:rPr>
          <w:rFonts w:hint="eastAsia" w:eastAsia="仿宋_GB2312" w:cs="Times New Roman"/>
          <w:sz w:val="32"/>
          <w:szCs w:val="32"/>
          <w:highlight w:val="none"/>
          <w:lang w:val="en-US" w:eastAsia="zh-CN"/>
        </w:rPr>
        <w:t>职工代表大会、</w:t>
      </w:r>
      <w:r>
        <w:rPr>
          <w:rFonts w:hint="default" w:ascii="Times New Roman" w:hAnsi="Times New Roman" w:eastAsia="仿宋_GB2312" w:cs="Times New Roman"/>
          <w:sz w:val="32"/>
          <w:szCs w:val="32"/>
          <w:highlight w:val="none"/>
          <w:lang w:val="en-US" w:eastAsia="zh-CN"/>
        </w:rPr>
        <w:t>债权人会议和人民法院确认的清算报告或财产分配方案等，按照国有股权（股份）占总股本（总股份）的比例，据实</w:t>
      </w:r>
      <w:r>
        <w:rPr>
          <w:rFonts w:hint="eastAsia" w:eastAsia="仿宋_GB2312" w:cs="Times New Roman"/>
          <w:sz w:val="32"/>
          <w:szCs w:val="32"/>
          <w:highlight w:val="none"/>
          <w:lang w:val="en-US" w:eastAsia="zh-CN"/>
        </w:rPr>
        <w:t>核定</w:t>
      </w:r>
      <w:r>
        <w:rPr>
          <w:rFonts w:hint="default" w:ascii="Times New Roman" w:hAnsi="Times New Roman" w:eastAsia="仿宋_GB2312" w:cs="Times New Roman"/>
          <w:sz w:val="32"/>
          <w:szCs w:val="32"/>
          <w:highlight w:val="none"/>
          <w:lang w:val="en-US" w:eastAsia="zh-CN"/>
        </w:rPr>
        <w:t>清算收入</w:t>
      </w:r>
      <w:r>
        <w:rPr>
          <w:rFonts w:hint="eastAsia" w:eastAsia="仿宋_GB2312" w:cs="Times New Roman"/>
          <w:sz w:val="32"/>
          <w:szCs w:val="32"/>
          <w:highlight w:val="none"/>
          <w:lang w:val="en-US" w:eastAsia="zh-CN"/>
        </w:rPr>
        <w:t>全额</w:t>
      </w:r>
      <w:r>
        <w:rPr>
          <w:rFonts w:hint="default" w:ascii="Times New Roman" w:hAnsi="Times New Roman" w:eastAsia="仿宋_GB2312" w:cs="Times New Roman"/>
          <w:sz w:val="32"/>
          <w:szCs w:val="32"/>
          <w:highlight w:val="none"/>
          <w:lang w:val="en-US" w:eastAsia="zh-CN"/>
        </w:rPr>
        <w:t>上交。</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textAlignment w:val="auto"/>
        <w:rPr>
          <w:rFonts w:hint="eastAsia" w:eastAsia="仿宋_GB2312" w:cs="Times New Roman"/>
          <w:sz w:val="32"/>
          <w:szCs w:val="32"/>
          <w:highlight w:val="none"/>
          <w:lang w:eastAsia="zh-CN"/>
        </w:rPr>
      </w:pPr>
      <w:r>
        <w:rPr>
          <w:rFonts w:hint="default" w:ascii="Times New Roman" w:hAnsi="Times New Roman" w:eastAsia="仿宋_GB2312" w:cs="Times New Roman"/>
          <w:b/>
          <w:bCs/>
          <w:sz w:val="32"/>
          <w:szCs w:val="32"/>
          <w:highlight w:val="none"/>
          <w:lang w:val="en-US" w:eastAsia="zh-CN"/>
        </w:rPr>
        <w:t>第</w:t>
      </w:r>
      <w:r>
        <w:rPr>
          <w:rFonts w:hint="eastAsia" w:ascii="Times New Roman" w:hAnsi="Times New Roman" w:eastAsia="仿宋_GB2312" w:cs="Times New Roman"/>
          <w:b/>
          <w:bCs/>
          <w:sz w:val="32"/>
          <w:szCs w:val="32"/>
          <w:highlight w:val="none"/>
          <w:lang w:val="en-US" w:eastAsia="zh-CN"/>
        </w:rPr>
        <w:t>十二</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eastAsia="zh-CN"/>
        </w:rPr>
        <w:t>经</w:t>
      </w:r>
      <w:r>
        <w:rPr>
          <w:rFonts w:hint="eastAsia" w:eastAsia="仿宋_GB2312" w:cs="Times New Roman"/>
          <w:sz w:val="32"/>
          <w:szCs w:val="32"/>
          <w:highlight w:val="none"/>
          <w:lang w:val="en-US" w:eastAsia="zh-CN"/>
        </w:rPr>
        <w:t>自治州人民政府</w:t>
      </w:r>
      <w:r>
        <w:rPr>
          <w:rFonts w:hint="default" w:ascii="Times New Roman" w:hAnsi="Times New Roman" w:eastAsia="仿宋_GB2312" w:cs="Times New Roman"/>
          <w:sz w:val="32"/>
          <w:szCs w:val="32"/>
          <w:highlight w:val="none"/>
          <w:lang w:eastAsia="zh-CN"/>
        </w:rPr>
        <w:t>批准，</w:t>
      </w:r>
      <w:r>
        <w:rPr>
          <w:rFonts w:hint="eastAsia" w:eastAsia="仿宋_GB2312" w:cs="Times New Roman"/>
          <w:sz w:val="32"/>
          <w:szCs w:val="32"/>
          <w:highlight w:val="none"/>
          <w:lang w:eastAsia="zh-CN"/>
        </w:rPr>
        <w:t>国有企业</w:t>
      </w:r>
      <w:r>
        <w:rPr>
          <w:rFonts w:hint="default" w:ascii="Times New Roman" w:hAnsi="Times New Roman" w:eastAsia="仿宋_GB2312" w:cs="Times New Roman"/>
          <w:sz w:val="32"/>
          <w:szCs w:val="32"/>
          <w:highlight w:val="none"/>
          <w:lang w:eastAsia="zh-CN"/>
        </w:rPr>
        <w:t>代</w:t>
      </w:r>
      <w:r>
        <w:rPr>
          <w:rFonts w:hint="eastAsia" w:eastAsia="仿宋_GB2312" w:cs="Times New Roman"/>
          <w:sz w:val="32"/>
          <w:szCs w:val="32"/>
          <w:highlight w:val="none"/>
          <w:lang w:eastAsia="zh-CN"/>
        </w:rPr>
        <w:t>自治州人民政府或出资人单位</w:t>
      </w:r>
      <w:r>
        <w:rPr>
          <w:rFonts w:hint="default" w:ascii="Times New Roman" w:hAnsi="Times New Roman" w:eastAsia="仿宋_GB2312" w:cs="Times New Roman"/>
          <w:sz w:val="32"/>
          <w:szCs w:val="32"/>
          <w:highlight w:val="none"/>
          <w:lang w:eastAsia="zh-CN"/>
        </w:rPr>
        <w:t>持有</w:t>
      </w:r>
      <w:r>
        <w:rPr>
          <w:rFonts w:hint="eastAsia" w:eastAsia="仿宋_GB2312" w:cs="Times New Roman"/>
          <w:sz w:val="32"/>
          <w:szCs w:val="32"/>
          <w:highlight w:val="none"/>
          <w:lang w:eastAsia="zh-CN"/>
        </w:rPr>
        <w:t>集团外部</w:t>
      </w:r>
      <w:r>
        <w:rPr>
          <w:rFonts w:hint="default" w:ascii="Times New Roman" w:hAnsi="Times New Roman" w:eastAsia="仿宋_GB2312" w:cs="Times New Roman"/>
          <w:sz w:val="32"/>
          <w:szCs w:val="32"/>
          <w:highlight w:val="none"/>
          <w:lang w:eastAsia="zh-CN"/>
        </w:rPr>
        <w:t>企业股权的，</w:t>
      </w:r>
      <w:r>
        <w:rPr>
          <w:rFonts w:hint="eastAsia" w:eastAsia="仿宋_GB2312" w:cs="Times New Roman"/>
          <w:sz w:val="32"/>
          <w:szCs w:val="32"/>
          <w:highlight w:val="none"/>
          <w:lang w:eastAsia="zh-CN"/>
        </w:rPr>
        <w:t>人民政府或出资人单位享有收益权、处置权、知情权，</w:t>
      </w:r>
      <w:r>
        <w:rPr>
          <w:rFonts w:hint="default" w:ascii="Times New Roman" w:hAnsi="Times New Roman" w:eastAsia="仿宋_GB2312" w:cs="Times New Roman"/>
          <w:sz w:val="32"/>
          <w:szCs w:val="32"/>
          <w:highlight w:val="none"/>
          <w:lang w:eastAsia="zh-CN"/>
        </w:rPr>
        <w:t>不改变现行国有资产监管体制</w:t>
      </w:r>
      <w:r>
        <w:rPr>
          <w:rFonts w:hint="eastAsia" w:eastAsia="仿宋_GB2312" w:cs="Times New Roman"/>
          <w:sz w:val="32"/>
          <w:szCs w:val="32"/>
          <w:highlight w:val="none"/>
          <w:lang w:eastAsia="zh-CN"/>
        </w:rPr>
        <w:t>应当按照本办法第八条有关规定单独上交国有资本收益。</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5"/>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w:t>
      </w:r>
      <w:r>
        <w:rPr>
          <w:rFonts w:hint="eastAsia" w:eastAsia="仿宋_GB2312" w:cs="Times New Roman"/>
          <w:b/>
          <w:bCs/>
          <w:sz w:val="32"/>
          <w:szCs w:val="32"/>
          <w:highlight w:val="none"/>
          <w:lang w:val="en-US" w:eastAsia="zh-CN"/>
        </w:rPr>
        <w:t>三</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rPr>
        <w:t xml:space="preserve"> </w:t>
      </w:r>
      <w:bookmarkStart w:id="1" w:name="OLE_LINK1"/>
      <w:bookmarkStart w:id="2" w:name="OLE_LINK2"/>
      <w:r>
        <w:rPr>
          <w:rFonts w:hint="default" w:ascii="Times New Roman" w:hAnsi="Times New Roman" w:eastAsia="仿宋_GB2312" w:cs="Times New Roman"/>
          <w:sz w:val="32"/>
          <w:szCs w:val="32"/>
          <w:highlight w:val="none"/>
          <w:lang w:val="en-US" w:eastAsia="zh-CN"/>
        </w:rPr>
        <w:t>国有资本收益</w:t>
      </w:r>
      <w:bookmarkEnd w:id="1"/>
      <w:bookmarkEnd w:id="2"/>
      <w:r>
        <w:rPr>
          <w:rFonts w:hint="eastAsia" w:eastAsia="仿宋_GB2312" w:cs="Times New Roman"/>
          <w:sz w:val="32"/>
          <w:szCs w:val="32"/>
          <w:highlight w:val="none"/>
          <w:lang w:val="en-US" w:eastAsia="zh-CN"/>
        </w:rPr>
        <w:t>的申报、审核、收取</w:t>
      </w:r>
      <w:r>
        <w:rPr>
          <w:rFonts w:hint="default" w:ascii="Times New Roman" w:hAnsi="Times New Roman" w:eastAsia="仿宋_GB2312" w:cs="Times New Roman"/>
          <w:sz w:val="32"/>
          <w:szCs w:val="32"/>
          <w:highlight w:val="none"/>
          <w:lang w:val="en-US" w:eastAsia="zh-CN"/>
        </w:rPr>
        <w:t>程序如下：</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5"/>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（一）国有企业应当结合本企业的具体情况，</w:t>
      </w:r>
      <w:r>
        <w:rPr>
          <w:rFonts w:hint="eastAsia" w:eastAsia="仿宋_GB2312" w:cs="Times New Roman"/>
          <w:sz w:val="32"/>
          <w:szCs w:val="32"/>
          <w:highlight w:val="none"/>
          <w:lang w:val="en-US" w:eastAsia="zh-CN"/>
        </w:rPr>
        <w:t>根据财政部门下发的国有资本收益收取通知，</w:t>
      </w:r>
      <w:r>
        <w:rPr>
          <w:rFonts w:hint="default" w:ascii="Times New Roman" w:hAnsi="Times New Roman" w:eastAsia="仿宋_GB2312" w:cs="Times New Roman"/>
          <w:sz w:val="32"/>
          <w:szCs w:val="32"/>
          <w:highlight w:val="none"/>
          <w:lang w:val="en-US" w:eastAsia="zh-CN"/>
        </w:rPr>
        <w:t>向</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申报国有资本收益。其中：</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5"/>
        <w:textAlignment w:val="auto"/>
        <w:rPr>
          <w:rFonts w:hint="eastAsia"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1.上交应交利润的，国有企业应当据实填报《</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国有资本收益（应交利润）申报表》（详见附件1），并附送上年度财务会计报告和中国注册会计师出具的审计报告</w:t>
      </w:r>
      <w:r>
        <w:rPr>
          <w:rFonts w:hint="eastAsia" w:eastAsia="仿宋_GB2312" w:cs="Times New Roman"/>
          <w:sz w:val="32"/>
          <w:szCs w:val="32"/>
          <w:highlight w:val="none"/>
          <w:lang w:val="en-US" w:eastAsia="zh-CN"/>
        </w:rPr>
        <w:t>。</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5"/>
        <w:textAlignment w:val="auto"/>
        <w:rPr>
          <w:rFonts w:hint="eastAsia"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2.上交股息红利的，国有企业应当在股东会或者股东大会表决</w:t>
      </w:r>
      <w:r>
        <w:rPr>
          <w:rFonts w:hint="default" w:ascii="Times New Roman" w:hAnsi="Times New Roman" w:eastAsia="仿宋_GB2312" w:cs="Times New Roman"/>
          <w:sz w:val="32"/>
          <w:szCs w:val="32"/>
          <w:highlight w:val="none"/>
        </w:rPr>
        <w:t>利润分配</w:t>
      </w:r>
      <w:r>
        <w:rPr>
          <w:rFonts w:hint="default" w:ascii="Times New Roman" w:hAnsi="Times New Roman" w:eastAsia="仿宋_GB2312" w:cs="Times New Roman"/>
          <w:sz w:val="32"/>
          <w:szCs w:val="32"/>
          <w:highlight w:val="none"/>
          <w:lang w:eastAsia="zh-CN"/>
        </w:rPr>
        <w:t>方案</w:t>
      </w:r>
      <w:r>
        <w:rPr>
          <w:rFonts w:hint="default" w:ascii="Times New Roman" w:hAnsi="Times New Roman" w:eastAsia="仿宋_GB2312" w:cs="Times New Roman"/>
          <w:sz w:val="32"/>
          <w:szCs w:val="32"/>
          <w:highlight w:val="none"/>
          <w:lang w:val="en-US" w:eastAsia="zh-CN"/>
        </w:rPr>
        <w:t>后20日内，据实填报《</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国有资本收益（</w:t>
      </w:r>
      <w:r>
        <w:rPr>
          <w:rFonts w:hint="default" w:ascii="Times New Roman" w:hAnsi="Times New Roman" w:eastAsia="仿宋_GB2312" w:cs="Times New Roman"/>
          <w:sz w:val="32"/>
          <w:szCs w:val="32"/>
          <w:highlight w:val="none"/>
        </w:rPr>
        <w:t>国有股股息红利</w:t>
      </w:r>
      <w:r>
        <w:rPr>
          <w:rFonts w:hint="default" w:ascii="Times New Roman" w:hAnsi="Times New Roman" w:eastAsia="仿宋_GB2312" w:cs="Times New Roman"/>
          <w:sz w:val="32"/>
          <w:szCs w:val="32"/>
          <w:highlight w:val="none"/>
          <w:lang w:val="en-US" w:eastAsia="zh-CN"/>
        </w:rPr>
        <w:t>）申报表》（详见附件2），并附送股东会、股东大会的决议文件</w:t>
      </w:r>
      <w:r>
        <w:rPr>
          <w:rFonts w:hint="eastAsia" w:eastAsia="仿宋_GB2312" w:cs="Times New Roman"/>
          <w:sz w:val="32"/>
          <w:szCs w:val="32"/>
          <w:highlight w:val="none"/>
          <w:lang w:val="en-US" w:eastAsia="zh-CN"/>
        </w:rPr>
        <w:t>。</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5"/>
        <w:textAlignment w:val="auto"/>
        <w:rPr>
          <w:rFonts w:hint="eastAsia"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3.上交国有产权转让收入的，国有企业应当在签订国有股权（股份）转让合同并实际收到转让收入后10日内，由国有企业或</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据实填报《</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国有资本收益（国有产权转让收入）申报表》（详见附件3），并附送转让行为决策文件、国有股权（股份）转让合同、经核准的资产评估报告</w:t>
      </w:r>
      <w:r>
        <w:rPr>
          <w:rFonts w:hint="eastAsia" w:eastAsia="仿宋_GB2312" w:cs="Times New Roman"/>
          <w:sz w:val="32"/>
          <w:szCs w:val="32"/>
          <w:highlight w:val="none"/>
          <w:lang w:val="en-US" w:eastAsia="zh-CN"/>
        </w:rPr>
        <w:t>等相关资料。</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5"/>
        <w:textAlignment w:val="auto"/>
        <w:rPr>
          <w:rFonts w:hint="eastAsia"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4.上交清算收入的，国有企业应当在清算程序结束后10日内，由清算组或</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据实填报《</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国有资本收益（企业清算收入）申报表》（详见附件4），并附送</w:t>
      </w:r>
      <w:r>
        <w:rPr>
          <w:rFonts w:hint="eastAsia" w:eastAsia="仿宋_GB2312" w:cs="Times New Roman"/>
          <w:sz w:val="32"/>
          <w:szCs w:val="32"/>
          <w:highlight w:val="none"/>
          <w:lang w:val="en-US" w:eastAsia="zh-CN"/>
        </w:rPr>
        <w:t>自治州人民政府</w:t>
      </w:r>
      <w:r>
        <w:rPr>
          <w:rFonts w:hint="default" w:ascii="Times New Roman" w:hAnsi="Times New Roman" w:eastAsia="仿宋_GB2312" w:cs="Times New Roman"/>
          <w:sz w:val="32"/>
          <w:szCs w:val="32"/>
          <w:highlight w:val="none"/>
          <w:lang w:val="en-US" w:eastAsia="zh-CN"/>
        </w:rPr>
        <w:t>批准文件，经股东会、股东大会、</w:t>
      </w:r>
      <w:r>
        <w:rPr>
          <w:rFonts w:hint="eastAsia" w:eastAsia="仿宋_GB2312" w:cs="Times New Roman"/>
          <w:sz w:val="32"/>
          <w:szCs w:val="32"/>
          <w:highlight w:val="none"/>
          <w:lang w:val="en-US" w:eastAsia="zh-CN"/>
        </w:rPr>
        <w:t>职工代表大会、</w:t>
      </w:r>
      <w:r>
        <w:rPr>
          <w:rFonts w:hint="default" w:ascii="Times New Roman" w:hAnsi="Times New Roman" w:eastAsia="仿宋_GB2312" w:cs="Times New Roman"/>
          <w:sz w:val="32"/>
          <w:szCs w:val="32"/>
          <w:highlight w:val="none"/>
          <w:lang w:val="en-US" w:eastAsia="zh-CN"/>
        </w:rPr>
        <w:t>债权人会议和人民法院确认的清算报告或财产分配方案，清算财产执行情况报告</w:t>
      </w:r>
      <w:r>
        <w:rPr>
          <w:rFonts w:hint="eastAsia" w:eastAsia="仿宋_GB2312" w:cs="Times New Roman"/>
          <w:sz w:val="32"/>
          <w:szCs w:val="32"/>
          <w:highlight w:val="none"/>
          <w:lang w:val="en-US" w:eastAsia="zh-CN"/>
        </w:rPr>
        <w:t>。</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5"/>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应在收到国有企业申报文件及相关工作资料10个工作日内提出审核意见并报送</w:t>
      </w:r>
      <w:r>
        <w:rPr>
          <w:rFonts w:hint="eastAsia" w:eastAsia="仿宋_GB2312" w:cs="Times New Roman"/>
          <w:sz w:val="32"/>
          <w:szCs w:val="32"/>
          <w:highlight w:val="none"/>
          <w:lang w:val="en-US" w:eastAsia="zh-CN"/>
        </w:rPr>
        <w:t>财政部门</w:t>
      </w:r>
      <w:r>
        <w:rPr>
          <w:rFonts w:hint="default" w:ascii="Times New Roman" w:hAnsi="Times New Roman" w:eastAsia="仿宋_GB2312" w:cs="Times New Roman"/>
          <w:sz w:val="32"/>
          <w:szCs w:val="32"/>
          <w:highlight w:val="none"/>
          <w:lang w:val="en-US" w:eastAsia="zh-CN"/>
        </w:rPr>
        <w:t>复核。</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（三）</w:t>
      </w:r>
      <w:r>
        <w:rPr>
          <w:rFonts w:hint="eastAsia" w:eastAsia="仿宋_GB2312" w:cs="Times New Roman"/>
          <w:sz w:val="32"/>
          <w:szCs w:val="32"/>
          <w:highlight w:val="none"/>
          <w:lang w:val="en-US" w:eastAsia="zh-CN"/>
        </w:rPr>
        <w:t>财政部门</w:t>
      </w:r>
      <w:r>
        <w:rPr>
          <w:rFonts w:hint="default" w:ascii="Times New Roman" w:hAnsi="Times New Roman" w:eastAsia="仿宋_GB2312" w:cs="Times New Roman"/>
          <w:sz w:val="32"/>
          <w:szCs w:val="32"/>
          <w:highlight w:val="none"/>
          <w:lang w:val="en-US" w:eastAsia="zh-CN"/>
        </w:rPr>
        <w:t>应在收到</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审核意见后</w:t>
      </w:r>
      <w:r>
        <w:rPr>
          <w:rFonts w:hint="eastAsia" w:eastAsia="仿宋_GB2312" w:cs="Times New Roman"/>
          <w:sz w:val="32"/>
          <w:szCs w:val="32"/>
          <w:highlight w:val="none"/>
          <w:lang w:val="en-US" w:eastAsia="zh-CN"/>
        </w:rPr>
        <w:t>15</w:t>
      </w:r>
      <w:r>
        <w:rPr>
          <w:rFonts w:hint="default" w:ascii="Times New Roman" w:hAnsi="Times New Roman" w:eastAsia="仿宋_GB2312" w:cs="Times New Roman"/>
          <w:sz w:val="32"/>
          <w:szCs w:val="32"/>
          <w:highlight w:val="none"/>
          <w:lang w:val="en-US" w:eastAsia="zh-CN"/>
        </w:rPr>
        <w:t>个工作日内提出复核意见并</w:t>
      </w:r>
      <w:r>
        <w:rPr>
          <w:rFonts w:hint="default" w:ascii="Times New Roman" w:hAnsi="Times New Roman" w:eastAsia="仿宋_GB2312" w:cs="Times New Roman"/>
          <w:sz w:val="32"/>
          <w:szCs w:val="32"/>
          <w:highlight w:val="none"/>
          <w:lang w:eastAsia="zh-CN"/>
        </w:rPr>
        <w:t>向</w:t>
      </w:r>
      <w:r>
        <w:rPr>
          <w:rFonts w:hint="eastAsia" w:eastAsia="仿宋_GB2312" w:cs="Times New Roman"/>
          <w:sz w:val="32"/>
          <w:szCs w:val="32"/>
          <w:highlight w:val="none"/>
          <w:lang w:eastAsia="zh-CN"/>
        </w:rPr>
        <w:t>出资人单位</w:t>
      </w:r>
      <w:r>
        <w:rPr>
          <w:rFonts w:hint="default" w:ascii="Times New Roman" w:hAnsi="Times New Roman" w:eastAsia="仿宋_GB2312" w:cs="Times New Roman"/>
          <w:sz w:val="32"/>
          <w:szCs w:val="32"/>
          <w:highlight w:val="none"/>
          <w:lang w:eastAsia="zh-CN"/>
        </w:rPr>
        <w:t>下达国有资本收益收取文件，明确收取金额、收取方式、上交时间等。</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（四）</w:t>
      </w:r>
      <w:r>
        <w:rPr>
          <w:rFonts w:hint="eastAsia" w:eastAsia="仿宋_GB2312" w:cs="Times New Roman"/>
          <w:sz w:val="32"/>
          <w:szCs w:val="32"/>
          <w:highlight w:val="none"/>
          <w:lang w:eastAsia="zh-CN"/>
        </w:rPr>
        <w:t>出资人单位</w:t>
      </w:r>
      <w:r>
        <w:rPr>
          <w:rFonts w:hint="default" w:ascii="Times New Roman" w:hAnsi="Times New Roman" w:eastAsia="仿宋_GB2312" w:cs="Times New Roman"/>
          <w:sz w:val="32"/>
          <w:szCs w:val="32"/>
          <w:highlight w:val="none"/>
        </w:rPr>
        <w:t>收到</w:t>
      </w:r>
      <w:r>
        <w:rPr>
          <w:rFonts w:hint="eastAsia" w:eastAsia="仿宋_GB2312" w:cs="Times New Roman"/>
          <w:sz w:val="32"/>
          <w:szCs w:val="32"/>
          <w:highlight w:val="none"/>
          <w:lang w:val="en-US" w:eastAsia="zh-CN"/>
        </w:rPr>
        <w:t>财政部门</w:t>
      </w:r>
      <w:r>
        <w:rPr>
          <w:rFonts w:hint="default" w:ascii="Times New Roman" w:hAnsi="Times New Roman" w:eastAsia="仿宋_GB2312" w:cs="Times New Roman"/>
          <w:sz w:val="32"/>
          <w:szCs w:val="32"/>
          <w:highlight w:val="none"/>
          <w:lang w:eastAsia="zh-CN"/>
        </w:rPr>
        <w:t>国有资本收益收取文件</w:t>
      </w:r>
      <w:r>
        <w:rPr>
          <w:rFonts w:hint="default" w:ascii="Times New Roman" w:hAnsi="Times New Roman" w:eastAsia="仿宋_GB2312" w:cs="Times New Roman"/>
          <w:sz w:val="32"/>
          <w:szCs w:val="32"/>
          <w:highlight w:val="none"/>
        </w:rPr>
        <w:t>后5个工作日内，向</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rPr>
        <w:t>下达国有资本收益上交</w:t>
      </w:r>
      <w:r>
        <w:rPr>
          <w:rFonts w:hint="default" w:ascii="Times New Roman" w:hAnsi="Times New Roman" w:eastAsia="仿宋_GB2312" w:cs="Times New Roman"/>
          <w:sz w:val="32"/>
          <w:szCs w:val="32"/>
          <w:highlight w:val="none"/>
          <w:lang w:eastAsia="zh-CN"/>
        </w:rPr>
        <w:t>通知书。</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五</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国有</w:t>
      </w:r>
      <w:r>
        <w:rPr>
          <w:rFonts w:hint="default" w:ascii="Times New Roman" w:hAnsi="Times New Roman" w:eastAsia="仿宋_GB2312" w:cs="Times New Roman"/>
          <w:sz w:val="32"/>
          <w:szCs w:val="32"/>
          <w:highlight w:val="none"/>
        </w:rPr>
        <w:t>企业收到</w:t>
      </w:r>
      <w:r>
        <w:rPr>
          <w:rFonts w:hint="eastAsia" w:eastAsia="仿宋_GB2312" w:cs="Times New Roman"/>
          <w:sz w:val="32"/>
          <w:szCs w:val="32"/>
          <w:highlight w:val="none"/>
          <w:lang w:eastAsia="zh-CN"/>
        </w:rPr>
        <w:t>出资人单位</w:t>
      </w:r>
      <w:r>
        <w:rPr>
          <w:rFonts w:hint="default" w:ascii="Times New Roman" w:hAnsi="Times New Roman" w:eastAsia="仿宋_GB2312" w:cs="Times New Roman"/>
          <w:sz w:val="32"/>
          <w:szCs w:val="32"/>
          <w:highlight w:val="none"/>
        </w:rPr>
        <w:t>下达的国有资本收益上交</w:t>
      </w:r>
      <w:r>
        <w:rPr>
          <w:rFonts w:hint="default" w:ascii="Times New Roman" w:hAnsi="Times New Roman" w:eastAsia="仿宋_GB2312" w:cs="Times New Roman"/>
          <w:sz w:val="32"/>
          <w:szCs w:val="32"/>
          <w:highlight w:val="none"/>
          <w:lang w:eastAsia="zh-CN"/>
        </w:rPr>
        <w:t>通知书后</w:t>
      </w:r>
      <w:r>
        <w:rPr>
          <w:rFonts w:hint="eastAsia" w:eastAsia="仿宋_GB2312" w:cs="Times New Roman"/>
          <w:sz w:val="32"/>
          <w:szCs w:val="32"/>
          <w:highlight w:val="none"/>
          <w:lang w:val="en-US" w:eastAsia="zh-CN"/>
        </w:rPr>
        <w:t>20</w:t>
      </w:r>
      <w:r>
        <w:rPr>
          <w:rFonts w:hint="default" w:ascii="Times New Roman" w:hAnsi="Times New Roman" w:eastAsia="仿宋_GB2312" w:cs="Times New Roman"/>
          <w:sz w:val="32"/>
          <w:szCs w:val="32"/>
          <w:highlight w:val="none"/>
          <w:lang w:val="en-US" w:eastAsia="zh-CN"/>
        </w:rPr>
        <w:t>个工作日内到</w:t>
      </w:r>
      <w:r>
        <w:rPr>
          <w:rFonts w:hint="eastAsia" w:eastAsia="仿宋_GB2312" w:cs="Times New Roman"/>
          <w:sz w:val="32"/>
          <w:szCs w:val="32"/>
          <w:highlight w:val="none"/>
          <w:lang w:val="en-US" w:eastAsia="zh-CN"/>
        </w:rPr>
        <w:t>财政部门</w:t>
      </w:r>
      <w:r>
        <w:rPr>
          <w:rFonts w:hint="default" w:ascii="Times New Roman" w:hAnsi="Times New Roman" w:eastAsia="仿宋_GB2312" w:cs="Times New Roman"/>
          <w:sz w:val="32"/>
          <w:szCs w:val="32"/>
          <w:highlight w:val="none"/>
          <w:lang w:val="en-US" w:eastAsia="zh-CN"/>
        </w:rPr>
        <w:t>办理非税收入缴库手续。</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w:t>
      </w:r>
      <w:r>
        <w:rPr>
          <w:rFonts w:hint="eastAsia" w:eastAsia="仿宋_GB2312" w:cs="Times New Roman"/>
          <w:b/>
          <w:bCs/>
          <w:sz w:val="32"/>
          <w:szCs w:val="32"/>
          <w:highlight w:val="none"/>
          <w:lang w:val="en-US" w:eastAsia="zh-CN"/>
        </w:rPr>
        <w:t>四</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w:t>
      </w:r>
      <w:r>
        <w:rPr>
          <w:rFonts w:hint="eastAsia" w:eastAsia="仿宋_GB2312" w:cs="Times New Roman"/>
          <w:sz w:val="32"/>
          <w:szCs w:val="32"/>
          <w:highlight w:val="none"/>
          <w:lang w:val="en-US" w:eastAsia="zh-CN"/>
        </w:rPr>
        <w:t>财政部门、出资人单位</w:t>
      </w:r>
      <w:r>
        <w:rPr>
          <w:rFonts w:hint="default" w:ascii="Times New Roman" w:hAnsi="Times New Roman" w:eastAsia="仿宋_GB2312" w:cs="Times New Roman"/>
          <w:sz w:val="32"/>
          <w:szCs w:val="32"/>
          <w:highlight w:val="none"/>
          <w:lang w:val="en-US" w:eastAsia="zh-CN"/>
        </w:rPr>
        <w:t>和</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应当按规定执收和上交国有资本收益，不得多收、提前收取，</w:t>
      </w:r>
      <w:r>
        <w:rPr>
          <w:rFonts w:hint="eastAsia" w:eastAsia="仿宋_GB2312" w:cs="Times New Roman"/>
          <w:sz w:val="32"/>
          <w:szCs w:val="32"/>
          <w:highlight w:val="none"/>
          <w:lang w:val="en-US" w:eastAsia="zh-CN"/>
        </w:rPr>
        <w:t>未经自治州人民政府同意，任何部门或单位不得擅自减免</w:t>
      </w:r>
      <w:r>
        <w:rPr>
          <w:rFonts w:hint="default" w:ascii="Times New Roman" w:hAnsi="Times New Roman" w:eastAsia="仿宋_GB2312" w:cs="Times New Roman"/>
          <w:sz w:val="32"/>
          <w:szCs w:val="32"/>
          <w:highlight w:val="none"/>
          <w:lang w:val="en-US" w:eastAsia="zh-CN"/>
        </w:rPr>
        <w:t>应交的国有资本收益。</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国有企业确因国家政策进行重大调整或遭受重大自然灾害等不可抗力因素造成重大损失等，要求减免国有资本收益的，应当通过出资人单位向财政部门申请，由财政部门提出意见报自治州人民政府同意后执行。</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第十</w:t>
      </w:r>
      <w:r>
        <w:rPr>
          <w:rFonts w:hint="eastAsia" w:eastAsia="仿宋_GB2312" w:cs="Times New Roman"/>
          <w:b/>
          <w:bCs/>
          <w:sz w:val="32"/>
          <w:szCs w:val="32"/>
          <w:highlight w:val="none"/>
          <w:lang w:val="en-US" w:eastAsia="zh-CN"/>
        </w:rPr>
        <w:t>五</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必须依法设置会计</w:t>
      </w:r>
      <w:r>
        <w:rPr>
          <w:rFonts w:hint="eastAsia" w:eastAsia="仿宋_GB2312" w:cs="Times New Roman"/>
          <w:sz w:val="32"/>
          <w:szCs w:val="32"/>
          <w:highlight w:val="none"/>
          <w:lang w:val="en-US" w:eastAsia="zh-CN"/>
        </w:rPr>
        <w:t>账薄</w:t>
      </w:r>
      <w:r>
        <w:rPr>
          <w:rFonts w:hint="default" w:ascii="Times New Roman" w:hAnsi="Times New Roman" w:eastAsia="仿宋_GB2312" w:cs="Times New Roman"/>
          <w:sz w:val="32"/>
          <w:szCs w:val="32"/>
          <w:highlight w:val="none"/>
          <w:lang w:val="en-US" w:eastAsia="zh-CN"/>
        </w:rPr>
        <w:t>，并保证其真实、完整。</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负责人对本单位的会计工作和会计资料的真实性、完整性负责</w:t>
      </w:r>
      <w:r>
        <w:rPr>
          <w:rFonts w:hint="eastAsia" w:eastAsia="仿宋_GB2312" w:cs="Times New Roman"/>
          <w:sz w:val="32"/>
          <w:szCs w:val="32"/>
          <w:highlight w:val="none"/>
          <w:lang w:val="en-US" w:eastAsia="zh-CN"/>
        </w:rPr>
        <w:t>，应当主动接受监督机关的监督检查，如实反映有关情况，不得隐瞒、拒绝、阻挠和拖延</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出资人单位</w:t>
      </w:r>
      <w:r>
        <w:rPr>
          <w:rFonts w:hint="default" w:ascii="Times New Roman" w:hAnsi="Times New Roman" w:eastAsia="仿宋_GB2312" w:cs="Times New Roman"/>
          <w:sz w:val="32"/>
          <w:szCs w:val="32"/>
          <w:highlight w:val="none"/>
          <w:lang w:val="en-US" w:eastAsia="zh-CN"/>
        </w:rPr>
        <w:t>根据需要，可以委托会计师事务所对</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的年度财务会计报告进行审计，对</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上交国有资本收益实施管理监督，维护国有资本权益。</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第十</w:t>
      </w:r>
      <w:r>
        <w:rPr>
          <w:rFonts w:hint="eastAsia" w:eastAsia="仿宋_GB2312" w:cs="Times New Roman"/>
          <w:b/>
          <w:bCs/>
          <w:sz w:val="32"/>
          <w:szCs w:val="32"/>
          <w:highlight w:val="none"/>
          <w:lang w:val="en-US" w:eastAsia="zh-CN"/>
        </w:rPr>
        <w:t>六</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lang w:val="en-US" w:eastAsia="zh-CN"/>
        </w:rPr>
        <w:t xml:space="preserve"> </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具有不依法设置会计</w:t>
      </w:r>
      <w:r>
        <w:rPr>
          <w:rFonts w:hint="eastAsia" w:eastAsia="仿宋_GB2312" w:cs="Times New Roman"/>
          <w:sz w:val="32"/>
          <w:szCs w:val="32"/>
          <w:highlight w:val="none"/>
          <w:lang w:val="en-US" w:eastAsia="zh-CN"/>
        </w:rPr>
        <w:t>账薄</w:t>
      </w:r>
      <w:r>
        <w:rPr>
          <w:rFonts w:hint="default" w:ascii="Times New Roman" w:hAnsi="Times New Roman" w:eastAsia="仿宋_GB2312" w:cs="Times New Roman"/>
          <w:sz w:val="32"/>
          <w:szCs w:val="32"/>
          <w:highlight w:val="none"/>
          <w:lang w:val="en-US" w:eastAsia="zh-CN"/>
        </w:rPr>
        <w:t>，随意变更会计处理方法，不如实向资产评估机构、会计师事务所提供有关情况和资料，或者与资产评估机构、会计师事务所串通出具虚假资产评估报告、审计报告，以及向不同的会计资料使用者提供的财务会计报告编制依据不一致等行为的，依据</w:t>
      </w:r>
      <w:r>
        <w:rPr>
          <w:rFonts w:hint="eastAsia" w:eastAsia="仿宋_GB2312" w:cs="Times New Roman"/>
          <w:sz w:val="32"/>
          <w:szCs w:val="32"/>
          <w:highlight w:val="none"/>
          <w:lang w:val="en-US" w:eastAsia="zh-CN"/>
        </w:rPr>
        <w:t>相关法律法规</w:t>
      </w:r>
      <w:r>
        <w:rPr>
          <w:rFonts w:hint="default" w:ascii="Times New Roman" w:hAnsi="Times New Roman" w:eastAsia="仿宋_GB2312" w:cs="Times New Roman"/>
          <w:sz w:val="32"/>
          <w:szCs w:val="32"/>
          <w:highlight w:val="none"/>
          <w:lang w:val="en-US" w:eastAsia="zh-CN"/>
        </w:rPr>
        <w:t>追究其相应责任。</w:t>
      </w:r>
      <w:r>
        <w:rPr>
          <w:rFonts w:hint="eastAsia" w:eastAsia="仿宋_GB2312" w:cs="Times New Roman"/>
          <w:sz w:val="32"/>
          <w:szCs w:val="32"/>
          <w:highlight w:val="none"/>
          <w:lang w:val="en-US" w:eastAsia="zh-CN"/>
        </w:rPr>
        <w:t>国有企业若出现未按规定申报、上交国有资本收益的行为，出资人单位应当采取约谈整改、通报批评、扣减考核得分等措施，财政、审计部门可依据《财政违法行为处罚处分条例》等相关规定给予处理。出资人单位</w:t>
      </w:r>
      <w:r>
        <w:rPr>
          <w:rFonts w:hint="default" w:ascii="Times New Roman" w:hAnsi="Times New Roman" w:eastAsia="仿宋_GB2312" w:cs="Times New Roman"/>
          <w:sz w:val="32"/>
          <w:szCs w:val="32"/>
          <w:highlight w:val="none"/>
          <w:lang w:val="en-US" w:eastAsia="zh-CN"/>
        </w:rPr>
        <w:t>或者</w:t>
      </w:r>
      <w:r>
        <w:rPr>
          <w:rFonts w:hint="eastAsia" w:eastAsia="仿宋_GB2312" w:cs="Times New Roman"/>
          <w:sz w:val="32"/>
          <w:szCs w:val="32"/>
          <w:highlight w:val="none"/>
          <w:lang w:val="en-US" w:eastAsia="zh-CN"/>
        </w:rPr>
        <w:t>国有企业</w:t>
      </w:r>
      <w:r>
        <w:rPr>
          <w:rFonts w:hint="default" w:ascii="Times New Roman" w:hAnsi="Times New Roman" w:eastAsia="仿宋_GB2312" w:cs="Times New Roman"/>
          <w:sz w:val="32"/>
          <w:szCs w:val="32"/>
          <w:highlight w:val="none"/>
          <w:lang w:val="en-US" w:eastAsia="zh-CN"/>
        </w:rPr>
        <w:t>违反法定的权限、程序，决定国有</w:t>
      </w:r>
      <w:r>
        <w:rPr>
          <w:rFonts w:hint="eastAsia" w:eastAsia="仿宋_GB2312" w:cs="Times New Roman"/>
          <w:sz w:val="32"/>
          <w:szCs w:val="32"/>
          <w:highlight w:val="none"/>
          <w:lang w:val="en-US" w:eastAsia="zh-CN"/>
        </w:rPr>
        <w:t>资本</w:t>
      </w:r>
      <w:r>
        <w:rPr>
          <w:rFonts w:hint="default" w:ascii="Times New Roman" w:hAnsi="Times New Roman" w:eastAsia="仿宋_GB2312" w:cs="Times New Roman"/>
          <w:sz w:val="32"/>
          <w:szCs w:val="32"/>
          <w:highlight w:val="none"/>
          <w:lang w:val="en-US" w:eastAsia="zh-CN"/>
        </w:rPr>
        <w:t>收益收取上交事项，造成国有资产损失或</w:t>
      </w:r>
      <w:r>
        <w:rPr>
          <w:rFonts w:hint="eastAsia" w:eastAsia="仿宋_GB2312" w:cs="Times New Roman"/>
          <w:sz w:val="32"/>
          <w:szCs w:val="32"/>
          <w:highlight w:val="none"/>
          <w:lang w:val="en-US" w:eastAsia="zh-CN"/>
        </w:rPr>
        <w:t>违反</w:t>
      </w:r>
      <w:r>
        <w:rPr>
          <w:rFonts w:hint="default" w:ascii="Times New Roman" w:hAnsi="Times New Roman" w:eastAsia="仿宋_GB2312" w:cs="Times New Roman"/>
          <w:sz w:val="32"/>
          <w:szCs w:val="32"/>
          <w:highlight w:val="none"/>
          <w:lang w:val="en-US" w:eastAsia="zh-CN"/>
        </w:rPr>
        <w:t>国家财政收入管理规定的，依据</w:t>
      </w:r>
      <w:r>
        <w:rPr>
          <w:rFonts w:hint="eastAsia" w:eastAsia="仿宋_GB2312" w:cs="Times New Roman"/>
          <w:sz w:val="32"/>
          <w:szCs w:val="32"/>
          <w:highlight w:val="none"/>
          <w:lang w:val="en-US" w:eastAsia="zh-CN"/>
        </w:rPr>
        <w:t>相关法律法规</w:t>
      </w:r>
      <w:r>
        <w:rPr>
          <w:rFonts w:hint="default" w:ascii="Times New Roman" w:hAnsi="Times New Roman" w:eastAsia="仿宋_GB2312" w:cs="Times New Roman"/>
          <w:sz w:val="32"/>
          <w:szCs w:val="32"/>
          <w:highlight w:val="none"/>
          <w:lang w:val="en-US" w:eastAsia="zh-CN"/>
        </w:rPr>
        <w:t>追究其相应责任。</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3" w:firstLineChars="200"/>
        <w:textAlignment w:val="auto"/>
        <w:rPr>
          <w:rFonts w:hint="eastAsia" w:eastAsia="仿宋_GB2312" w:cs="Times New Roman"/>
          <w:sz w:val="32"/>
          <w:szCs w:val="32"/>
          <w:highlight w:val="none"/>
          <w:lang w:eastAsia="zh-CN"/>
        </w:rPr>
      </w:pPr>
      <w:bookmarkStart w:id="3" w:name="OLE_LINK4"/>
      <w:r>
        <w:rPr>
          <w:rFonts w:hint="default" w:ascii="Times New Roman" w:hAnsi="Times New Roman" w:eastAsia="仿宋_GB2312" w:cs="Times New Roman"/>
          <w:b/>
          <w:bCs/>
          <w:sz w:val="32"/>
          <w:szCs w:val="32"/>
          <w:highlight w:val="none"/>
          <w:lang w:val="en-US" w:eastAsia="zh-CN"/>
        </w:rPr>
        <w:t>第</w:t>
      </w:r>
      <w:r>
        <w:rPr>
          <w:rFonts w:hint="eastAsia" w:ascii="Times New Roman" w:hAnsi="Times New Roman" w:eastAsia="仿宋_GB2312" w:cs="Times New Roman"/>
          <w:b/>
          <w:bCs/>
          <w:sz w:val="32"/>
          <w:szCs w:val="32"/>
          <w:highlight w:val="none"/>
          <w:lang w:val="en-US" w:eastAsia="zh-CN"/>
        </w:rPr>
        <w:t>十</w:t>
      </w:r>
      <w:r>
        <w:rPr>
          <w:rFonts w:hint="eastAsia" w:eastAsia="仿宋_GB2312" w:cs="Times New Roman"/>
          <w:b/>
          <w:bCs/>
          <w:sz w:val="32"/>
          <w:szCs w:val="32"/>
          <w:highlight w:val="none"/>
          <w:lang w:val="en-US" w:eastAsia="zh-CN"/>
        </w:rPr>
        <w:t>七</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rPr>
        <w:t xml:space="preserve"> </w:t>
      </w:r>
      <w:bookmarkEnd w:id="3"/>
      <w:r>
        <w:rPr>
          <w:rFonts w:hint="eastAsia" w:eastAsia="仿宋_GB2312" w:cs="Times New Roman"/>
          <w:sz w:val="32"/>
          <w:szCs w:val="32"/>
          <w:highlight w:val="none"/>
          <w:lang w:eastAsia="zh-CN"/>
        </w:rPr>
        <w:t>本办法自202</w:t>
      </w:r>
      <w:r>
        <w:rPr>
          <w:rFonts w:hint="eastAsia" w:eastAsia="仿宋_GB2312" w:cs="Times New Roman"/>
          <w:sz w:val="32"/>
          <w:szCs w:val="32"/>
          <w:highlight w:val="none"/>
          <w:lang w:val="en-US" w:eastAsia="zh-CN"/>
        </w:rPr>
        <w:t>6</w:t>
      </w:r>
      <w:r>
        <w:rPr>
          <w:rFonts w:hint="eastAsia" w:eastAsia="仿宋_GB2312" w:cs="Times New Roman"/>
          <w:sz w:val="32"/>
          <w:szCs w:val="32"/>
          <w:highlight w:val="none"/>
          <w:lang w:eastAsia="zh-CN"/>
        </w:rPr>
        <w:t>年</w:t>
      </w:r>
      <w:r>
        <w:rPr>
          <w:rFonts w:hint="eastAsia" w:eastAsia="仿宋_GB2312" w:cs="Times New Roman"/>
          <w:sz w:val="32"/>
          <w:szCs w:val="32"/>
          <w:highlight w:val="none"/>
          <w:lang w:val="en-US" w:eastAsia="zh-CN"/>
        </w:rPr>
        <w:t>1</w:t>
      </w:r>
      <w:r>
        <w:rPr>
          <w:rFonts w:hint="eastAsia" w:eastAsia="仿宋_GB2312" w:cs="Times New Roman"/>
          <w:sz w:val="32"/>
          <w:szCs w:val="32"/>
          <w:highlight w:val="none"/>
          <w:lang w:eastAsia="zh-CN"/>
        </w:rPr>
        <w:t>月</w:t>
      </w:r>
      <w:r>
        <w:rPr>
          <w:rFonts w:hint="eastAsia" w:eastAsia="仿宋_GB2312" w:cs="Times New Roman"/>
          <w:sz w:val="32"/>
          <w:szCs w:val="32"/>
          <w:highlight w:val="none"/>
          <w:lang w:val="en-US" w:eastAsia="zh-CN"/>
        </w:rPr>
        <w:t>1</w:t>
      </w:r>
      <w:r>
        <w:rPr>
          <w:rFonts w:hint="eastAsia" w:eastAsia="仿宋_GB2312" w:cs="Times New Roman"/>
          <w:sz w:val="32"/>
          <w:szCs w:val="32"/>
          <w:highlight w:val="none"/>
          <w:lang w:eastAsia="zh-CN"/>
        </w:rPr>
        <w:t>日起施行，有效期5年。</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3"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lang w:val="en-US" w:eastAsia="zh-CN"/>
        </w:rPr>
        <w:t>第十</w:t>
      </w:r>
      <w:r>
        <w:rPr>
          <w:rFonts w:hint="eastAsia" w:eastAsia="仿宋_GB2312" w:cs="Times New Roman"/>
          <w:b/>
          <w:bCs/>
          <w:sz w:val="32"/>
          <w:szCs w:val="32"/>
          <w:highlight w:val="none"/>
          <w:lang w:val="en-US" w:eastAsia="zh-CN"/>
        </w:rPr>
        <w:t>八</w:t>
      </w:r>
      <w:r>
        <w:rPr>
          <w:rFonts w:hint="default" w:ascii="Times New Roman" w:hAnsi="Times New Roman" w:eastAsia="仿宋_GB2312" w:cs="Times New Roman"/>
          <w:b/>
          <w:bCs/>
          <w:sz w:val="32"/>
          <w:szCs w:val="32"/>
          <w:highlight w:val="none"/>
          <w:lang w:val="en-US" w:eastAsia="zh-CN"/>
        </w:rPr>
        <w:t>条</w:t>
      </w:r>
      <w:r>
        <w:rPr>
          <w:rFonts w:hint="default" w:ascii="Times New Roman" w:hAnsi="Times New Roman" w:eastAsia="仿宋_GB2312" w:cs="Times New Roman"/>
          <w:sz w:val="32"/>
          <w:szCs w:val="32"/>
          <w:highlight w:val="none"/>
        </w:rPr>
        <w:t xml:space="preserve"> 本办法由</w:t>
      </w:r>
      <w:r>
        <w:rPr>
          <w:rFonts w:hint="eastAsia" w:eastAsia="仿宋_GB2312" w:cs="Times New Roman"/>
          <w:sz w:val="32"/>
          <w:szCs w:val="32"/>
          <w:highlight w:val="none"/>
          <w:lang w:eastAsia="zh-CN"/>
        </w:rPr>
        <w:t>自治州财政局</w:t>
      </w:r>
      <w:r>
        <w:rPr>
          <w:rFonts w:hint="default" w:ascii="Times New Roman" w:hAnsi="Times New Roman" w:eastAsia="仿宋_GB2312" w:cs="Times New Roman"/>
          <w:sz w:val="32"/>
          <w:szCs w:val="32"/>
          <w:highlight w:val="none"/>
        </w:rPr>
        <w:t>负责解释。</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0" w:firstLineChars="200"/>
        <w:textAlignment w:val="auto"/>
        <w:rPr>
          <w:rFonts w:hint="eastAsia" w:eastAsia="仿宋_GB2312" w:cs="Times New Roman"/>
          <w:sz w:val="32"/>
          <w:szCs w:val="32"/>
          <w:highlight w:val="none"/>
          <w:lang w:eastAsia="zh-CN"/>
        </w:rPr>
      </w:pP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eastAsia="zh-CN"/>
        </w:rPr>
        <w:t>附件：</w:t>
      </w:r>
      <w:r>
        <w:rPr>
          <w:rFonts w:hint="eastAsia" w:eastAsia="仿宋_GB2312" w:cs="Times New Roman"/>
          <w:sz w:val="32"/>
          <w:szCs w:val="32"/>
          <w:highlight w:val="none"/>
          <w:lang w:val="en-US" w:eastAsia="zh-CN"/>
        </w:rPr>
        <w:t>1.国有企业</w:t>
      </w:r>
      <w:r>
        <w:rPr>
          <w:rFonts w:hint="default" w:ascii="Times New Roman" w:hAnsi="Times New Roman" w:eastAsia="仿宋_GB2312" w:cs="Times New Roman"/>
          <w:sz w:val="32"/>
          <w:szCs w:val="32"/>
          <w:highlight w:val="none"/>
          <w:lang w:val="en-US" w:eastAsia="zh-CN"/>
        </w:rPr>
        <w:t>国有资本收益（应交利润）申报表</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1600" w:firstLineChars="500"/>
        <w:textAlignment w:val="auto"/>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2.国有企业国有资本收益（国有股股息红利）申报表</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1600" w:firstLineChars="500"/>
        <w:textAlignment w:val="auto"/>
        <w:rPr>
          <w:rFonts w:hint="eastAsia" w:eastAsia="仿宋_GB2312" w:cs="Times New Roman"/>
          <w:spacing w:val="-6"/>
          <w:sz w:val="32"/>
          <w:szCs w:val="32"/>
          <w:highlight w:val="none"/>
          <w:lang w:val="en-US" w:eastAsia="zh-CN"/>
        </w:rPr>
      </w:pPr>
      <w:r>
        <w:rPr>
          <w:rFonts w:hint="eastAsia" w:eastAsia="仿宋_GB2312" w:cs="Times New Roman"/>
          <w:spacing w:val="0"/>
          <w:sz w:val="32"/>
          <w:szCs w:val="32"/>
          <w:highlight w:val="none"/>
          <w:lang w:val="en-US" w:eastAsia="zh-CN"/>
        </w:rPr>
        <w:t>3.</w:t>
      </w:r>
      <w:r>
        <w:rPr>
          <w:rFonts w:hint="eastAsia" w:eastAsia="仿宋_GB2312" w:cs="Times New Roman"/>
          <w:spacing w:val="-6"/>
          <w:sz w:val="32"/>
          <w:szCs w:val="32"/>
          <w:highlight w:val="none"/>
          <w:lang w:val="en-US" w:eastAsia="zh-CN"/>
        </w:rPr>
        <w:t>国有企业国有资本收益（国有产权转让收入）申报表</w:t>
      </w:r>
    </w:p>
    <w:p>
      <w:pPr>
        <w:keepNext w:val="0"/>
        <w:keepLines w:val="0"/>
        <w:pageBreakBefore w:val="0"/>
        <w:widowControl w:val="0"/>
        <w:tabs>
          <w:tab w:val="left" w:pos="3495"/>
        </w:tabs>
        <w:kinsoku/>
        <w:wordWrap/>
        <w:overflowPunct/>
        <w:topLinePunct w:val="0"/>
        <w:autoSpaceDE/>
        <w:autoSpaceDN/>
        <w:bidi w:val="0"/>
        <w:adjustRightInd/>
        <w:snapToGrid/>
        <w:spacing w:line="578" w:lineRule="exact"/>
        <w:ind w:firstLine="1600" w:firstLineChars="0"/>
        <w:jc w:val="both"/>
        <w:textAlignment w:val="auto"/>
        <w:rPr>
          <w:rFonts w:hint="default" w:eastAsia="仿宋_GB2312" w:cs="Times New Roman"/>
          <w:spacing w:val="-6"/>
          <w:sz w:val="32"/>
          <w:szCs w:val="32"/>
          <w:highlight w:val="none"/>
          <w:lang w:val="en-US" w:eastAsia="zh-CN"/>
        </w:rPr>
      </w:pPr>
      <w:r>
        <w:rPr>
          <w:rFonts w:hint="eastAsia" w:eastAsia="仿宋_GB2312" w:cs="Times New Roman"/>
          <w:spacing w:val="-6"/>
          <w:sz w:val="32"/>
          <w:szCs w:val="32"/>
          <w:highlight w:val="none"/>
          <w:lang w:val="en-US" w:eastAsia="zh-CN"/>
        </w:rPr>
        <w:t>4.国有企业国有资本收益（企业清算收入）申报表</w:t>
      </w: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sectPr>
          <w:footerReference r:id="rId3" w:type="default"/>
          <w:pgSz w:w="11906" w:h="16838"/>
          <w:pgMar w:top="2098" w:right="1531" w:bottom="1984" w:left="1531" w:header="851" w:footer="992" w:gutter="0"/>
          <w:pgNumType w:fmt="decimal"/>
          <w:cols w:space="425" w:num="1"/>
          <w:docGrid w:type="lines" w:linePitch="312" w:charSpace="0"/>
        </w:sectPr>
      </w:pPr>
    </w:p>
    <w:tbl>
      <w:tblPr>
        <w:tblStyle w:val="4"/>
        <w:tblpPr w:leftFromText="181" w:rightFromText="181" w:vertAnchor="page" w:tblpXSpec="center" w:tblpYSpec="center"/>
        <w:tblOverlap w:val="never"/>
        <w:tblW w:w="11142" w:type="dxa"/>
        <w:jc w:val="center"/>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170"/>
        <w:gridCol w:w="362"/>
        <w:gridCol w:w="365"/>
        <w:gridCol w:w="1764"/>
        <w:gridCol w:w="1"/>
        <w:gridCol w:w="1097"/>
        <w:gridCol w:w="990"/>
        <w:gridCol w:w="1"/>
        <w:gridCol w:w="1097"/>
        <w:gridCol w:w="1098"/>
        <w:gridCol w:w="1097"/>
        <w:gridCol w:w="11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45" w:hRule="atLeast"/>
          <w:jc w:val="center"/>
        </w:trPr>
        <w:tc>
          <w:tcPr>
            <w:tcW w:w="2897"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附件1：</w:t>
            </w:r>
          </w:p>
        </w:tc>
        <w:tc>
          <w:tcPr>
            <w:tcW w:w="176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8"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9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8"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10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8" w:hRule="atLeast"/>
          <w:jc w:val="center"/>
        </w:trPr>
        <w:tc>
          <w:tcPr>
            <w:tcW w:w="11142" w:type="dxa"/>
            <w:gridSpan w:val="1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国有企业国有资本收益（应交利润）申报表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5" w:hRule="atLeast"/>
          <w:jc w:val="center"/>
        </w:trPr>
        <w:tc>
          <w:tcPr>
            <w:tcW w:w="11142" w:type="dxa"/>
            <w:gridSpan w:val="12"/>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填报日期：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1114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申报单位基本情况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46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企业名称</w:t>
            </w:r>
          </w:p>
        </w:tc>
        <w:tc>
          <w:tcPr>
            <w:tcW w:w="6481"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4661" w:type="dxa"/>
            <w:gridSpan w:val="4"/>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注册地址</w:t>
            </w:r>
          </w:p>
        </w:tc>
        <w:tc>
          <w:tcPr>
            <w:tcW w:w="6481"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466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组织形式</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（国有独资企业或国有独资公司）</w:t>
            </w:r>
          </w:p>
        </w:tc>
        <w:tc>
          <w:tcPr>
            <w:tcW w:w="6481" w:type="dxa"/>
            <w:gridSpan w:val="8"/>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466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6481"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4661"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企业分类</w:t>
            </w:r>
          </w:p>
        </w:tc>
        <w:tc>
          <w:tcPr>
            <w:tcW w:w="6481"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46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注册资本</w:t>
            </w:r>
          </w:p>
        </w:tc>
        <w:tc>
          <w:tcPr>
            <w:tcW w:w="6481"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46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开户银行</w:t>
            </w:r>
          </w:p>
        </w:tc>
        <w:tc>
          <w:tcPr>
            <w:tcW w:w="6481"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46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银行账号</w:t>
            </w:r>
          </w:p>
        </w:tc>
        <w:tc>
          <w:tcPr>
            <w:tcW w:w="6481"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46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财务部门负责人</w:t>
            </w:r>
          </w:p>
        </w:tc>
        <w:tc>
          <w:tcPr>
            <w:tcW w:w="6481"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46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联系电话</w:t>
            </w:r>
          </w:p>
        </w:tc>
        <w:tc>
          <w:tcPr>
            <w:tcW w:w="6481"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1114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应交国有资本收益申报情况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  目</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申报数</w:t>
            </w: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预算单位审核数</w:t>
            </w: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财政局复核数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20</w:t>
            </w:r>
            <w:r>
              <w:rPr>
                <w:rStyle w:val="6"/>
                <w:sz w:val="21"/>
                <w:szCs w:val="21"/>
                <w:lang w:val="en-US" w:eastAsia="zh-CN" w:bidi="ar"/>
              </w:rPr>
              <w:t xml:space="preserve">  </w:t>
            </w:r>
            <w:r>
              <w:rPr>
                <w:rStyle w:val="7"/>
                <w:sz w:val="21"/>
                <w:szCs w:val="21"/>
                <w:lang w:val="en-US" w:eastAsia="zh-CN" w:bidi="ar"/>
              </w:rPr>
              <w:t>年度合并净利润</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减：少数股东损益</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20</w:t>
            </w:r>
            <w:r>
              <w:rPr>
                <w:rStyle w:val="6"/>
                <w:sz w:val="21"/>
                <w:szCs w:val="21"/>
                <w:lang w:val="en-US" w:eastAsia="zh-CN" w:bidi="ar"/>
              </w:rPr>
              <w:t xml:space="preserve">  </w:t>
            </w:r>
            <w:r>
              <w:rPr>
                <w:rStyle w:val="7"/>
                <w:sz w:val="21"/>
                <w:szCs w:val="21"/>
                <w:lang w:val="en-US" w:eastAsia="zh-CN" w:bidi="ar"/>
              </w:rPr>
              <w:t>年度归属于母公司所有者的净利润</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减：以前年度未弥补亏损</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减：提取法定公积金</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减：代出资人单位持有其他国有企业股权收益</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上交利润基数</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本期应交利润</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加：以前年度欠交利润</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减：本期已交利润</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491"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应交（退）利润</w:t>
            </w:r>
          </w:p>
        </w:tc>
        <w:tc>
          <w:tcPr>
            <w:tcW w:w="208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11142"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附送资料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jc w:val="center"/>
        </w:trPr>
        <w:tc>
          <w:tcPr>
            <w:tcW w:w="1114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1.经会计师事务所审计的年度财务会计报告和审计报告；</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2.其他印证资料；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声</w:t>
            </w:r>
          </w:p>
        </w:tc>
        <w:tc>
          <w:tcPr>
            <w:tcW w:w="36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6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764"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8"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9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8"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100"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5" w:hRule="atLeast"/>
          <w:jc w:val="center"/>
        </w:trPr>
        <w:tc>
          <w:tcPr>
            <w:tcW w:w="217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8972" w:type="dxa"/>
            <w:gridSpan w:val="11"/>
            <w:tcBorders>
              <w:top w:val="nil"/>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 xml:space="preserve">     本公司对以上情况及申报资料的真实性承担法律责任。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5" w:hRule="atLeast"/>
          <w:jc w:val="center"/>
        </w:trPr>
        <w:tc>
          <w:tcPr>
            <w:tcW w:w="2170"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明</w:t>
            </w:r>
          </w:p>
        </w:tc>
        <w:tc>
          <w:tcPr>
            <w:tcW w:w="36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6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4950" w:type="dxa"/>
            <w:gridSpan w:val="6"/>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法人代表（签章）：</w:t>
            </w:r>
          </w:p>
        </w:tc>
        <w:tc>
          <w:tcPr>
            <w:tcW w:w="1098"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100"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5" w:hRule="atLeast"/>
          <w:jc w:val="center"/>
        </w:trPr>
        <w:tc>
          <w:tcPr>
            <w:tcW w:w="217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62"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6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76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91"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8"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（公章）</w:t>
            </w:r>
          </w:p>
        </w:tc>
        <w:tc>
          <w:tcPr>
            <w:tcW w:w="1097"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00" w:type="dxa"/>
            <w:tcBorders>
              <w:top w:val="nil"/>
              <w:left w:val="nil"/>
              <w:bottom w:val="nil"/>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3" w:hRule="atLeast"/>
          <w:jc w:val="center"/>
        </w:trPr>
        <w:tc>
          <w:tcPr>
            <w:tcW w:w="217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62"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65"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765"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7"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991"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97"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3295"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20</w:t>
            </w:r>
            <w:r>
              <w:rPr>
                <w:rStyle w:val="8"/>
                <w:sz w:val="22"/>
                <w:szCs w:val="22"/>
                <w:lang w:val="en-US" w:eastAsia="zh-CN" w:bidi="ar"/>
              </w:rPr>
              <w:t xml:space="preserve">  年  月  日</w:t>
            </w:r>
          </w:p>
        </w:tc>
      </w:tr>
    </w:tbl>
    <w:tbl>
      <w:tblPr>
        <w:tblStyle w:val="4"/>
        <w:tblpPr w:leftFromText="181" w:rightFromText="181" w:tblpXSpec="center" w:tblpYSpec="center"/>
        <w:tblOverlap w:val="never"/>
        <w:tblW w:w="11301" w:type="dxa"/>
        <w:jc w:val="center"/>
        <w:tblInd w:w="-121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55"/>
        <w:gridCol w:w="283"/>
        <w:gridCol w:w="283"/>
        <w:gridCol w:w="1"/>
        <w:gridCol w:w="2744"/>
        <w:gridCol w:w="1"/>
        <w:gridCol w:w="994"/>
        <w:gridCol w:w="1"/>
        <w:gridCol w:w="1007"/>
        <w:gridCol w:w="1"/>
        <w:gridCol w:w="994"/>
        <w:gridCol w:w="1242"/>
        <w:gridCol w:w="995"/>
        <w:gridCol w:w="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jc w:val="center"/>
        </w:trPr>
        <w:tc>
          <w:tcPr>
            <w:tcW w:w="2521"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附件2:</w:t>
            </w:r>
          </w:p>
        </w:tc>
        <w:tc>
          <w:tcPr>
            <w:tcW w:w="274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008"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24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800"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1301"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国有企业国有资本收益（国有股股息红利）申报表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1301" w:type="dxa"/>
            <w:gridSpan w:val="14"/>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 xml:space="preserve">                       填报日期：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1301"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申报单位基本情况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企业名称</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注册地址</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526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组织形式</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（有限责任公司或股份有限公司）</w:t>
            </w:r>
          </w:p>
        </w:tc>
        <w:tc>
          <w:tcPr>
            <w:tcW w:w="6035" w:type="dxa"/>
            <w:gridSpan w:val="9"/>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526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35" w:type="dxa"/>
            <w:gridSpan w:val="9"/>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企业分类</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注册资本</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其中：国有股权（股份）</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开户银行</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银行账号</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财务部门负责人</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526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6035" w:type="dxa"/>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1301"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应交国有资本收益申报情况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3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  目</w:t>
            </w:r>
          </w:p>
        </w:tc>
        <w:tc>
          <w:tcPr>
            <w:tcW w:w="200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申报数</w:t>
            </w:r>
          </w:p>
        </w:tc>
        <w:tc>
          <w:tcPr>
            <w:tcW w:w="22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预算单位审核数</w:t>
            </w:r>
          </w:p>
        </w:tc>
        <w:tc>
          <w:tcPr>
            <w:tcW w:w="1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财政局复核数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3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20</w:t>
            </w:r>
            <w:r>
              <w:rPr>
                <w:rFonts w:hint="eastAsia" w:ascii="宋体" w:hAnsi="宋体" w:eastAsia="宋体" w:cs="宋体"/>
                <w:b/>
                <w:i w:val="0"/>
                <w:color w:val="000000"/>
                <w:kern w:val="0"/>
                <w:sz w:val="20"/>
                <w:szCs w:val="20"/>
                <w:u w:val="single"/>
                <w:lang w:val="en-US" w:eastAsia="zh-CN" w:bidi="ar"/>
              </w:rPr>
              <w:t xml:space="preserve">  </w:t>
            </w:r>
            <w:r>
              <w:rPr>
                <w:rFonts w:hint="eastAsia" w:ascii="宋体" w:hAnsi="宋体" w:eastAsia="宋体" w:cs="宋体"/>
                <w:b/>
                <w:i w:val="0"/>
                <w:color w:val="000000"/>
                <w:kern w:val="0"/>
                <w:sz w:val="20"/>
                <w:szCs w:val="20"/>
                <w:u w:val="none"/>
                <w:lang w:val="en-US" w:eastAsia="zh-CN" w:bidi="ar"/>
              </w:rPr>
              <w:t>年度年末未分配利润</w:t>
            </w:r>
          </w:p>
        </w:tc>
        <w:tc>
          <w:tcPr>
            <w:tcW w:w="200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2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3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向投资者分配的利润</w:t>
            </w:r>
          </w:p>
        </w:tc>
        <w:tc>
          <w:tcPr>
            <w:tcW w:w="200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2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3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国有股权（股份）所占比例</w:t>
            </w:r>
          </w:p>
        </w:tc>
        <w:tc>
          <w:tcPr>
            <w:tcW w:w="200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2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3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应交国有股股息红利</w:t>
            </w:r>
          </w:p>
        </w:tc>
        <w:tc>
          <w:tcPr>
            <w:tcW w:w="200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2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3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加：以前年度欠付的国有股股息、股利</w:t>
            </w:r>
          </w:p>
        </w:tc>
        <w:tc>
          <w:tcPr>
            <w:tcW w:w="200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2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3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减：本期已付的国有股股息红利</w:t>
            </w:r>
          </w:p>
        </w:tc>
        <w:tc>
          <w:tcPr>
            <w:tcW w:w="200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2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331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应交（退）国有股股息红利</w:t>
            </w:r>
          </w:p>
        </w:tc>
        <w:tc>
          <w:tcPr>
            <w:tcW w:w="200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223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c>
          <w:tcPr>
            <w:tcW w:w="17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1301" w:type="dxa"/>
            <w:gridSpan w:val="1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1301"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1.股东会（股东大会）利润分配决议；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2.股东名册；</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3.经会计师事务所审计的年度财务会计报告和审计报告；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4.履行出资人职责单位利润分配提案；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5.其他印证资料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声</w:t>
            </w:r>
          </w:p>
        </w:tc>
        <w:tc>
          <w:tcPr>
            <w:tcW w:w="283"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83"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74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008"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24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800"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c>
          <w:tcPr>
            <w:tcW w:w="9346" w:type="dxa"/>
            <w:gridSpan w:val="13"/>
            <w:tcBorders>
              <w:top w:val="nil"/>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 xml:space="preserve">      本公司按照《公司法》和公司章程的规定进行利润分配，申报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rPr>
                <w:rFonts w:hint="eastAsia" w:ascii="宋体" w:hAnsi="宋体" w:eastAsia="宋体" w:cs="宋体"/>
                <w:b/>
                <w:i w:val="0"/>
                <w:color w:val="000000"/>
                <w:sz w:val="21"/>
                <w:szCs w:val="21"/>
                <w:u w:val="none"/>
              </w:rPr>
            </w:pPr>
          </w:p>
        </w:tc>
        <w:tc>
          <w:tcPr>
            <w:tcW w:w="9346" w:type="dxa"/>
            <w:gridSpan w:val="13"/>
            <w:tcBorders>
              <w:top w:val="nil"/>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 xml:space="preserve">  资料真实、合法，国有股东公平分享股息、股利及其他合法权益。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明</w:t>
            </w:r>
          </w:p>
        </w:tc>
        <w:tc>
          <w:tcPr>
            <w:tcW w:w="283"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84"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74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007"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242"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800"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1"/>
                <w:szCs w:val="21"/>
                <w:u w:val="none"/>
              </w:rPr>
            </w:pPr>
          </w:p>
        </w:tc>
        <w:tc>
          <w:tcPr>
            <w:tcW w:w="283" w:type="dxa"/>
            <w:tcBorders>
              <w:top w:val="nil"/>
              <w:left w:val="single" w:color="000000" w:sz="4" w:space="0"/>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84" w:type="dxa"/>
            <w:gridSpan w:val="2"/>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5742" w:type="dxa"/>
            <w:gridSpan w:val="7"/>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法人代表（签章）：</w:t>
            </w:r>
          </w:p>
        </w:tc>
        <w:tc>
          <w:tcPr>
            <w:tcW w:w="1242"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（公章）</w:t>
            </w:r>
          </w:p>
        </w:tc>
        <w:tc>
          <w:tcPr>
            <w:tcW w:w="995" w:type="dxa"/>
            <w:tcBorders>
              <w:top w:val="nil"/>
              <w:left w:val="nil"/>
              <w:bottom w:val="nil"/>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800" w:type="dxa"/>
            <w:tcBorders>
              <w:top w:val="nil"/>
              <w:left w:val="nil"/>
              <w:bottom w:val="nil"/>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jc w:val="center"/>
        </w:trPr>
        <w:tc>
          <w:tcPr>
            <w:tcW w:w="1955"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83"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84"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2745"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5"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1008" w:type="dxa"/>
            <w:gridSpan w:val="2"/>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994" w:type="dxa"/>
            <w:tcBorders>
              <w:top w:val="nil"/>
              <w:left w:val="nil"/>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1"/>
                <w:szCs w:val="21"/>
                <w:u w:val="none"/>
              </w:rPr>
            </w:pPr>
          </w:p>
        </w:tc>
        <w:tc>
          <w:tcPr>
            <w:tcW w:w="3037"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20</w:t>
            </w:r>
            <w:r>
              <w:rPr>
                <w:rFonts w:hint="eastAsia" w:ascii="宋体" w:hAnsi="宋体" w:eastAsia="宋体" w:cs="宋体"/>
                <w:i w:val="0"/>
                <w:color w:val="000000"/>
                <w:kern w:val="0"/>
                <w:sz w:val="21"/>
                <w:szCs w:val="21"/>
                <w:u w:val="none"/>
                <w:lang w:val="en-US" w:eastAsia="zh-CN" w:bidi="ar"/>
              </w:rPr>
              <w:t xml:space="preserve">  年  月  日</w:t>
            </w:r>
          </w:p>
        </w:tc>
      </w:tr>
    </w:tbl>
    <w:tbl>
      <w:tblPr>
        <w:tblStyle w:val="4"/>
        <w:tblpPr w:leftFromText="181" w:rightFromText="181" w:vertAnchor="page" w:horzAnchor="page" w:tblpXSpec="center" w:tblpYSpec="center"/>
        <w:tblW w:w="10680" w:type="dxa"/>
        <w:jc w:val="center"/>
        <w:tblInd w:w="-10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732"/>
        <w:gridCol w:w="403"/>
        <w:gridCol w:w="403"/>
        <w:gridCol w:w="403"/>
        <w:gridCol w:w="1014"/>
        <w:gridCol w:w="563"/>
        <w:gridCol w:w="1013"/>
        <w:gridCol w:w="2656"/>
        <w:gridCol w:w="1013"/>
        <w:gridCol w:w="1"/>
        <w:gridCol w:w="4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39" w:hRule="atLeast"/>
          <w:jc w:val="center"/>
        </w:trPr>
        <w:tc>
          <w:tcPr>
            <w:tcW w:w="3941" w:type="dxa"/>
            <w:gridSpan w:val="4"/>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附件3：</w:t>
            </w:r>
          </w:p>
        </w:tc>
        <w:tc>
          <w:tcPr>
            <w:tcW w:w="1014"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563"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1013"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2656"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1014"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47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1068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国有企业国有资本收益（国有产权转让收入）申报表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10680" w:type="dxa"/>
            <w:gridSpan w:val="11"/>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填报日期：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10680"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val="0"/>
              <w:suppressLineNumbers w:val="0"/>
              <w:kinsoku/>
              <w:wordWrap/>
              <w:overflowPunct/>
              <w:topLinePunct w:val="0"/>
              <w:autoSpaceDE/>
              <w:autoSpaceDN/>
              <w:bidi w:val="0"/>
              <w:adjustRightInd/>
              <w:snapToGrid/>
              <w:jc w:val="center"/>
              <w:textAlignment w:val="bottom"/>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申报单位基本情况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w:t>
            </w:r>
          </w:p>
        </w:tc>
        <w:tc>
          <w:tcPr>
            <w:tcW w:w="6739"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性质</w:t>
            </w:r>
          </w:p>
        </w:tc>
        <w:tc>
          <w:tcPr>
            <w:tcW w:w="6739"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联系人</w:t>
            </w:r>
          </w:p>
        </w:tc>
        <w:tc>
          <w:tcPr>
            <w:tcW w:w="6739"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联系电话</w:t>
            </w:r>
          </w:p>
        </w:tc>
        <w:tc>
          <w:tcPr>
            <w:tcW w:w="6739" w:type="dxa"/>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10680"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企业国有产权及其交易情况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企业名称</w:t>
            </w:r>
          </w:p>
        </w:tc>
        <w:tc>
          <w:tcPr>
            <w:tcW w:w="1577" w:type="dxa"/>
            <w:gridSpan w:val="2"/>
            <w:tcBorders>
              <w:top w:val="single" w:color="000000" w:sz="4" w:space="0"/>
              <w:left w:val="single" w:color="000000" w:sz="4" w:space="0"/>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组织形式</w:t>
            </w:r>
          </w:p>
        </w:tc>
        <w:tc>
          <w:tcPr>
            <w:tcW w:w="1493" w:type="dxa"/>
            <w:gridSpan w:val="3"/>
            <w:tcBorders>
              <w:top w:val="single" w:color="000000" w:sz="4" w:space="0"/>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注册地址</w:t>
            </w:r>
          </w:p>
        </w:tc>
        <w:tc>
          <w:tcPr>
            <w:tcW w:w="157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企业分类</w:t>
            </w:r>
          </w:p>
        </w:tc>
        <w:tc>
          <w:tcPr>
            <w:tcW w:w="1493"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注册资本</w:t>
            </w:r>
          </w:p>
        </w:tc>
        <w:tc>
          <w:tcPr>
            <w:tcW w:w="157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其中：国有股权（股份）</w:t>
            </w:r>
          </w:p>
        </w:tc>
        <w:tc>
          <w:tcPr>
            <w:tcW w:w="1493"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账面资产总额</w:t>
            </w:r>
          </w:p>
        </w:tc>
        <w:tc>
          <w:tcPr>
            <w:tcW w:w="157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其中：固定资产</w:t>
            </w:r>
          </w:p>
        </w:tc>
        <w:tc>
          <w:tcPr>
            <w:tcW w:w="1493"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国有净资产</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资产评估值</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法定代表人</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联系电话</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交易机构名称</w:t>
            </w:r>
          </w:p>
        </w:tc>
        <w:tc>
          <w:tcPr>
            <w:tcW w:w="1577"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交易机构地址</w:t>
            </w:r>
          </w:p>
        </w:tc>
        <w:tc>
          <w:tcPr>
            <w:tcW w:w="1493"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结算银行</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结算账户</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财务经理</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联系电话</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转让标的</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占国有净资产比重</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转让底价</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实际成交价</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合同签订日</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交易结算日</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价款结算方式</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价款结算时间</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10680"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受让方有关情况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名称</w:t>
            </w:r>
          </w:p>
        </w:tc>
        <w:tc>
          <w:tcPr>
            <w:tcW w:w="157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性质</w:t>
            </w:r>
          </w:p>
        </w:tc>
        <w:tc>
          <w:tcPr>
            <w:tcW w:w="1493"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注册地（或住所）</w:t>
            </w:r>
          </w:p>
        </w:tc>
        <w:tc>
          <w:tcPr>
            <w:tcW w:w="157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资产总额</w:t>
            </w:r>
          </w:p>
        </w:tc>
        <w:tc>
          <w:tcPr>
            <w:tcW w:w="1493"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394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法定代表人</w:t>
            </w:r>
          </w:p>
        </w:tc>
        <w:tc>
          <w:tcPr>
            <w:tcW w:w="1577"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联系电话</w:t>
            </w:r>
          </w:p>
        </w:tc>
        <w:tc>
          <w:tcPr>
            <w:tcW w:w="1493"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10680"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bottom"/>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应交国有资本收益申报情况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12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申报数</w:t>
            </w: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预算单位审核数</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财政局复核数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实际转让收入</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209" w:type="dxa"/>
            <w:gridSpan w:val="3"/>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减：转让费用</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2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20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转让净收入</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366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10680" w:type="dxa"/>
            <w:gridSpan w:val="11"/>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pageBreakBefore w:val="0"/>
              <w:widowControl w:val="0"/>
              <w:suppressLineNumbers w:val="0"/>
              <w:kinsoku/>
              <w:wordWrap/>
              <w:overflowPunct/>
              <w:topLinePunct w:val="0"/>
              <w:autoSpaceDE/>
              <w:autoSpaceDN/>
              <w:bidi w:val="0"/>
              <w:adjustRightInd/>
              <w:snapToGrid/>
              <w:jc w:val="center"/>
              <w:textAlignment w:val="bottom"/>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附送资料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106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1.自治州人民政府或相关部门审批文件；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2.资产评估报告；</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3.交易结算单据复印件；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4.转让费用清单及发票复印件；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5.产权转让合同复印件；</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 xml:space="preserve">   6.其他印证资料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2732"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声</w:t>
            </w:r>
          </w:p>
        </w:tc>
        <w:tc>
          <w:tcPr>
            <w:tcW w:w="7948" w:type="dxa"/>
            <w:gridSpan w:val="10"/>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left"/>
              <w:rPr>
                <w:rFonts w:hint="eastAsia" w:ascii="仿宋_GB2312" w:hAnsi="宋体" w:eastAsia="仿宋_GB2312" w:cs="仿宋_GB2312"/>
                <w:i w:val="0"/>
                <w:color w:val="000000"/>
                <w:sz w:val="21"/>
                <w:szCs w:val="21"/>
                <w:u w:val="none"/>
              </w:rPr>
            </w:pPr>
            <w:r>
              <w:rPr>
                <w:rFonts w:hint="eastAsia" w:ascii="仿宋_GB2312" w:hAnsi="宋体" w:eastAsia="仿宋_GB2312" w:cs="仿宋_GB2312"/>
                <w:i w:val="0"/>
                <w:color w:val="000000"/>
                <w:kern w:val="0"/>
                <w:sz w:val="21"/>
                <w:szCs w:val="21"/>
                <w:u w:val="none"/>
                <w:lang w:val="en-US" w:eastAsia="zh-CN" w:bidi="ar"/>
              </w:rPr>
              <w:t xml:space="preserve">   该企业按照规定程序进行交易，申报材料真实、合法，国有股东权益没有受到损害。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2732"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b/>
                <w:i w:val="0"/>
                <w:color w:val="000000"/>
                <w:sz w:val="20"/>
                <w:szCs w:val="20"/>
                <w:u w:val="none"/>
              </w:rPr>
            </w:pPr>
          </w:p>
        </w:tc>
        <w:tc>
          <w:tcPr>
            <w:tcW w:w="7948" w:type="dxa"/>
            <w:gridSpan w:val="10"/>
            <w:vMerge w:val="continue"/>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left"/>
              <w:rPr>
                <w:rFonts w:hint="eastAsia" w:ascii="仿宋_GB2312" w:hAnsi="宋体" w:eastAsia="仿宋_GB2312" w:cs="仿宋_GB2312"/>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2732" w:type="dxa"/>
            <w:tcBorders>
              <w:top w:val="nil"/>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0"/>
                <w:szCs w:val="20"/>
                <w:u w:val="none"/>
              </w:rPr>
            </w:pPr>
          </w:p>
        </w:tc>
        <w:tc>
          <w:tcPr>
            <w:tcW w:w="403" w:type="dxa"/>
            <w:tcBorders>
              <w:top w:val="nil"/>
              <w:left w:val="single" w:color="000000" w:sz="4" w:space="0"/>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403"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2993" w:type="dxa"/>
            <w:gridSpan w:val="4"/>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法人代表（签章）：</w:t>
            </w:r>
          </w:p>
        </w:tc>
        <w:tc>
          <w:tcPr>
            <w:tcW w:w="2656"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（公章）</w:t>
            </w:r>
          </w:p>
        </w:tc>
        <w:tc>
          <w:tcPr>
            <w:tcW w:w="1013"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480" w:type="dxa"/>
            <w:gridSpan w:val="2"/>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9" w:hRule="atLeast"/>
          <w:jc w:val="center"/>
        </w:trPr>
        <w:tc>
          <w:tcPr>
            <w:tcW w:w="273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r>
              <w:rPr>
                <w:rFonts w:hint="eastAsia" w:ascii="宋体" w:hAnsi="宋体" w:eastAsia="宋体" w:cs="宋体"/>
                <w:b/>
                <w:i w:val="0"/>
                <w:color w:val="000000"/>
                <w:kern w:val="0"/>
                <w:sz w:val="20"/>
                <w:szCs w:val="20"/>
                <w:u w:val="none"/>
                <w:lang w:val="en-US" w:eastAsia="zh-CN" w:bidi="ar"/>
              </w:rPr>
              <w:t>明</w:t>
            </w:r>
          </w:p>
        </w:tc>
        <w:tc>
          <w:tcPr>
            <w:tcW w:w="403"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403"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403"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1014"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563"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1013"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0"/>
                <w:szCs w:val="20"/>
                <w:u w:val="none"/>
              </w:rPr>
            </w:pPr>
          </w:p>
        </w:tc>
        <w:tc>
          <w:tcPr>
            <w:tcW w:w="4149"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20</w:t>
            </w:r>
            <w:r>
              <w:rPr>
                <w:rFonts w:hint="eastAsia" w:ascii="宋体" w:hAnsi="宋体" w:eastAsia="宋体" w:cs="宋体"/>
                <w:i w:val="0"/>
                <w:color w:val="000000"/>
                <w:kern w:val="0"/>
                <w:sz w:val="20"/>
                <w:szCs w:val="20"/>
                <w:u w:val="none"/>
                <w:lang w:val="en-US" w:eastAsia="zh-CN" w:bidi="ar"/>
              </w:rPr>
              <w:t xml:space="preserve">  年  月  日</w:t>
            </w:r>
          </w:p>
        </w:tc>
      </w:tr>
    </w:tbl>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tbl>
      <w:tblPr>
        <w:tblStyle w:val="4"/>
        <w:tblpPr w:leftFromText="181" w:rightFromText="181" w:tblpXSpec="center" w:tblpYSpec="center"/>
        <w:tblOverlap w:val="never"/>
        <w:tblW w:w="11262" w:type="dxa"/>
        <w:jc w:val="center"/>
        <w:tblInd w:w="-119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67"/>
        <w:gridCol w:w="464"/>
        <w:gridCol w:w="471"/>
        <w:gridCol w:w="464"/>
        <w:gridCol w:w="771"/>
        <w:gridCol w:w="407"/>
        <w:gridCol w:w="266"/>
        <w:gridCol w:w="929"/>
        <w:gridCol w:w="738"/>
        <w:gridCol w:w="449"/>
        <w:gridCol w:w="491"/>
        <w:gridCol w:w="490"/>
        <w:gridCol w:w="492"/>
        <w:gridCol w:w="488"/>
        <w:gridCol w:w="830"/>
        <w:gridCol w:w="491"/>
        <w:gridCol w:w="665"/>
        <w:gridCol w:w="593"/>
        <w:gridCol w:w="768"/>
        <w:gridCol w:w="5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cantSplit/>
          <w:trHeight w:val="495" w:hRule="atLeast"/>
          <w:jc w:val="center"/>
        </w:trPr>
        <w:tc>
          <w:tcPr>
            <w:tcW w:w="1866" w:type="dxa"/>
            <w:gridSpan w:val="4"/>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附件4：</w:t>
            </w:r>
          </w:p>
        </w:tc>
        <w:tc>
          <w:tcPr>
            <w:tcW w:w="77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07"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266"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92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3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4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0"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2"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8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830"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665"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593"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6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52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953" w:hRule="atLeast"/>
          <w:jc w:val="center"/>
        </w:trPr>
        <w:tc>
          <w:tcPr>
            <w:tcW w:w="11262" w:type="dxa"/>
            <w:gridSpan w:val="20"/>
            <w:tcBorders>
              <w:top w:val="nil"/>
              <w:left w:val="nil"/>
              <w:bottom w:val="nil"/>
              <w:right w:val="nil"/>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国有企业国有资本收益（企业清算收入）申报表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495" w:hRule="atLeast"/>
          <w:jc w:val="center"/>
        </w:trPr>
        <w:tc>
          <w:tcPr>
            <w:tcW w:w="467"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64"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7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64"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7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07"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266"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92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3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4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5836" w:type="dxa"/>
            <w:gridSpan w:val="10"/>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 xml:space="preserve">                       填报日期：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1262" w:type="dxa"/>
            <w:gridSpan w:val="2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申报单位基本情况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清算人（管理人）名称</w:t>
            </w:r>
          </w:p>
        </w:tc>
        <w:tc>
          <w:tcPr>
            <w:tcW w:w="3148"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成立时间</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开户银行</w:t>
            </w:r>
          </w:p>
        </w:tc>
        <w:tc>
          <w:tcPr>
            <w:tcW w:w="3148"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银行账号</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财务负责人</w:t>
            </w:r>
          </w:p>
        </w:tc>
        <w:tc>
          <w:tcPr>
            <w:tcW w:w="3148"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986"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w:t>
            </w:r>
          </w:p>
        </w:tc>
        <w:tc>
          <w:tcPr>
            <w:tcW w:w="188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1262" w:type="dxa"/>
            <w:gridSpan w:val="2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企业清算基本情况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企业名称</w:t>
            </w:r>
          </w:p>
        </w:tc>
        <w:tc>
          <w:tcPr>
            <w:tcW w:w="216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81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注册地址</w:t>
            </w:r>
          </w:p>
        </w:tc>
        <w:tc>
          <w:tcPr>
            <w:tcW w:w="304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所处行业</w:t>
            </w:r>
          </w:p>
        </w:tc>
        <w:tc>
          <w:tcPr>
            <w:tcW w:w="216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81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组织形式</w:t>
            </w:r>
          </w:p>
        </w:tc>
        <w:tc>
          <w:tcPr>
            <w:tcW w:w="3045" w:type="dxa"/>
            <w:gridSpan w:val="5"/>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978"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注册资本</w:t>
            </w:r>
          </w:p>
        </w:tc>
        <w:tc>
          <w:tcPr>
            <w:tcW w:w="216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8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其中：国有股权（股份）</w:t>
            </w:r>
          </w:p>
        </w:tc>
        <w:tc>
          <w:tcPr>
            <w:tcW w:w="304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原法定代表人</w:t>
            </w:r>
          </w:p>
        </w:tc>
        <w:tc>
          <w:tcPr>
            <w:tcW w:w="216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81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原财务负责人</w:t>
            </w:r>
          </w:p>
        </w:tc>
        <w:tc>
          <w:tcPr>
            <w:tcW w:w="304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账面资产总额</w:t>
            </w:r>
          </w:p>
        </w:tc>
        <w:tc>
          <w:tcPr>
            <w:tcW w:w="216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81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其中：固定资产</w:t>
            </w:r>
          </w:p>
        </w:tc>
        <w:tc>
          <w:tcPr>
            <w:tcW w:w="304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账面负债总额</w:t>
            </w:r>
          </w:p>
        </w:tc>
        <w:tc>
          <w:tcPr>
            <w:tcW w:w="216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81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账面净资产</w:t>
            </w:r>
          </w:p>
        </w:tc>
        <w:tc>
          <w:tcPr>
            <w:tcW w:w="304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审计机构</w:t>
            </w:r>
          </w:p>
        </w:tc>
        <w:tc>
          <w:tcPr>
            <w:tcW w:w="216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81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法人代表</w:t>
            </w:r>
          </w:p>
        </w:tc>
        <w:tc>
          <w:tcPr>
            <w:tcW w:w="304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资产评估机构</w:t>
            </w:r>
          </w:p>
        </w:tc>
        <w:tc>
          <w:tcPr>
            <w:tcW w:w="216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81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法人代表</w:t>
            </w:r>
          </w:p>
        </w:tc>
        <w:tc>
          <w:tcPr>
            <w:tcW w:w="3045"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4239" w:type="dxa"/>
            <w:gridSpan w:val="8"/>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清算终结日（或法院裁定清算程序终结日</w:t>
            </w:r>
          </w:p>
        </w:tc>
        <w:tc>
          <w:tcPr>
            <w:tcW w:w="7023" w:type="dxa"/>
            <w:gridSpan w:val="1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5426"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应交企业破产清算收入申报情况</w:t>
            </w:r>
          </w:p>
        </w:tc>
        <w:tc>
          <w:tcPr>
            <w:tcW w:w="5836" w:type="dxa"/>
            <w:gridSpan w:val="1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应交企业解散清算收入申报情况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978"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1178"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申报数</w:t>
            </w: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预算单位审核数</w:t>
            </w:r>
          </w:p>
        </w:tc>
        <w:tc>
          <w:tcPr>
            <w:tcW w:w="1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财政局复核数</w:t>
            </w:r>
          </w:p>
        </w:tc>
        <w:tc>
          <w:tcPr>
            <w:tcW w:w="19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 目</w:t>
            </w:r>
          </w:p>
        </w:tc>
        <w:tc>
          <w:tcPr>
            <w:tcW w:w="1321"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申报数</w:t>
            </w: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预算单位审核数</w:t>
            </w:r>
          </w:p>
        </w:tc>
        <w:tc>
          <w:tcPr>
            <w:tcW w:w="1296"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财政局复核数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978"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清算财产变价总收入</w:t>
            </w:r>
          </w:p>
        </w:tc>
        <w:tc>
          <w:tcPr>
            <w:tcW w:w="1178" w:type="dxa"/>
            <w:gridSpan w:val="2"/>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清算财产变价总收入</w:t>
            </w:r>
          </w:p>
        </w:tc>
        <w:tc>
          <w:tcPr>
            <w:tcW w:w="1321" w:type="dxa"/>
            <w:gridSpan w:val="2"/>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866" w:type="dxa"/>
            <w:gridSpan w:val="4"/>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减：清算费用</w:t>
            </w:r>
          </w:p>
        </w:tc>
        <w:tc>
          <w:tcPr>
            <w:tcW w:w="1178"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减：清算费用</w:t>
            </w:r>
          </w:p>
        </w:tc>
        <w:tc>
          <w:tcPr>
            <w:tcW w:w="13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减：共益债务</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left"/>
              <w:rPr>
                <w:rFonts w:hint="eastAsia" w:ascii="宋体" w:hAnsi="宋体" w:eastAsia="宋体" w:cs="宋体"/>
                <w:i w:val="0"/>
                <w:color w:val="000000"/>
                <w:sz w:val="20"/>
                <w:szCs w:val="20"/>
                <w:u w:val="none"/>
              </w:rPr>
            </w:pPr>
          </w:p>
        </w:tc>
        <w:tc>
          <w:tcPr>
            <w:tcW w:w="13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剩余清算收入</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减：职工工资、社会保险费用和法定补偿金</w:t>
            </w:r>
          </w:p>
        </w:tc>
        <w:tc>
          <w:tcPr>
            <w:tcW w:w="13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5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978"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减：拖欠职工的劳动债权</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3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5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减：缴纳欠交税款</w:t>
            </w:r>
          </w:p>
        </w:tc>
        <w:tc>
          <w:tcPr>
            <w:tcW w:w="1178"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减：缴纳欠交税款</w:t>
            </w:r>
          </w:p>
        </w:tc>
        <w:tc>
          <w:tcPr>
            <w:tcW w:w="1321"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258"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减：清偿普通债务</w:t>
            </w:r>
          </w:p>
        </w:tc>
        <w:tc>
          <w:tcPr>
            <w:tcW w:w="1178" w:type="dxa"/>
            <w:gridSpan w:val="2"/>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减：清偿普通债务</w:t>
            </w:r>
          </w:p>
        </w:tc>
        <w:tc>
          <w:tcPr>
            <w:tcW w:w="1321" w:type="dxa"/>
            <w:gridSpan w:val="2"/>
            <w:tcBorders>
              <w:top w:val="single" w:color="000000" w:sz="4" w:space="0"/>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866" w:type="dxa"/>
            <w:gridSpan w:val="4"/>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清算净收入</w:t>
            </w:r>
          </w:p>
        </w:tc>
        <w:tc>
          <w:tcPr>
            <w:tcW w:w="1178"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清算净收入</w:t>
            </w:r>
          </w:p>
        </w:tc>
        <w:tc>
          <w:tcPr>
            <w:tcW w:w="1321"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258"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978"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国有股权（股份）所占比例</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国有股权（股份）所占比例</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86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应交企业清算收入</w:t>
            </w:r>
          </w:p>
        </w:tc>
        <w:tc>
          <w:tcPr>
            <w:tcW w:w="117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19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18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961"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应交企业清算收入</w:t>
            </w:r>
          </w:p>
        </w:tc>
        <w:tc>
          <w:tcPr>
            <w:tcW w:w="132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c>
          <w:tcPr>
            <w:tcW w:w="125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0"/>
                <w:szCs w:val="20"/>
                <w:u w:val="none"/>
              </w:rPr>
            </w:pPr>
          </w:p>
        </w:tc>
        <w:tc>
          <w:tcPr>
            <w:tcW w:w="1296"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11262" w:type="dxa"/>
            <w:gridSpan w:val="20"/>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附列资料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271" w:hRule="atLeast"/>
          <w:jc w:val="center"/>
        </w:trPr>
        <w:tc>
          <w:tcPr>
            <w:tcW w:w="542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1.人民法院关于受理、宣告破产的裁定文书；</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2.管理人组织成立的文件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3.经人民法院裁定认可的破产财产分配方案；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4.企业破产清算审计报告；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5.管理人向人民法院提交的破产财产分配报告；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6.其他印证资料</w:t>
            </w:r>
          </w:p>
        </w:tc>
        <w:tc>
          <w:tcPr>
            <w:tcW w:w="58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1.公司决定解散的股东（大）会决议或有关部门要求关闭解散的文件；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2.清算组成立的文件；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3.报股东会或者人民法院确认的清算方案；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4.企业清算审计报告；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5.报股东会或者人民法院确认的清算报告；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  6.其他印证资料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9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声</w:t>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br w:type="textWrapping"/>
            </w:r>
            <w:r>
              <w:rPr>
                <w:rFonts w:hint="eastAsia" w:ascii="宋体" w:hAnsi="宋体" w:eastAsia="宋体" w:cs="宋体"/>
                <w:b/>
                <w:i w:val="0"/>
                <w:color w:val="000000"/>
                <w:kern w:val="0"/>
                <w:sz w:val="21"/>
                <w:szCs w:val="21"/>
                <w:u w:val="none"/>
                <w:lang w:val="en-US" w:eastAsia="zh-CN" w:bidi="ar"/>
              </w:rPr>
              <w:t>明</w:t>
            </w:r>
          </w:p>
        </w:tc>
        <w:tc>
          <w:tcPr>
            <w:tcW w:w="10331" w:type="dxa"/>
            <w:gridSpan w:val="18"/>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仿宋_GB2312" w:hAnsi="宋体" w:eastAsia="仿宋_GB2312" w:cs="仿宋_GB2312"/>
                <w:i w:val="0"/>
                <w:color w:val="000000"/>
                <w:sz w:val="22"/>
                <w:szCs w:val="22"/>
                <w:u w:val="none"/>
              </w:rPr>
            </w:pPr>
            <w:r>
              <w:rPr>
                <w:rFonts w:hint="eastAsia" w:ascii="仿宋_GB2312" w:hAnsi="宋体" w:eastAsia="仿宋_GB2312" w:cs="仿宋_GB2312"/>
                <w:i w:val="0"/>
                <w:color w:val="000000"/>
                <w:kern w:val="0"/>
                <w:sz w:val="22"/>
                <w:szCs w:val="22"/>
                <w:u w:val="none"/>
                <w:lang w:val="en-US" w:eastAsia="zh-CN" w:bidi="ar"/>
              </w:rPr>
              <w:t xml:space="preserve">      该企业按照国家规定实施清算，申报资料真实、合法，股东合法权益没有受到损害。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20" w:hRule="atLeast"/>
          <w:jc w:val="center"/>
        </w:trPr>
        <w:tc>
          <w:tcPr>
            <w:tcW w:w="9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b/>
                <w:i w:val="0"/>
                <w:color w:val="000000"/>
                <w:sz w:val="21"/>
                <w:szCs w:val="21"/>
                <w:u w:val="none"/>
              </w:rPr>
            </w:pPr>
          </w:p>
        </w:tc>
        <w:tc>
          <w:tcPr>
            <w:tcW w:w="471" w:type="dxa"/>
            <w:tcBorders>
              <w:top w:val="nil"/>
              <w:left w:val="single" w:color="000000" w:sz="4" w:space="0"/>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64"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7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07"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266"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92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3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4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0"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2"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8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830"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665"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593"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6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528" w:type="dxa"/>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618" w:hRule="atLeast"/>
          <w:jc w:val="center"/>
        </w:trPr>
        <w:tc>
          <w:tcPr>
            <w:tcW w:w="9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b/>
                <w:i w:val="0"/>
                <w:color w:val="000000"/>
                <w:sz w:val="21"/>
                <w:szCs w:val="21"/>
                <w:u w:val="none"/>
              </w:rPr>
            </w:pPr>
          </w:p>
        </w:tc>
        <w:tc>
          <w:tcPr>
            <w:tcW w:w="471" w:type="dxa"/>
            <w:tcBorders>
              <w:top w:val="nil"/>
              <w:left w:val="single" w:color="000000" w:sz="4" w:space="0"/>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64"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7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07"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266"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92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38"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49"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1" w:type="dxa"/>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2791" w:type="dxa"/>
            <w:gridSpan w:val="5"/>
            <w:tcBorders>
              <w:top w:val="nil"/>
              <w:left w:val="nil"/>
              <w:bottom w:val="nil"/>
              <w:right w:val="nil"/>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清算人或管理人代表（签章）：</w:t>
            </w:r>
          </w:p>
        </w:tc>
        <w:tc>
          <w:tcPr>
            <w:tcW w:w="2554" w:type="dxa"/>
            <w:gridSpan w:val="4"/>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（代公章）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545" w:hRule="atLeast"/>
          <w:jc w:val="center"/>
        </w:trPr>
        <w:tc>
          <w:tcPr>
            <w:tcW w:w="9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b/>
                <w:i w:val="0"/>
                <w:color w:val="000000"/>
                <w:sz w:val="21"/>
                <w:szCs w:val="21"/>
                <w:u w:val="none"/>
              </w:rPr>
            </w:pPr>
          </w:p>
        </w:tc>
        <w:tc>
          <w:tcPr>
            <w:tcW w:w="471" w:type="dxa"/>
            <w:tcBorders>
              <w:top w:val="nil"/>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64"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71"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07"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266"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929"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738"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49"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1"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0"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2"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88"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830"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491" w:type="dxa"/>
            <w:tcBorders>
              <w:top w:val="nil"/>
              <w:left w:val="nil"/>
              <w:bottom w:val="single" w:color="000000" w:sz="4" w:space="0"/>
              <w:right w:val="nil"/>
            </w:tcBorders>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rPr>
                <w:rFonts w:hint="eastAsia" w:ascii="宋体" w:hAnsi="宋体" w:eastAsia="宋体" w:cs="宋体"/>
                <w:i w:val="0"/>
                <w:color w:val="000000"/>
                <w:sz w:val="21"/>
                <w:szCs w:val="21"/>
                <w:u w:val="none"/>
              </w:rPr>
            </w:pPr>
          </w:p>
        </w:tc>
        <w:tc>
          <w:tcPr>
            <w:tcW w:w="2554"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val="0"/>
              <w:suppressLineNumbers w:val="0"/>
              <w:kinsoku/>
              <w:wordWrap/>
              <w:overflowPunct/>
              <w:topLinePunct w:val="0"/>
              <w:autoSpaceDE/>
              <w:autoSpaceDN/>
              <w:bidi w:val="0"/>
              <w:adjustRightInd/>
              <w:snapToGrid/>
              <w:jc w:val="left"/>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 xml:space="preserve"> 20</w:t>
            </w:r>
            <w:r>
              <w:rPr>
                <w:rFonts w:hint="eastAsia" w:ascii="宋体" w:hAnsi="宋体" w:eastAsia="宋体" w:cs="宋体"/>
                <w:i w:val="0"/>
                <w:color w:val="000000"/>
                <w:kern w:val="0"/>
                <w:sz w:val="21"/>
                <w:szCs w:val="21"/>
                <w:u w:val="none"/>
                <w:lang w:val="en-US" w:eastAsia="zh-CN" w:bidi="ar"/>
              </w:rPr>
              <w:t xml:space="preserve">  年      月     日</w:t>
            </w:r>
          </w:p>
        </w:tc>
      </w:tr>
    </w:tbl>
    <w:p>
      <w:pPr>
        <w:keepNext w:val="0"/>
        <w:keepLines w:val="0"/>
        <w:pageBreakBefore w:val="0"/>
        <w:widowControl w:val="0"/>
        <w:kinsoku/>
        <w:wordWrap/>
        <w:overflowPunct/>
        <w:topLinePunct w:val="0"/>
        <w:autoSpaceDE/>
        <w:autoSpaceDN/>
        <w:bidi w:val="0"/>
        <w:adjustRightInd/>
        <w:snapToGrid/>
        <w:spacing w:line="578" w:lineRule="exact"/>
        <w:textAlignment w:val="auto"/>
        <w:rPr>
          <w:highlight w:val="none"/>
        </w:rPr>
      </w:pPr>
    </w:p>
    <w:p>
      <w:pPr>
        <w:pStyle w:val="2"/>
        <w:rPr>
          <w:rFonts w:hint="eastAsia" w:ascii="仿宋_GB2312" w:hAnsi="仿宋_GB2312" w:eastAsia="仿宋_GB2312"/>
          <w:sz w:val="32"/>
          <w:szCs w:val="32"/>
          <w:highlight w:val="none"/>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DB3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afterLines="0" w:afterAutospacing="0"/>
    </w:p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11"/>
    <w:basedOn w:val="5"/>
    <w:qFormat/>
    <w:uiPriority w:val="0"/>
    <w:rPr>
      <w:rFonts w:hint="eastAsia" w:ascii="宋体" w:hAnsi="宋体" w:eastAsia="宋体" w:cs="宋体"/>
      <w:b/>
      <w:color w:val="000000"/>
      <w:sz w:val="22"/>
      <w:szCs w:val="22"/>
      <w:u w:val="single"/>
    </w:rPr>
  </w:style>
  <w:style w:type="character" w:customStyle="1" w:styleId="7">
    <w:name w:val="font31"/>
    <w:basedOn w:val="5"/>
    <w:qFormat/>
    <w:uiPriority w:val="0"/>
    <w:rPr>
      <w:rFonts w:hint="eastAsia" w:ascii="宋体" w:hAnsi="宋体" w:eastAsia="宋体" w:cs="宋体"/>
      <w:b/>
      <w:color w:val="000000"/>
      <w:sz w:val="22"/>
      <w:szCs w:val="22"/>
      <w:u w:val="none"/>
    </w:rPr>
  </w:style>
  <w:style w:type="character" w:customStyle="1" w:styleId="8">
    <w:name w:val="font0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2025-12-02T05:24:43Z</dcterms:created>
  <dc:creator>Administrator</dc:creator>
  <cp:lastModifiedBy>Administrator</cp:lastModifiedBy>
  <dcterms:modified xsi:type="dcterms:W3CDTF">2025-12-02T05:26:36Z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