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 w:cs="宋体"/>
          <w:b/>
          <w:bCs/>
          <w:kern w:val="0"/>
          <w:sz w:val="44"/>
          <w:szCs w:val="44"/>
        </w:rPr>
      </w:pPr>
      <w:r>
        <w:rPr>
          <w:rFonts w:hint="eastAsia" w:ascii="黑体" w:hAnsi="黑体" w:eastAsia="黑体"/>
          <w:sz w:val="32"/>
          <w:szCs w:val="32"/>
        </w:rPr>
        <w:t>附件：</w:t>
      </w: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rPr>
          <w:rFonts w:ascii="黑体" w:hAnsi="黑体" w:eastAsia="黑体"/>
          <w:sz w:val="32"/>
          <w:szCs w:val="32"/>
        </w:rPr>
      </w:pPr>
    </w:p>
    <w:p>
      <w:pPr>
        <w:rPr>
          <w:rFonts w:ascii="宋体" w:hAnsi="宋体" w:cs="宋体"/>
          <w:b/>
          <w:bCs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方正小标宋_GBK" w:hAnsi="宋体" w:eastAsia="方正小标宋_GBK"/>
          <w:kern w:val="0"/>
          <w:sz w:val="44"/>
          <w:szCs w:val="44"/>
        </w:rPr>
      </w:pPr>
      <w:r>
        <w:rPr>
          <w:rFonts w:hint="eastAsia" w:ascii="方正小标宋_GBK" w:hAnsi="宋体" w:eastAsia="方正小标宋_GBK"/>
          <w:kern w:val="0"/>
          <w:sz w:val="44"/>
          <w:szCs w:val="44"/>
        </w:rPr>
        <w:t>克孜勒苏柯尔克孜自治州克孜勒苏日报社2</w:t>
      </w:r>
      <w:r>
        <w:rPr>
          <w:rFonts w:ascii="方正小标宋_GBK" w:hAnsi="宋体" w:eastAsia="方正小标宋_GBK"/>
          <w:kern w:val="0"/>
          <w:sz w:val="44"/>
          <w:szCs w:val="44"/>
        </w:rPr>
        <w:t>021</w:t>
      </w:r>
      <w:r>
        <w:rPr>
          <w:rFonts w:hint="eastAsia" w:ascii="方正小标宋_GBK" w:hAnsi="宋体" w:eastAsia="方正小标宋_GBK"/>
          <w:kern w:val="0"/>
          <w:sz w:val="44"/>
          <w:szCs w:val="44"/>
        </w:rPr>
        <w:t>年预算公开</w:t>
      </w: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before="100" w:beforeAutospacing="1" w:after="100" w:afterAutospacing="1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jc w:val="center"/>
        <w:outlineLvl w:val="1"/>
        <w:rPr>
          <w:rFonts w:hint="eastAsia" w:ascii="黑体" w:hAnsi="黑体" w:eastAsia="黑体"/>
          <w:kern w:val="0"/>
          <w:sz w:val="36"/>
          <w:szCs w:val="32"/>
        </w:rPr>
      </w:pPr>
    </w:p>
    <w:p>
      <w:pPr>
        <w:widowControl/>
        <w:spacing w:line="440" w:lineRule="exact"/>
        <w:jc w:val="center"/>
        <w:outlineLvl w:val="1"/>
        <w:rPr>
          <w:rFonts w:ascii="黑体" w:hAnsi="黑体" w:eastAsia="黑体"/>
          <w:kern w:val="0"/>
          <w:sz w:val="36"/>
          <w:szCs w:val="32"/>
        </w:rPr>
      </w:pPr>
      <w:r>
        <w:rPr>
          <w:rFonts w:hint="eastAsia" w:ascii="黑体" w:hAnsi="黑体" w:eastAsia="黑体"/>
          <w:kern w:val="0"/>
          <w:sz w:val="36"/>
          <w:szCs w:val="32"/>
        </w:rPr>
        <w:t>目 录</w:t>
      </w:r>
    </w:p>
    <w:p>
      <w:pPr>
        <w:widowControl/>
        <w:spacing w:line="440" w:lineRule="exact"/>
        <w:ind w:firstLine="883" w:firstLineChars="200"/>
        <w:outlineLvl w:val="1"/>
        <w:rPr>
          <w:rFonts w:ascii="宋体" w:hAnsi="宋体"/>
          <w:b/>
          <w:kern w:val="0"/>
          <w:sz w:val="44"/>
          <w:szCs w:val="44"/>
        </w:rPr>
      </w:pP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第一部分  克孜勒苏日报社概况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一、主要职能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二、机构设置及人员情况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第二部分  </w:t>
      </w:r>
      <w:r>
        <w:rPr>
          <w:rFonts w:ascii="仿宋_GB2312" w:hAnsi="宋体" w:eastAsia="仿宋_GB2312"/>
          <w:b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年克孜勒苏日报社预算公开表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一、部门（单位）收支总体情况表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二、部门（单位）收入总体情况表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三、部门（单位）支出总体情况表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四、财政拨款收支总体情况表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五、一般公共预算支出情况表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六、一般公共预算基本支出情况表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七、一般公共预算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项目支出情况表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八、一般公共预算“三公”经费支出情况表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九、政府性基金预算支出情况表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 xml:space="preserve">第三部分  </w:t>
      </w:r>
      <w:r>
        <w:rPr>
          <w:rFonts w:ascii="仿宋_GB2312" w:hAnsi="宋体" w:eastAsia="仿宋_GB2312"/>
          <w:b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/>
          <w:b/>
          <w:kern w:val="0"/>
          <w:sz w:val="32"/>
          <w:szCs w:val="32"/>
        </w:rPr>
        <w:t>年克孜勒苏日报社预算情况说明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一、关于克孜勒苏日报社2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二、关于克孜勒苏日报社2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年收入预算情况说明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三、关于克孜勒苏日报社2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年支出预算情况说明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bCs/>
          <w:kern w:val="0"/>
          <w:sz w:val="32"/>
          <w:szCs w:val="32"/>
        </w:rPr>
      </w:pPr>
      <w:r>
        <w:rPr>
          <w:rFonts w:hint="eastAsia" w:ascii="仿宋_GB2312" w:hAnsi="宋体" w:eastAsia="仿宋_GB2312"/>
          <w:bCs/>
          <w:kern w:val="0"/>
          <w:sz w:val="32"/>
          <w:szCs w:val="32"/>
        </w:rPr>
        <w:t>四、关于</w:t>
      </w:r>
      <w:r>
        <w:rPr>
          <w:rFonts w:hint="eastAsia" w:ascii="仿宋_GB2312" w:hAnsi="宋体" w:eastAsia="仿宋_GB2312"/>
          <w:kern w:val="0"/>
          <w:sz w:val="32"/>
          <w:szCs w:val="32"/>
        </w:rPr>
        <w:t>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bCs/>
          <w:kern w:val="0"/>
          <w:sz w:val="32"/>
          <w:szCs w:val="32"/>
        </w:rPr>
        <w:t>年财政拨款收支预算情况的总体说明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五、关于克孜勒苏日报社2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年一般公共预算当年拨款情况说明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六、关于克孜勒苏日报社2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年一般公共预算基本支出情况说明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七、关于克孜勒苏日报社2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年一般公共预算项目支出情况说明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八、关于克孜勒苏日报社2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年一般公共预算“三公”经费预算情况说明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九、关于克孜勒苏日报社2</w:t>
      </w:r>
      <w:r>
        <w:rPr>
          <w:rFonts w:ascii="仿宋_GB2312" w:hAnsi="宋体" w:eastAsia="仿宋_GB2312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/>
          <w:kern w:val="0"/>
          <w:sz w:val="32"/>
          <w:szCs w:val="32"/>
        </w:rPr>
        <w:t>年政府性基金预算拨款情况说明</w:t>
      </w:r>
    </w:p>
    <w:p>
      <w:pPr>
        <w:widowControl/>
        <w:spacing w:line="440" w:lineRule="exact"/>
        <w:ind w:firstLine="640" w:firstLineChars="200"/>
        <w:outlineLvl w:val="1"/>
        <w:rPr>
          <w:rFonts w:ascii="仿宋_GB2312" w:hAnsi="宋体" w:eastAsia="仿宋_GB2312"/>
          <w:kern w:val="0"/>
          <w:sz w:val="32"/>
          <w:szCs w:val="32"/>
        </w:rPr>
      </w:pPr>
      <w:r>
        <w:rPr>
          <w:rFonts w:hint="eastAsia" w:ascii="仿宋_GB2312" w:hAnsi="宋体" w:eastAsia="仿宋_GB2312"/>
          <w:kern w:val="0"/>
          <w:sz w:val="32"/>
          <w:szCs w:val="32"/>
        </w:rPr>
        <w:t>十、其他重要事项的情况说明</w:t>
      </w:r>
    </w:p>
    <w:p>
      <w:pPr>
        <w:widowControl/>
        <w:spacing w:line="440" w:lineRule="exact"/>
        <w:ind w:firstLine="643" w:firstLineChars="200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第四部分  名词解释</w:t>
      </w:r>
    </w:p>
    <w:p>
      <w:pPr>
        <w:widowControl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第一部分   克孜勒苏日报社概况</w:t>
      </w:r>
    </w:p>
    <w:p>
      <w:pPr>
        <w:widowControl/>
        <w:jc w:val="center"/>
        <w:outlineLvl w:val="1"/>
        <w:rPr>
          <w:rFonts w:ascii="宋体" w:hAnsi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一、主要职能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 xml:space="preserve">   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 xml:space="preserve"> 报社是党的喉舌，主要宣传党的主张、弘扬社会正气、引导社会热点，做好时政新闻、做足民生新闻，做精行业新闻。汉、柯、维三种文版报纸紧紧围绕州党委中心工作展开，全力做好宣传报道工作，今年重点工作多，新闻宣传任务重，本着提早谋划、及时策划、强力执行、侧重效果，紧紧围绕州党委中心工作，集中做好新闻宣传报道工作。</w:t>
      </w:r>
      <w:r>
        <w:rPr>
          <w:rFonts w:hint="eastAsia" w:ascii="仿宋_GB2312" w:hAnsi="宋体" w:eastAsia="仿宋_GB2312" w:cs="宋体"/>
          <w:bCs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黑体" w:eastAsia="仿宋_GB2312" w:cs="宋体"/>
          <w:b/>
          <w:bCs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　  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二、机构设置及人员情况</w:t>
      </w:r>
    </w:p>
    <w:p>
      <w:pPr>
        <w:widowControl/>
        <w:spacing w:line="560" w:lineRule="exact"/>
        <w:ind w:firstLine="640"/>
        <w:jc w:val="left"/>
        <w:rPr>
          <w:rFonts w:ascii="仿宋_GB2312" w:hAnsi="黑体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克孜勒苏日报社单位无下属预算单位，下设11个科室，分别是：办公室、资料室、总编室、域控室、广告部、通联部、记者部、汉编部、柯编部、维编部、专刊部。</w:t>
      </w:r>
    </w:p>
    <w:p>
      <w:pPr>
        <w:widowControl/>
        <w:spacing w:line="560" w:lineRule="exact"/>
        <w:ind w:firstLine="64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克孜勒苏日报社单位编制数82，实有人数</w:t>
      </w:r>
      <w:r>
        <w:rPr>
          <w:rFonts w:ascii="仿宋_GB2312" w:hAnsi="黑体" w:eastAsia="仿宋_GB2312" w:cs="宋体"/>
          <w:bCs/>
          <w:kern w:val="0"/>
          <w:sz w:val="32"/>
          <w:szCs w:val="32"/>
        </w:rPr>
        <w:t>9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7人，其中：在职67人，减少1人;退休30人，减少3人；离休0人，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黑体" w:eastAsia="仿宋_GB2312" w:cs="宋体"/>
          <w:bCs/>
          <w:kern w:val="0"/>
          <w:sz w:val="32"/>
          <w:szCs w:val="32"/>
        </w:rPr>
        <w:t>0人。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</w:t>
      </w:r>
      <w:r>
        <w:rPr>
          <w:rFonts w:hint="eastAsia" w:ascii="仿宋_GB2312" w:hAnsi="宋体" w:eastAsia="仿宋_GB2312" w:cs="宋体"/>
          <w:b/>
          <w:kern w:val="0"/>
          <w:sz w:val="32"/>
          <w:szCs w:val="32"/>
        </w:rPr>
        <w:t xml:space="preserve"> </w:t>
      </w: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spacing w:line="560" w:lineRule="exact"/>
        <w:jc w:val="left"/>
        <w:rPr>
          <w:rFonts w:ascii="仿宋_GB2312" w:hAnsi="宋体" w:eastAsia="仿宋_GB2312" w:cs="宋体"/>
          <w:b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bCs/>
          <w:kern w:val="0"/>
          <w:sz w:val="32"/>
          <w:szCs w:val="32"/>
        </w:rPr>
      </w:pPr>
    </w:p>
    <w:p>
      <w:pPr>
        <w:widowControl/>
        <w:jc w:val="center"/>
        <w:outlineLvl w:val="1"/>
        <w:rPr>
          <w:rFonts w:ascii="黑体" w:hAnsi="黑体" w:eastAsia="黑体" w:cs="黑体"/>
          <w:bCs/>
          <w:kern w:val="0"/>
          <w:sz w:val="32"/>
          <w:szCs w:val="32"/>
        </w:rPr>
      </w:pPr>
      <w:r>
        <w:rPr>
          <w:rFonts w:hint="eastAsia" w:ascii="黑体" w:hAnsi="黑体" w:eastAsia="黑体" w:cs="黑体"/>
          <w:bCs/>
          <w:kern w:val="0"/>
          <w:sz w:val="32"/>
          <w:szCs w:val="32"/>
        </w:rPr>
        <w:t>第二部分  2021年克孜勒苏日报社预算公开表</w:t>
      </w: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表一：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部门（单位）收支总体情况表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编制部门（单位）：克孜勒苏日报社                   </w:t>
      </w:r>
      <w:r>
        <w:rPr>
          <w:rFonts w:ascii="仿宋_GB2312" w:hAnsi="宋体" w:eastAsia="仿宋_GB2312"/>
          <w:kern w:val="0"/>
          <w:sz w:val="24"/>
        </w:rPr>
        <w:t xml:space="preserve"> </w:t>
      </w:r>
      <w:r>
        <w:rPr>
          <w:rFonts w:hint="eastAsia" w:ascii="仿宋_GB2312" w:hAnsi="宋体" w:eastAsia="仿宋_GB2312"/>
          <w:kern w:val="0"/>
          <w:sz w:val="24"/>
        </w:rPr>
        <w:t xml:space="preserve">        单位：万元</w:t>
      </w:r>
    </w:p>
    <w:tbl>
      <w:tblPr>
        <w:tblStyle w:val="10"/>
        <w:tblW w:w="88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96"/>
        <w:gridCol w:w="1162"/>
        <w:gridCol w:w="2816"/>
        <w:gridCol w:w="91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515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收入</w:t>
            </w:r>
          </w:p>
        </w:tc>
        <w:tc>
          <w:tcPr>
            <w:tcW w:w="3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项                    目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功能分类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预算数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一、财政拨款（补助）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993.56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201 一般公共服务支出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 一般公共预算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993.56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202 外交支出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政府性基金预算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203 国防支出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ind w:firstLine="400" w:firstLineChars="200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       国有资本经营预算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204 公共安全支出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教育收费（财政专户）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205 教育支出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事业收入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206 科学技术支出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上级补助收入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207 文化体育与传媒支出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1,018.56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事业单位经营收入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208 社会保障和就业支出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单位其他资金收入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209 社会保险基金支出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上级专项收入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17.00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210 卫生健康支出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用事业基金弥补收支差额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211 节能环保支出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212 城乡社区支出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213 农林水支出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214 交通运输支出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215 资源勘探工业信息等支出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216 商业服务业等支出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217 金融支出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219 援助其他地区支出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220 自然资源海洋气象等支出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221 住房保障支出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222 粮油物资管理支出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223 国有资本经营预算支出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224 灾害防治及应急管理支出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227 预备费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229 其他支出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/>
                <w:sz w:val="20"/>
                <w:szCs w:val="20"/>
              </w:rPr>
            </w:pP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230 转移性支出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hint="eastAsia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/>
                <w:sz w:val="18"/>
                <w:szCs w:val="18"/>
              </w:rPr>
              <w:t>231 债务还本支出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232 债务付息支出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233 债务发行费支出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1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234 抗疫特别国债安排的支出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本  年  收  入  小  计</w:t>
            </w:r>
          </w:p>
        </w:tc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 xml:space="preserve">1,010.56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本  年  支  出  小  计</w:t>
            </w: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1,018.56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18"/>
                <w:szCs w:val="18"/>
              </w:rPr>
              <w:t>单位上年结余（不包含国库集中支付额度结余）</w:t>
            </w:r>
          </w:p>
        </w:tc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8.00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textAlignment w:val="center"/>
              <w:rPr>
                <w:rFonts w:ascii="仿宋_GB2312" w:hAnsi="宋体" w:eastAsia="仿宋_GB2312" w:cs="宋体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9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3996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20"/>
                <w:szCs w:val="20"/>
              </w:rPr>
              <w:t>收      入      总      计</w:t>
            </w:r>
          </w:p>
        </w:tc>
        <w:tc>
          <w:tcPr>
            <w:tcW w:w="116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1,018.56 </w:t>
            </w:r>
          </w:p>
        </w:tc>
        <w:tc>
          <w:tcPr>
            <w:tcW w:w="281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支   出  总   计</w:t>
            </w:r>
          </w:p>
        </w:tc>
        <w:tc>
          <w:tcPr>
            <w:tcW w:w="9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 xml:space="preserve">1,018.56 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表二：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部门（单位）收入总体情况表</w:t>
      </w: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编制部门（单位）：克孜勒苏日报社                   </w:t>
      </w:r>
      <w:r>
        <w:rPr>
          <w:rFonts w:ascii="仿宋_GB2312" w:hAnsi="宋体" w:eastAsia="仿宋_GB2312"/>
          <w:kern w:val="0"/>
          <w:sz w:val="24"/>
        </w:rPr>
        <w:t xml:space="preserve">        </w:t>
      </w:r>
      <w:r>
        <w:rPr>
          <w:rFonts w:hint="eastAsia" w:ascii="仿宋_GB2312" w:hAnsi="宋体" w:eastAsia="仿宋_GB2312"/>
          <w:kern w:val="0"/>
          <w:sz w:val="24"/>
        </w:rPr>
        <w:t xml:space="preserve">     单位：万元</w:t>
      </w:r>
    </w:p>
    <w:tbl>
      <w:tblPr>
        <w:tblStyle w:val="10"/>
        <w:tblW w:w="9221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4"/>
        <w:gridCol w:w="416"/>
        <w:gridCol w:w="416"/>
        <w:gridCol w:w="1200"/>
        <w:gridCol w:w="880"/>
        <w:gridCol w:w="817"/>
        <w:gridCol w:w="432"/>
        <w:gridCol w:w="618"/>
        <w:gridCol w:w="417"/>
        <w:gridCol w:w="417"/>
        <w:gridCol w:w="417"/>
        <w:gridCol w:w="417"/>
        <w:gridCol w:w="417"/>
        <w:gridCol w:w="808"/>
        <w:gridCol w:w="417"/>
        <w:gridCol w:w="618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49" w:hRule="atLeast"/>
        </w:trPr>
        <w:tc>
          <w:tcPr>
            <w:tcW w:w="134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功能分类科目编码</w:t>
            </w:r>
          </w:p>
        </w:tc>
        <w:tc>
          <w:tcPr>
            <w:tcW w:w="120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功能分类科目名称</w:t>
            </w:r>
          </w:p>
        </w:tc>
        <w:tc>
          <w:tcPr>
            <w:tcW w:w="88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总  计</w:t>
            </w:r>
          </w:p>
        </w:tc>
        <w:tc>
          <w:tcPr>
            <w:tcW w:w="8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一般公共预算拨款</w:t>
            </w:r>
          </w:p>
        </w:tc>
        <w:tc>
          <w:tcPr>
            <w:tcW w:w="432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政府性基金预算拨款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财政专户（教育收费）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国有资本</w:t>
            </w:r>
            <w:r>
              <w:rPr>
                <w:rFonts w:ascii="仿宋_GB2312" w:eastAsia="仿宋_GB2312"/>
                <w:b/>
                <w:color w:val="000000"/>
                <w:sz w:val="20"/>
                <w:szCs w:val="20"/>
              </w:rPr>
              <w:t>经营预算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事业收入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</w:tcPr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级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补助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收</w:t>
            </w:r>
          </w:p>
          <w:p>
            <w:pPr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入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事业单位经营收入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单位其他资金收入</w:t>
            </w:r>
          </w:p>
        </w:tc>
        <w:tc>
          <w:tcPr>
            <w:tcW w:w="80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上级专项收入</w:t>
            </w:r>
          </w:p>
        </w:tc>
        <w:tc>
          <w:tcPr>
            <w:tcW w:w="4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用事业基金弥补收支差额</w:t>
            </w:r>
          </w:p>
        </w:tc>
        <w:tc>
          <w:tcPr>
            <w:tcW w:w="61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eastAsia="仿宋_GB2312"/>
                <w:b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color w:val="000000"/>
                <w:sz w:val="20"/>
                <w:szCs w:val="20"/>
              </w:rPr>
              <w:t>单位上年结余（不包含国库集中支付额度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文化旅游体育与传媒支出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1,018.56 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993.56 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17.00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06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新闻出版电影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907.56 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907.56 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06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05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出版发行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907.56 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907.56 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99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其他文化旅游体育与传媒支出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111.00 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86.00 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17.00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207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99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99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    其他文化旅游体育与传媒支出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111.00 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86.00 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17.00 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8.00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2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51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12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b/>
                <w:bCs/>
                <w:color w:val="000000"/>
                <w:sz w:val="20"/>
                <w:szCs w:val="20"/>
              </w:rPr>
              <w:t>合  计</w:t>
            </w: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>018.56</w:t>
            </w:r>
          </w:p>
        </w:tc>
        <w:tc>
          <w:tcPr>
            <w:tcW w:w="8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993.56</w:t>
            </w:r>
          </w:p>
        </w:tc>
        <w:tc>
          <w:tcPr>
            <w:tcW w:w="4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nil"/>
            </w:tcBorders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hAnsi="宋体" w:eastAsia="仿宋_GB2312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　</w:t>
            </w:r>
          </w:p>
        </w:tc>
        <w:tc>
          <w:tcPr>
            <w:tcW w:w="80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>7.00</w:t>
            </w:r>
          </w:p>
        </w:tc>
        <w:tc>
          <w:tcPr>
            <w:tcW w:w="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right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</w:t>
            </w:r>
            <w:r>
              <w:rPr>
                <w:rFonts w:ascii="仿宋_GB2312" w:eastAsia="仿宋_GB2312"/>
                <w:color w:val="000000"/>
                <w:sz w:val="20"/>
                <w:szCs w:val="20"/>
              </w:rPr>
              <w:t>.00</w:t>
            </w:r>
          </w:p>
        </w:tc>
      </w:tr>
    </w:tbl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表三：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部门（单位）支出总体情况表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编制部门（单位）：克孜勒苏日报社                              单位：万元</w:t>
      </w:r>
    </w:p>
    <w:tbl>
      <w:tblPr>
        <w:tblStyle w:val="10"/>
        <w:tblW w:w="9238" w:type="dxa"/>
        <w:tblInd w:w="-24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9"/>
        <w:gridCol w:w="574"/>
        <w:gridCol w:w="718"/>
        <w:gridCol w:w="2442"/>
        <w:gridCol w:w="1146"/>
        <w:gridCol w:w="1819"/>
        <w:gridCol w:w="187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44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483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支出预算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4" w:hRule="atLeast"/>
        </w:trPr>
        <w:tc>
          <w:tcPr>
            <w:tcW w:w="19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442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146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19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87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类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款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  <w:t>项</w:t>
            </w:r>
          </w:p>
        </w:tc>
        <w:tc>
          <w:tcPr>
            <w:tcW w:w="2442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146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19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7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>文化旅游体育与传媒支出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1,018.56 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111.00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  新闻出版电影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06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05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    出版发行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  其他文化旅游体育与传媒支出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111.00 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111.00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    其他文化旅游体育与传媒支出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111.00 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/>
              </w:rPr>
              <w:t xml:space="preserve">111.00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4" w:hRule="atLeast"/>
        </w:trPr>
        <w:tc>
          <w:tcPr>
            <w:tcW w:w="66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244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1018.56</w:t>
            </w:r>
          </w:p>
        </w:tc>
        <w:tc>
          <w:tcPr>
            <w:tcW w:w="181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907.56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111.00</w:t>
            </w:r>
          </w:p>
        </w:tc>
      </w:tr>
    </w:tbl>
    <w:p>
      <w:pPr>
        <w:widowControl/>
        <w:spacing w:before="120" w:beforeLines="50" w:line="280" w:lineRule="exac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表四：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财政拨款收支预算总体情况表</w:t>
      </w:r>
    </w:p>
    <w:p>
      <w:pPr>
        <w:widowControl/>
        <w:spacing w:before="120" w:beforeLines="50" w:line="280" w:lineRule="exact"/>
        <w:outlineLvl w:val="1"/>
        <w:rPr>
          <w:rFonts w:ascii="仿宋_GB2312" w:hAnsi="宋体" w:eastAsia="仿宋_GB2312"/>
          <w:kern w:val="0"/>
          <w:szCs w:val="21"/>
        </w:rPr>
      </w:pPr>
      <w:r>
        <w:rPr>
          <w:rFonts w:hint="eastAsia" w:ascii="仿宋_GB2312" w:hAnsi="宋体" w:eastAsia="仿宋_GB2312"/>
          <w:kern w:val="0"/>
          <w:szCs w:val="21"/>
        </w:rPr>
        <w:t>编制部门（单位）：</w:t>
      </w:r>
      <w:r>
        <w:rPr>
          <w:rFonts w:hint="eastAsia" w:ascii="仿宋_GB2312" w:hAnsi="宋体" w:eastAsia="仿宋_GB2312"/>
          <w:kern w:val="0"/>
          <w:sz w:val="24"/>
        </w:rPr>
        <w:t>克孜勒苏日报社</w:t>
      </w:r>
      <w:r>
        <w:rPr>
          <w:rFonts w:hint="eastAsia" w:ascii="仿宋_GB2312" w:hAnsi="宋体" w:eastAsia="仿宋_GB2312"/>
          <w:kern w:val="0"/>
          <w:szCs w:val="21"/>
        </w:rPr>
        <w:t xml:space="preserve">                                       单位：万元</w:t>
      </w:r>
    </w:p>
    <w:tbl>
      <w:tblPr>
        <w:tblStyle w:val="10"/>
        <w:tblpPr w:leftFromText="180" w:rightFromText="180" w:vertAnchor="text" w:tblpY="1"/>
        <w:tblOverlap w:val="never"/>
        <w:tblW w:w="889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6"/>
        <w:gridCol w:w="949"/>
        <w:gridCol w:w="2556"/>
        <w:gridCol w:w="816"/>
        <w:gridCol w:w="816"/>
        <w:gridCol w:w="1013"/>
        <w:gridCol w:w="102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</w:trPr>
        <w:tc>
          <w:tcPr>
            <w:tcW w:w="266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财政拨款收入</w:t>
            </w:r>
          </w:p>
        </w:tc>
        <w:tc>
          <w:tcPr>
            <w:tcW w:w="5201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kern w:val="0"/>
                <w:sz w:val="24"/>
              </w:rPr>
              <w:t>财政拨款支出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项    目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 计</w:t>
            </w:r>
          </w:p>
        </w:tc>
        <w:tc>
          <w:tcPr>
            <w:tcW w:w="2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功  能  分  类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合 计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一般公共预算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政府性基金预算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kern w:val="0"/>
                <w:sz w:val="20"/>
                <w:szCs w:val="20"/>
              </w:rPr>
              <w:t>国有</w:t>
            </w:r>
            <w:r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  <w:t>资本经营预算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5"/>
                <w:szCs w:val="15"/>
              </w:rPr>
              <w:t>一、财政拨款（补助）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25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201 一般公共服务支出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一般公共预算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202 外交支出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18"/>
                <w:szCs w:val="18"/>
              </w:rPr>
              <w:t xml:space="preserve"> 政府性基金预算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203 国防支出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国有资本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经营预算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204 公共安全支出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205 教育支出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206 科学技术支出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207 文化旅游体育与传媒支出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208 社会保障和就业支出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209 社会保险基金支出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210 医疗卫生</w:t>
            </w:r>
            <w:r>
              <w:rPr>
                <w:rFonts w:ascii="仿宋_GB2312" w:hAnsi="宋体" w:eastAsia="仿宋_GB2312" w:cs="宋体"/>
                <w:kern w:val="0"/>
                <w:sz w:val="18"/>
                <w:szCs w:val="18"/>
              </w:rPr>
              <w:t>与计划生育支出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211 节能环保支出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212 城乡社区支出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213 农林水支出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214 交通运输支出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215 资源勘探工业信息等支出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216 商业服务业等支出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217 金融支出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219 援助其他地区支出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220 自然资源海洋气象等支出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221 住房保障支出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222 粮油物资储备支出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223 国有资本经营预算支出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224灾害防治及应急管理支出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5"/>
                <w:szCs w:val="15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227 预备费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229 其他支出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230转移性支出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231 债务还本支出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232 债务付息支出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2"/>
                <w:szCs w:val="22"/>
              </w:rPr>
              <w:t>　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233 债务发行费用支出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18"/>
                <w:szCs w:val="18"/>
              </w:rPr>
              <w:t>234 抗疫特别国债还本支出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bottom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71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收  入  总  计</w:t>
            </w:r>
          </w:p>
        </w:tc>
        <w:tc>
          <w:tcPr>
            <w:tcW w:w="94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仿宋_GB2312" w:hAnsi="宋体" w:eastAsia="仿宋_GB2312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25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left"/>
              <w:rPr>
                <w:rFonts w:ascii="仿宋_GB2312" w:hAnsi="宋体" w:eastAsia="仿宋_GB2312" w:cs="宋体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支  出  总  计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81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0"/>
                <w:szCs w:val="20"/>
              </w:rPr>
              <w:t>993.56</w:t>
            </w:r>
          </w:p>
        </w:tc>
        <w:tc>
          <w:tcPr>
            <w:tcW w:w="101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</w:rPr>
              <w:t>　</w:t>
            </w:r>
          </w:p>
        </w:tc>
        <w:tc>
          <w:tcPr>
            <w:tcW w:w="1024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right"/>
              <w:rPr>
                <w:rFonts w:ascii="宋体" w:hAnsi="宋体" w:cs="宋体"/>
                <w:kern w:val="0"/>
                <w:sz w:val="18"/>
                <w:szCs w:val="18"/>
              </w:rPr>
            </w:pP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表五：</w:t>
      </w:r>
    </w:p>
    <w:tbl>
      <w:tblPr>
        <w:tblStyle w:val="10"/>
        <w:tblW w:w="9201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91"/>
        <w:gridCol w:w="536"/>
        <w:gridCol w:w="2693"/>
        <w:gridCol w:w="1375"/>
        <w:gridCol w:w="1641"/>
        <w:gridCol w:w="198"/>
        <w:gridCol w:w="170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9201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2"/>
          <w:wAfter w:w="1898" w:type="dxa"/>
          <w:trHeight w:val="276" w:hRule="atLeast"/>
        </w:trPr>
        <w:tc>
          <w:tcPr>
            <w:tcW w:w="4287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left="240" w:hanging="240" w:hangingChars="100"/>
              <w:jc w:val="left"/>
              <w:rPr>
                <w:rFonts w:ascii="仿宋_GB2312" w:hAnsi="宋体" w:eastAsia="仿宋_GB2312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</w:t>
            </w:r>
            <w:r>
              <w:rPr>
                <w:rFonts w:hint="eastAsia" w:ascii="仿宋_GB2312" w:hAnsi="宋体" w:eastAsia="仿宋_GB2312"/>
                <w:kern w:val="0"/>
                <w:sz w:val="24"/>
              </w:rPr>
              <w:t>克孜勒苏日报社</w:t>
            </w:r>
          </w:p>
        </w:tc>
        <w:tc>
          <w:tcPr>
            <w:tcW w:w="301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righ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  <w:t xml:space="preserve">       </w:t>
            </w: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2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项   目</w:t>
            </w:r>
          </w:p>
        </w:tc>
        <w:tc>
          <w:tcPr>
            <w:tcW w:w="49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一般公共预算支出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59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功能分类科目编码</w:t>
            </w:r>
          </w:p>
        </w:tc>
        <w:tc>
          <w:tcPr>
            <w:tcW w:w="269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功能分类科目名称</w:t>
            </w:r>
          </w:p>
        </w:tc>
        <w:tc>
          <w:tcPr>
            <w:tcW w:w="137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839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基本支出</w:t>
            </w:r>
          </w:p>
        </w:tc>
        <w:tc>
          <w:tcPr>
            <w:tcW w:w="1700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项</w:t>
            </w:r>
          </w:p>
        </w:tc>
        <w:tc>
          <w:tcPr>
            <w:tcW w:w="269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文化旅游体育与传媒支出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993.56 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86.00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新闻出版电影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eastAsia="仿宋_GB2312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06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05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    出版发行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907.56 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    其他文化旅游体育与传媒支出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86.00 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86.00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    其他文化旅游体育与传媒支出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86.00 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</w:rPr>
              <w:t xml:space="preserve">86.00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56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53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993.56</w:t>
            </w:r>
          </w:p>
        </w:tc>
        <w:tc>
          <w:tcPr>
            <w:tcW w:w="183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907.56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86.00</w:t>
            </w: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表六：</w:t>
      </w:r>
    </w:p>
    <w:tbl>
      <w:tblPr>
        <w:tblStyle w:val="10"/>
        <w:tblW w:w="9328" w:type="dxa"/>
        <w:tblInd w:w="-14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7"/>
        <w:gridCol w:w="577"/>
        <w:gridCol w:w="2891"/>
        <w:gridCol w:w="995"/>
        <w:gridCol w:w="706"/>
        <w:gridCol w:w="976"/>
        <w:gridCol w:w="725"/>
        <w:gridCol w:w="1701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9328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一般公共预算基本支出情况表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2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编制部门（单位）：克孜勒苏日报社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8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    </w:t>
            </w:r>
          </w:p>
        </w:tc>
        <w:tc>
          <w:tcPr>
            <w:tcW w:w="242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720" w:firstLineChars="3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4225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项目</w:t>
            </w:r>
          </w:p>
        </w:tc>
        <w:tc>
          <w:tcPr>
            <w:tcW w:w="5103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一般公共预算基本支出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3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经济分类科目编码</w:t>
            </w:r>
          </w:p>
        </w:tc>
        <w:tc>
          <w:tcPr>
            <w:tcW w:w="289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经济分类科目名称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合  计</w:t>
            </w:r>
          </w:p>
        </w:tc>
        <w:tc>
          <w:tcPr>
            <w:tcW w:w="1701" w:type="dxa"/>
            <w:gridSpan w:val="2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人员经费</w:t>
            </w:r>
          </w:p>
        </w:tc>
        <w:tc>
          <w:tcPr>
            <w:tcW w:w="1701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Cs w:val="21"/>
              </w:rPr>
              <w:t>公用经费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类</w:t>
            </w: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  <w:t>款</w:t>
            </w:r>
          </w:p>
        </w:tc>
        <w:tc>
          <w:tcPr>
            <w:tcW w:w="289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701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42</w:t>
            </w:r>
          </w:p>
        </w:tc>
        <w:tc>
          <w:tcPr>
            <w:tcW w:w="28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办公用品及设备采购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机关事业单位基本养老保险缴费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86.84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86.84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差旅费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2.10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2.10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其他对个人和家庭的补助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18.16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18.16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基本工资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258.97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258.97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29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福利费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6.71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6.71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退休费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22.94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22.94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05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生活补助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6.32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03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奖金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21.58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21.58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住房公积金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62.50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07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邮电费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5.00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5.00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02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津贴补贴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334.47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334.47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301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其他社会保障缴费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47.38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47.38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26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劳务费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09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奖励金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1.70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31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公务用车运行维护费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其他商品和服务支出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08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取暖费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14.16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14.16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公务接待费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28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工会经费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3.73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3.73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302</w:t>
            </w:r>
          </w:p>
        </w:tc>
        <w:tc>
          <w:tcPr>
            <w:tcW w:w="577" w:type="dxa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办公费</w:t>
            </w:r>
          </w:p>
        </w:tc>
        <w:tc>
          <w:tcPr>
            <w:tcW w:w="1701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75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</w:p>
        </w:tc>
        <w:tc>
          <w:tcPr>
            <w:tcW w:w="289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合  计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907.56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860.87</w:t>
            </w:r>
          </w:p>
        </w:tc>
        <w:tc>
          <w:tcPr>
            <w:tcW w:w="170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eastAsia="仿宋_GB2312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/>
                <w:color w:val="000000"/>
                <w:sz w:val="20"/>
                <w:szCs w:val="20"/>
              </w:rPr>
              <w:t>46.69</w:t>
            </w:r>
          </w:p>
        </w:tc>
      </w:tr>
    </w:tbl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表七：</w:t>
      </w:r>
    </w:p>
    <w:tbl>
      <w:tblPr>
        <w:tblStyle w:val="10"/>
        <w:tblW w:w="911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"/>
        <w:gridCol w:w="600"/>
        <w:gridCol w:w="480"/>
        <w:gridCol w:w="535"/>
        <w:gridCol w:w="1204"/>
        <w:gridCol w:w="802"/>
        <w:gridCol w:w="631"/>
        <w:gridCol w:w="196"/>
        <w:gridCol w:w="178"/>
        <w:gridCol w:w="631"/>
        <w:gridCol w:w="375"/>
        <w:gridCol w:w="374"/>
        <w:gridCol w:w="266"/>
        <w:gridCol w:w="280"/>
        <w:gridCol w:w="461"/>
        <w:gridCol w:w="704"/>
        <w:gridCol w:w="462"/>
        <w:gridCol w:w="477"/>
        <w:gridCol w:w="397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3" w:type="dxa"/>
          <w:wAfter w:w="397" w:type="dxa"/>
          <w:trHeight w:val="297" w:hRule="atLeast"/>
        </w:trPr>
        <w:tc>
          <w:tcPr>
            <w:tcW w:w="8656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  <w:t>一般公共预算项目支出情况表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gridAfter w:val="1"/>
          <w:wBefore w:w="63" w:type="dxa"/>
          <w:wAfter w:w="397" w:type="dxa"/>
          <w:trHeight w:val="321" w:hRule="atLeast"/>
        </w:trPr>
        <w:tc>
          <w:tcPr>
            <w:tcW w:w="4448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编制部门（单位）：克孜勒苏日报社</w:t>
            </w:r>
          </w:p>
        </w:tc>
        <w:tc>
          <w:tcPr>
            <w:tcW w:w="8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015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jc w:val="left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 xml:space="preserve">      </w:t>
            </w:r>
          </w:p>
        </w:tc>
        <w:tc>
          <w:tcPr>
            <w:tcW w:w="238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widowControl/>
              <w:ind w:firstLine="960" w:firstLineChars="400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color w:val="000000"/>
                <w:kern w:val="0"/>
                <w:sz w:val="24"/>
              </w:rPr>
              <w:t>单位：万元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</w:trPr>
        <w:tc>
          <w:tcPr>
            <w:tcW w:w="1678" w:type="dxa"/>
            <w:gridSpan w:val="4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 目 编 码</w:t>
            </w:r>
          </w:p>
        </w:tc>
        <w:tc>
          <w:tcPr>
            <w:tcW w:w="120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科目</w:t>
            </w:r>
          </w:p>
        </w:tc>
        <w:tc>
          <w:tcPr>
            <w:tcW w:w="802" w:type="dxa"/>
            <w:vMerge w:val="restart"/>
            <w:vAlign w:val="center"/>
          </w:tcPr>
          <w:p>
            <w:pPr>
              <w:jc w:val="center"/>
              <w:rPr>
                <w:rFonts w:ascii="Calibri" w:hAnsi="Calibri"/>
                <w:sz w:val="24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24"/>
              </w:rPr>
              <w:t>项目名称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项目支出合计</w:t>
            </w:r>
          </w:p>
        </w:tc>
        <w:tc>
          <w:tcPr>
            <w:tcW w:w="374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工资福利支出</w:t>
            </w:r>
          </w:p>
        </w:tc>
        <w:tc>
          <w:tcPr>
            <w:tcW w:w="63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商品和服务支出</w:t>
            </w:r>
          </w:p>
        </w:tc>
        <w:tc>
          <w:tcPr>
            <w:tcW w:w="375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对个人和家庭的补助</w:t>
            </w:r>
          </w:p>
        </w:tc>
        <w:tc>
          <w:tcPr>
            <w:tcW w:w="37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债务利息及费用支出</w:t>
            </w:r>
          </w:p>
        </w:tc>
        <w:tc>
          <w:tcPr>
            <w:tcW w:w="546" w:type="dxa"/>
            <w:gridSpan w:val="2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资本性支出（基本建设）</w:t>
            </w:r>
          </w:p>
        </w:tc>
        <w:tc>
          <w:tcPr>
            <w:tcW w:w="461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资本性支出</w:t>
            </w:r>
          </w:p>
        </w:tc>
        <w:tc>
          <w:tcPr>
            <w:tcW w:w="704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对企业补助（基本建设）</w:t>
            </w:r>
          </w:p>
        </w:tc>
        <w:tc>
          <w:tcPr>
            <w:tcW w:w="462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对企业补助</w:t>
            </w:r>
          </w:p>
        </w:tc>
        <w:tc>
          <w:tcPr>
            <w:tcW w:w="47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对社会保障基金补助</w:t>
            </w:r>
          </w:p>
        </w:tc>
        <w:tc>
          <w:tcPr>
            <w:tcW w:w="397" w:type="dxa"/>
            <w:vMerge w:val="restart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其他支出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6" w:hRule="atLeast"/>
        </w:trPr>
        <w:tc>
          <w:tcPr>
            <w:tcW w:w="663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类</w:t>
            </w:r>
          </w:p>
        </w:tc>
        <w:tc>
          <w:tcPr>
            <w:tcW w:w="480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款</w:t>
            </w:r>
          </w:p>
        </w:tc>
        <w:tc>
          <w:tcPr>
            <w:tcW w:w="535" w:type="dxa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/>
                <w:b/>
                <w:kern w:val="0"/>
                <w:sz w:val="18"/>
                <w:szCs w:val="18"/>
              </w:rPr>
              <w:t>项</w:t>
            </w:r>
          </w:p>
        </w:tc>
        <w:tc>
          <w:tcPr>
            <w:tcW w:w="1204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80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4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63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5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7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546" w:type="dxa"/>
            <w:gridSpan w:val="2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1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704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62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47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  <w:tc>
          <w:tcPr>
            <w:tcW w:w="397" w:type="dxa"/>
            <w:vMerge w:val="continue"/>
            <w:tcBorders>
              <w:bottom w:val="single" w:color="auto" w:sz="4" w:space="0"/>
            </w:tcBorders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b/>
                <w:kern w:val="0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8" w:hRule="atLeast"/>
        </w:trPr>
        <w:tc>
          <w:tcPr>
            <w:tcW w:w="6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文化旅游体育与传媒支出</w:t>
            </w:r>
          </w:p>
        </w:tc>
        <w:tc>
          <w:tcPr>
            <w:tcW w:w="80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86.00</w:t>
            </w:r>
          </w:p>
        </w:tc>
        <w:tc>
          <w:tcPr>
            <w:tcW w:w="37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86.00</w:t>
            </w:r>
          </w:p>
        </w:tc>
        <w:tc>
          <w:tcPr>
            <w:tcW w:w="3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3" w:hRule="atLeast"/>
        </w:trPr>
        <w:tc>
          <w:tcPr>
            <w:tcW w:w="663" w:type="dxa"/>
            <w:gridSpan w:val="2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其他文化旅游体育与传媒支出</w:t>
            </w:r>
          </w:p>
        </w:tc>
        <w:tc>
          <w:tcPr>
            <w:tcW w:w="80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86.00</w:t>
            </w:r>
          </w:p>
        </w:tc>
        <w:tc>
          <w:tcPr>
            <w:tcW w:w="374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86.00</w:t>
            </w:r>
          </w:p>
        </w:tc>
        <w:tc>
          <w:tcPr>
            <w:tcW w:w="3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207</w:t>
            </w: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99</w:t>
            </w: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其他文化旅游体育与传媒支出</w:t>
            </w: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联建工作经费</w:t>
            </w: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7.00</w:t>
            </w: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/>
              </w:rPr>
              <w:t>7.00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4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7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63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663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80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3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12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802" w:type="dxa"/>
            <w:vAlign w:val="center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b/>
                <w:bCs/>
                <w:kern w:val="0"/>
                <w:szCs w:val="21"/>
              </w:rPr>
              <w:t>合 计</w:t>
            </w:r>
          </w:p>
        </w:tc>
        <w:tc>
          <w:tcPr>
            <w:tcW w:w="631" w:type="dxa"/>
            <w:vAlign w:val="center"/>
          </w:tcPr>
          <w:p>
            <w:pPr>
              <w:widowControl/>
              <w:jc w:val="center"/>
              <w:outlineLvl w:val="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86.00</w:t>
            </w:r>
          </w:p>
        </w:tc>
        <w:tc>
          <w:tcPr>
            <w:tcW w:w="374" w:type="dxa"/>
            <w:gridSpan w:val="2"/>
          </w:tcPr>
          <w:p>
            <w:pPr>
              <w:widowControl/>
              <w:jc w:val="center"/>
              <w:outlineLvl w:val="1"/>
              <w:rPr>
                <w:sz w:val="20"/>
                <w:szCs w:val="20"/>
              </w:rPr>
            </w:pPr>
          </w:p>
        </w:tc>
        <w:tc>
          <w:tcPr>
            <w:tcW w:w="631" w:type="dxa"/>
          </w:tcPr>
          <w:p>
            <w:pPr>
              <w:widowControl/>
              <w:outlineLvl w:val="1"/>
              <w:rPr>
                <w:sz w:val="20"/>
                <w:szCs w:val="20"/>
              </w:rPr>
            </w:pPr>
          </w:p>
          <w:p>
            <w:pPr>
              <w:widowControl/>
              <w:outlineLvl w:val="1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86.00</w:t>
            </w:r>
          </w:p>
        </w:tc>
        <w:tc>
          <w:tcPr>
            <w:tcW w:w="375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7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546" w:type="dxa"/>
            <w:gridSpan w:val="2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1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704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62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47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  <w:tc>
          <w:tcPr>
            <w:tcW w:w="397" w:type="dxa"/>
          </w:tcPr>
          <w:p>
            <w:pPr>
              <w:widowControl/>
              <w:jc w:val="center"/>
              <w:outlineLvl w:val="1"/>
              <w:rPr>
                <w:rFonts w:ascii="仿宋_GB2312" w:hAnsi="宋体" w:eastAsia="仿宋_GB2312"/>
                <w:kern w:val="0"/>
                <w:sz w:val="32"/>
                <w:szCs w:val="32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表八：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一般公共预算“三公”经费支出情况表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jc w:val="lef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>编制部门（单位）：克孜勒苏日报社                                单位：万元</w:t>
      </w:r>
    </w:p>
    <w:tbl>
      <w:tblPr>
        <w:tblStyle w:val="10"/>
        <w:tblW w:w="9240" w:type="dxa"/>
        <w:tblInd w:w="-17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75"/>
        <w:gridCol w:w="1417"/>
        <w:gridCol w:w="1559"/>
        <w:gridCol w:w="1418"/>
        <w:gridCol w:w="1559"/>
        <w:gridCol w:w="1712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5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因公出国（境）费</w:t>
            </w:r>
          </w:p>
        </w:tc>
        <w:tc>
          <w:tcPr>
            <w:tcW w:w="453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公务用车购置及运行费</w:t>
            </w:r>
          </w:p>
        </w:tc>
        <w:tc>
          <w:tcPr>
            <w:tcW w:w="171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  <w:t>公务接待费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0" w:hRule="atLeast"/>
        </w:trPr>
        <w:tc>
          <w:tcPr>
            <w:tcW w:w="15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合  计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公务用车购置费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2"/>
                <w:szCs w:val="22"/>
              </w:rPr>
              <w:t>公务用车运行费</w:t>
            </w:r>
          </w:p>
        </w:tc>
        <w:tc>
          <w:tcPr>
            <w:tcW w:w="171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</w:trPr>
        <w:tc>
          <w:tcPr>
            <w:tcW w:w="15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0.50</w:t>
            </w:r>
          </w:p>
        </w:tc>
        <w:tc>
          <w:tcPr>
            <w:tcW w:w="141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0.50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12.20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12.20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/>
                <w:sz w:val="18"/>
                <w:szCs w:val="18"/>
              </w:rPr>
              <w:t>12.20</w:t>
            </w: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3" w:hRule="atLeast"/>
        </w:trPr>
        <w:tc>
          <w:tcPr>
            <w:tcW w:w="15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171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kern w:val="0"/>
          <w:sz w:val="32"/>
          <w:szCs w:val="32"/>
        </w:rPr>
      </w:pPr>
    </w:p>
    <w:p>
      <w:pPr>
        <w:widowControl/>
        <w:outlineLvl w:val="1"/>
        <w:rPr>
          <w:rFonts w:hint="eastAsia" w:ascii="仿宋_GB2312" w:hAnsi="宋体" w:eastAsia="仿宋_GB2312"/>
          <w:b/>
          <w:kern w:val="0"/>
          <w:sz w:val="32"/>
          <w:szCs w:val="32"/>
        </w:rPr>
      </w:pPr>
    </w:p>
    <w:p>
      <w:pPr>
        <w:widowControl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表九：</w:t>
      </w:r>
    </w:p>
    <w:p>
      <w:pPr>
        <w:widowControl/>
        <w:jc w:val="center"/>
        <w:outlineLvl w:val="1"/>
        <w:rPr>
          <w:rFonts w:ascii="仿宋_GB2312" w:hAnsi="宋体" w:eastAsia="仿宋_GB2312"/>
          <w:b/>
          <w:kern w:val="0"/>
          <w:sz w:val="32"/>
          <w:szCs w:val="32"/>
        </w:rPr>
      </w:pPr>
      <w:r>
        <w:rPr>
          <w:rFonts w:hint="eastAsia" w:ascii="仿宋_GB2312" w:hAnsi="宋体" w:eastAsia="仿宋_GB2312"/>
          <w:b/>
          <w:kern w:val="0"/>
          <w:sz w:val="32"/>
          <w:szCs w:val="32"/>
        </w:rPr>
        <w:t>政府性基金预算支出情况表</w:t>
      </w:r>
    </w:p>
    <w:p>
      <w:pPr>
        <w:widowControl/>
        <w:spacing w:line="280" w:lineRule="exact"/>
        <w:outlineLvl w:val="1"/>
        <w:rPr>
          <w:rFonts w:ascii="仿宋_GB2312" w:hAnsi="宋体" w:eastAsia="仿宋_GB2312"/>
          <w:kern w:val="0"/>
          <w:sz w:val="24"/>
        </w:rPr>
      </w:pPr>
      <w:r>
        <w:rPr>
          <w:rFonts w:hint="eastAsia" w:ascii="仿宋_GB2312" w:hAnsi="宋体" w:eastAsia="仿宋_GB2312"/>
          <w:kern w:val="0"/>
          <w:sz w:val="24"/>
        </w:rPr>
        <w:t xml:space="preserve">编制部门（单位）：克孜勒苏日报社                       </w:t>
      </w:r>
      <w:r>
        <w:rPr>
          <w:rFonts w:ascii="仿宋_GB2312" w:hAnsi="宋体" w:eastAsia="仿宋_GB2312"/>
          <w:kern w:val="0"/>
          <w:sz w:val="24"/>
        </w:rPr>
        <w:t xml:space="preserve">    </w:t>
      </w:r>
      <w:r>
        <w:rPr>
          <w:rFonts w:hint="eastAsia" w:ascii="仿宋_GB2312" w:hAnsi="宋体" w:eastAsia="仿宋_GB2312"/>
          <w:kern w:val="0"/>
          <w:sz w:val="24"/>
        </w:rPr>
        <w:t xml:space="preserve">  单位：万元</w:t>
      </w:r>
    </w:p>
    <w:tbl>
      <w:tblPr>
        <w:tblStyle w:val="10"/>
        <w:tblW w:w="9180" w:type="dxa"/>
        <w:tblInd w:w="-3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3"/>
        <w:gridCol w:w="455"/>
        <w:gridCol w:w="696"/>
        <w:gridCol w:w="2535"/>
        <w:gridCol w:w="1663"/>
        <w:gridCol w:w="1695"/>
        <w:gridCol w:w="1553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</w:trPr>
        <w:tc>
          <w:tcPr>
            <w:tcW w:w="426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  目</w:t>
            </w:r>
          </w:p>
        </w:tc>
        <w:tc>
          <w:tcPr>
            <w:tcW w:w="491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政府性基金预算支出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8" w:hRule="atLeast"/>
        </w:trPr>
        <w:tc>
          <w:tcPr>
            <w:tcW w:w="17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18"/>
                <w:szCs w:val="18"/>
              </w:rPr>
              <w:t>功能分类科目编码</w:t>
            </w:r>
          </w:p>
        </w:tc>
        <w:tc>
          <w:tcPr>
            <w:tcW w:w="253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功能分类科目名称</w:t>
            </w:r>
          </w:p>
        </w:tc>
        <w:tc>
          <w:tcPr>
            <w:tcW w:w="166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计</w:t>
            </w:r>
          </w:p>
        </w:tc>
        <w:tc>
          <w:tcPr>
            <w:tcW w:w="1695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基本支出</w:t>
            </w:r>
          </w:p>
        </w:tc>
        <w:tc>
          <w:tcPr>
            <w:tcW w:w="1553" w:type="dxa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项目支出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类</w:t>
            </w: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款</w:t>
            </w: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项</w:t>
            </w:r>
          </w:p>
        </w:tc>
        <w:tc>
          <w:tcPr>
            <w:tcW w:w="253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b/>
                <w:bCs/>
                <w:color w:val="000000"/>
                <w:kern w:val="0"/>
                <w:sz w:val="32"/>
                <w:szCs w:val="3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</w:trPr>
        <w:tc>
          <w:tcPr>
            <w:tcW w:w="58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45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宋体" w:hAnsi="宋体" w:cs="宋体"/>
                <w:color w:val="000000"/>
                <w:kern w:val="0"/>
                <w:sz w:val="24"/>
              </w:rPr>
            </w:pPr>
          </w:p>
        </w:tc>
        <w:tc>
          <w:tcPr>
            <w:tcW w:w="69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253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b/>
                <w:bCs/>
                <w:color w:val="000000"/>
                <w:kern w:val="0"/>
                <w:sz w:val="24"/>
              </w:rPr>
              <w:t>合  计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6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8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widowControl/>
        <w:spacing w:line="280" w:lineRule="exact"/>
        <w:outlineLvl w:val="1"/>
        <w:rPr>
          <w:rFonts w:hint="eastAsia" w:ascii="仿宋_GB2312" w:hAnsi="宋体" w:eastAsia="仿宋_GB2312"/>
          <w:b/>
          <w:kern w:val="0"/>
          <w:sz w:val="28"/>
          <w:szCs w:val="32"/>
        </w:rPr>
      </w:pPr>
    </w:p>
    <w:p>
      <w:pPr>
        <w:widowControl/>
        <w:spacing w:line="280" w:lineRule="exact"/>
        <w:outlineLvl w:val="1"/>
        <w:rPr>
          <w:rFonts w:ascii="仿宋_GB2312" w:hAnsi="宋体" w:eastAsia="仿宋_GB2312"/>
          <w:b/>
          <w:kern w:val="0"/>
          <w:sz w:val="28"/>
          <w:szCs w:val="32"/>
        </w:rPr>
      </w:pPr>
      <w:r>
        <w:rPr>
          <w:rFonts w:hint="eastAsia" w:ascii="仿宋_GB2312" w:hAnsi="宋体" w:eastAsia="仿宋_GB2312"/>
          <w:b/>
          <w:kern w:val="0"/>
          <w:sz w:val="28"/>
          <w:szCs w:val="32"/>
        </w:rPr>
        <w:t>备注：克孜勒苏日报社2</w:t>
      </w:r>
      <w:r>
        <w:rPr>
          <w:rFonts w:ascii="仿宋_GB2312" w:hAnsi="宋体" w:eastAsia="仿宋_GB2312"/>
          <w:b/>
          <w:kern w:val="0"/>
          <w:sz w:val="28"/>
          <w:szCs w:val="32"/>
        </w:rPr>
        <w:t>02</w:t>
      </w:r>
      <w:r>
        <w:rPr>
          <w:rFonts w:hint="eastAsia" w:ascii="仿宋_GB2312" w:hAnsi="宋体" w:eastAsia="仿宋_GB2312"/>
          <w:b/>
          <w:kern w:val="0"/>
          <w:sz w:val="28"/>
          <w:szCs w:val="32"/>
          <w:lang w:val="en-US" w:eastAsia="zh-CN"/>
        </w:rPr>
        <w:t>1</w:t>
      </w:r>
      <w:r>
        <w:rPr>
          <w:rFonts w:hint="eastAsia" w:ascii="仿宋_GB2312" w:hAnsi="宋体" w:eastAsia="仿宋_GB2312"/>
          <w:b/>
          <w:kern w:val="0"/>
          <w:sz w:val="28"/>
          <w:szCs w:val="32"/>
        </w:rPr>
        <w:t>年度政府性基金故为空表</w:t>
      </w:r>
    </w:p>
    <w:p>
      <w:pPr>
        <w:widowControl/>
        <w:spacing w:line="280" w:lineRule="exact"/>
        <w:jc w:val="left"/>
        <w:outlineLvl w:val="1"/>
        <w:rPr>
          <w:rFonts w:ascii="仿宋_GB2312" w:hAnsi="宋体" w:eastAsia="仿宋_GB2312"/>
          <w:kern w:val="0"/>
          <w:sz w:val="32"/>
          <w:szCs w:val="32"/>
        </w:rPr>
        <w:sectPr>
          <w:footerReference r:id="rId3" w:type="default"/>
          <w:footerReference r:id="rId4" w:type="even"/>
          <w:pgSz w:w="11906" w:h="16838"/>
          <w:pgMar w:top="2098" w:right="1418" w:bottom="1928" w:left="1588" w:header="851" w:footer="992" w:gutter="0"/>
          <w:pgNumType w:fmt="numberInDash"/>
          <w:cols w:space="720" w:num="1"/>
          <w:docGrid w:linePitch="312" w:charSpace="0"/>
        </w:sectPr>
      </w:pPr>
    </w:p>
    <w:p>
      <w:pPr>
        <w:spacing w:line="560" w:lineRule="exact"/>
        <w:jc w:val="center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 xml:space="preserve">第三部分  </w:t>
      </w:r>
      <w:r>
        <w:rPr>
          <w:rFonts w:ascii="黑体" w:hAnsi="黑体" w:eastAsia="黑体"/>
          <w:kern w:val="0"/>
          <w:sz w:val="32"/>
          <w:szCs w:val="32"/>
        </w:rPr>
        <w:t>2021</w:t>
      </w:r>
      <w:r>
        <w:rPr>
          <w:rFonts w:hint="eastAsia" w:ascii="黑体" w:hAnsi="黑体" w:eastAsia="黑体"/>
          <w:kern w:val="0"/>
          <w:sz w:val="32"/>
          <w:szCs w:val="32"/>
        </w:rPr>
        <w:t>年克孜勒苏日报社预算情况说明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一、</w:t>
      </w:r>
      <w:r>
        <w:rPr>
          <w:rFonts w:hint="eastAsia" w:ascii="黑体" w:hAnsi="宋体" w:eastAsia="黑体" w:cs="宋体"/>
          <w:kern w:val="0"/>
          <w:sz w:val="32"/>
          <w:szCs w:val="32"/>
        </w:rPr>
        <w:t>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按照全口径预算的原则，克孜勒苏日报社2</w:t>
      </w:r>
      <w:r>
        <w:rPr>
          <w:rFonts w:ascii="仿宋_GB2312" w:hAnsi="宋体" w:eastAsia="仿宋_GB2312" w:cs="宋体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年所有收入和支出均纳入部门（单位）预算管理。收支总预算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1018.56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收入预算包括：一般公共预算9</w:t>
      </w:r>
      <w:r>
        <w:rPr>
          <w:rFonts w:ascii="仿宋_GB2312" w:hAnsi="宋体" w:eastAsia="仿宋_GB2312" w:cs="宋体"/>
          <w:kern w:val="0"/>
          <w:sz w:val="32"/>
          <w:szCs w:val="32"/>
        </w:rPr>
        <w:t>93.56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 政府性基金预算0万元、国有</w:t>
      </w:r>
      <w:r>
        <w:rPr>
          <w:rFonts w:ascii="仿宋_GB2312" w:hAnsi="宋体" w:eastAsia="仿宋_GB2312" w:cs="宋体"/>
          <w:kern w:val="0"/>
          <w:sz w:val="32"/>
          <w:szCs w:val="32"/>
        </w:rPr>
        <w:t>资金经营预算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0万元。上级专项收入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支出预算包括：文化旅游体育与传媒支出1</w:t>
      </w:r>
      <w:r>
        <w:rPr>
          <w:rFonts w:ascii="仿宋_GB2312" w:hAnsi="宋体" w:eastAsia="仿宋_GB2312" w:cs="宋体"/>
          <w:kern w:val="0"/>
          <w:sz w:val="32"/>
          <w:szCs w:val="32"/>
        </w:rPr>
        <w:t>018.56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二、关于克孜勒苏日报社2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年收入预算情况说明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克孜勒苏日报社收入预算</w:t>
      </w:r>
      <w:r>
        <w:rPr>
          <w:rFonts w:ascii="仿宋_GB2312" w:hAnsi="宋体" w:eastAsia="仿宋_GB2312" w:cs="宋体"/>
          <w:kern w:val="0"/>
          <w:sz w:val="32"/>
          <w:szCs w:val="32"/>
        </w:rPr>
        <w:t>1018.56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一般公共预算</w:t>
      </w:r>
      <w:r>
        <w:rPr>
          <w:rFonts w:ascii="仿宋_GB2312" w:hAnsi="宋体" w:eastAsia="仿宋_GB2312" w:cs="宋体"/>
          <w:kern w:val="0"/>
          <w:sz w:val="32"/>
          <w:szCs w:val="32"/>
        </w:rPr>
        <w:t>993.56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97.55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%，比上年预算减少5</w:t>
      </w:r>
      <w:r>
        <w:rPr>
          <w:rFonts w:ascii="仿宋_GB2312" w:hAnsi="宋体" w:eastAsia="仿宋_GB2312" w:cs="宋体"/>
          <w:kern w:val="0"/>
          <w:sz w:val="32"/>
          <w:szCs w:val="32"/>
        </w:rPr>
        <w:t>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万元，主要原因是调出一人辞职一人，人员经费减少；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政府性基金预算未安排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国有资本</w:t>
      </w:r>
      <w:r>
        <w:rPr>
          <w:rFonts w:ascii="仿宋_GB2312" w:hAnsi="宋体" w:eastAsia="仿宋_GB2312" w:cs="宋体"/>
          <w:kern w:val="0"/>
          <w:sz w:val="32"/>
          <w:szCs w:val="32"/>
          <w:highlight w:val="none"/>
        </w:rPr>
        <w:t>经营预算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</w:rPr>
        <w:t>未安排</w:t>
      </w:r>
      <w:r>
        <w:rPr>
          <w:rFonts w:hint="eastAsia" w:ascii="仿宋_GB2312" w:hAnsi="宋体" w:eastAsia="仿宋_GB2312" w:cs="宋体"/>
          <w:kern w:val="0"/>
          <w:sz w:val="32"/>
          <w:szCs w:val="32"/>
          <w:highlight w:val="none"/>
          <w:lang w:eastAsia="zh-CN"/>
        </w:rPr>
        <w:t>；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上级专项收入1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1.67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增加0万元，主要原因是为民办实事经费与上年相同；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单位上年结余（不包括国库集中支付额度结余）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0.79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预算增加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万元，主要原因是2020年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受疫情影响，支出较慢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三、关于</w:t>
      </w:r>
      <w:bookmarkStart w:id="0" w:name="_Hlk63172723"/>
      <w:r>
        <w:rPr>
          <w:rFonts w:hint="eastAsia" w:ascii="黑体" w:hAnsi="宋体" w:eastAsia="黑体" w:cs="宋体"/>
          <w:kern w:val="0"/>
          <w:sz w:val="32"/>
          <w:szCs w:val="32"/>
        </w:rPr>
        <w:t>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bookmarkEnd w:id="0"/>
      <w:r>
        <w:rPr>
          <w:rFonts w:hint="eastAsia" w:ascii="黑体" w:hAnsi="宋体" w:eastAsia="黑体" w:cs="宋体"/>
          <w:kern w:val="0"/>
          <w:sz w:val="32"/>
          <w:szCs w:val="32"/>
        </w:rPr>
        <w:t>年支出预算情况说明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克孜勒苏日报社2021年支出预算</w:t>
      </w:r>
      <w:r>
        <w:rPr>
          <w:rFonts w:ascii="仿宋_GB2312" w:hAnsi="宋体" w:eastAsia="仿宋_GB2312" w:cs="宋体"/>
          <w:kern w:val="0"/>
          <w:sz w:val="32"/>
          <w:szCs w:val="32"/>
        </w:rPr>
        <w:t>1018.56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b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907.56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89.1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%，比上年预算减少5</w:t>
      </w:r>
      <w:r>
        <w:rPr>
          <w:rFonts w:ascii="仿宋_GB2312" w:hAnsi="宋体" w:eastAsia="仿宋_GB2312" w:cs="宋体"/>
          <w:kern w:val="0"/>
          <w:sz w:val="32"/>
          <w:szCs w:val="32"/>
        </w:rPr>
        <w:t>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万元，主要原因是调出一人辞职一人，人员经费减少。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项目支出</w:t>
      </w:r>
      <w:r>
        <w:rPr>
          <w:rFonts w:ascii="仿宋_GB2312" w:hAnsi="宋体" w:eastAsia="仿宋_GB2312" w:cs="宋体"/>
          <w:kern w:val="0"/>
          <w:sz w:val="32"/>
          <w:szCs w:val="32"/>
        </w:rPr>
        <w:t>111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万元，占</w:t>
      </w:r>
      <w:r>
        <w:rPr>
          <w:rFonts w:ascii="仿宋_GB2312" w:hAnsi="宋体" w:eastAsia="仿宋_GB2312" w:cs="宋体"/>
          <w:kern w:val="0"/>
          <w:sz w:val="32"/>
          <w:szCs w:val="32"/>
        </w:rPr>
        <w:t>10.9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%，比上年预算增加3万元，主要原因是项目有上年结余资金。</w:t>
      </w:r>
    </w:p>
    <w:p>
      <w:pPr>
        <w:spacing w:line="560" w:lineRule="exact"/>
        <w:ind w:firstLine="640" w:firstLineChars="200"/>
        <w:rPr>
          <w:rFonts w:ascii="黑体" w:hAnsi="黑体" w:eastAsia="黑体" w:cs="宋体"/>
          <w:bCs/>
          <w:kern w:val="0"/>
          <w:sz w:val="32"/>
          <w:szCs w:val="32"/>
        </w:rPr>
      </w:pPr>
      <w:r>
        <w:rPr>
          <w:rFonts w:hint="eastAsia" w:ascii="黑体" w:hAnsi="黑体" w:eastAsia="黑体" w:cs="宋体"/>
          <w:bCs/>
          <w:kern w:val="0"/>
          <w:sz w:val="32"/>
          <w:szCs w:val="32"/>
        </w:rPr>
        <w:t>四、关于克孜勒苏日报社2</w:t>
      </w:r>
      <w:r>
        <w:rPr>
          <w:rFonts w:ascii="黑体" w:hAnsi="黑体" w:eastAsia="黑体" w:cs="宋体"/>
          <w:bCs/>
          <w:kern w:val="0"/>
          <w:sz w:val="32"/>
          <w:szCs w:val="32"/>
        </w:rPr>
        <w:t>021</w:t>
      </w:r>
      <w:r>
        <w:rPr>
          <w:rFonts w:hint="eastAsia" w:ascii="黑体" w:hAnsi="黑体" w:eastAsia="黑体" w:cs="宋体"/>
          <w:bCs/>
          <w:kern w:val="0"/>
          <w:sz w:val="32"/>
          <w:szCs w:val="32"/>
        </w:rPr>
        <w:t>年财政拨款收支预算情况的总体说明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年财政拨款收支总预算</w:t>
      </w:r>
      <w:r>
        <w:rPr>
          <w:rFonts w:ascii="仿宋_GB2312" w:hAnsi="宋体" w:eastAsia="仿宋_GB2312" w:cs="宋体"/>
          <w:kern w:val="0"/>
          <w:sz w:val="32"/>
          <w:szCs w:val="32"/>
        </w:rPr>
        <w:t>1018.56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收入全部为一般公共预算拨款，无政府性基金预算拨款。和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国有资本经营预算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收入预算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包括：一般公共预算拨款1018.56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。</w:t>
      </w:r>
    </w:p>
    <w:p>
      <w:pPr>
        <w:spacing w:line="560" w:lineRule="exact"/>
        <w:ind w:firstLine="616" w:firstLineChars="200"/>
        <w:rPr>
          <w:rFonts w:ascii="仿宋_GB2312" w:hAnsi="宋体" w:eastAsia="仿宋_GB2312" w:cs="宋体"/>
          <w:spacing w:val="-6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一般</w:t>
      </w:r>
      <w:r>
        <w:rPr>
          <w:rFonts w:ascii="仿宋_GB2312" w:hAnsi="宋体" w:eastAsia="仿宋_GB2312" w:cs="宋体"/>
          <w:spacing w:val="-6"/>
          <w:kern w:val="0"/>
          <w:sz w:val="32"/>
          <w:szCs w:val="32"/>
        </w:rPr>
        <w:t>公共预算支出包括：</w:t>
      </w:r>
      <w:r>
        <w:rPr>
          <w:rFonts w:hint="eastAsia" w:ascii="仿宋_GB2312" w:hAnsi="宋体" w:eastAsia="仿宋_GB2312" w:cs="宋体"/>
          <w:spacing w:val="-6"/>
          <w:kern w:val="0"/>
          <w:sz w:val="32"/>
          <w:szCs w:val="32"/>
        </w:rPr>
        <w:t>文化体育与传媒支出1018.56万元，主要用于支付职工工资、津贴、社会保险缴费、住房公积金及日常公用经费、群众工作补助经费等。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五、关于克孜勒苏日报社2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年一般公共预算当年拨款情况说明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（一）一般公共预算当年拨款规模变化情况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克孜勒苏日报社2</w:t>
      </w:r>
      <w:r>
        <w:rPr>
          <w:rFonts w:ascii="仿宋_GB2312" w:hAnsi="宋体" w:eastAsia="仿宋_GB2312" w:cs="宋体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年一般公共预算拨款合计</w:t>
      </w:r>
      <w:r>
        <w:rPr>
          <w:rFonts w:ascii="仿宋_GB2312" w:hAnsi="宋体" w:eastAsia="仿宋_GB2312" w:cs="宋体"/>
          <w:kern w:val="0"/>
          <w:sz w:val="32"/>
          <w:szCs w:val="32"/>
        </w:rPr>
        <w:t>993.56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</w:t>
      </w:r>
      <w:r>
        <w:rPr>
          <w:rFonts w:ascii="仿宋_GB2312" w:hAnsi="宋体" w:eastAsia="仿宋_GB2312" w:cs="宋体"/>
          <w:kern w:val="0"/>
          <w:sz w:val="32"/>
          <w:szCs w:val="32"/>
        </w:rPr>
        <w:t>：基本支出907.56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比上年预算减少5</w:t>
      </w:r>
      <w:r>
        <w:rPr>
          <w:rFonts w:ascii="仿宋_GB2312" w:hAnsi="宋体" w:eastAsia="仿宋_GB2312" w:cs="宋体"/>
          <w:kern w:val="0"/>
          <w:sz w:val="32"/>
          <w:szCs w:val="32"/>
        </w:rPr>
        <w:t>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ascii="仿宋_GB2312" w:hAnsi="宋体" w:eastAsia="仿宋_GB2312" w:cs="宋体"/>
          <w:kern w:val="0"/>
          <w:sz w:val="32"/>
          <w:szCs w:val="32"/>
        </w:rPr>
        <w:t>5.78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%。主要原因是：人员经费减少，基本支出减少。</w:t>
      </w:r>
      <w:r>
        <w:rPr>
          <w:rFonts w:ascii="仿宋_GB2312" w:hAnsi="宋体" w:eastAsia="仿宋_GB2312" w:cs="宋体"/>
          <w:kern w:val="0"/>
          <w:sz w:val="32"/>
          <w:szCs w:val="32"/>
        </w:rPr>
        <w:t>项目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支出8</w:t>
      </w:r>
      <w:r>
        <w:rPr>
          <w:rFonts w:ascii="仿宋_GB2312" w:hAnsi="宋体" w:eastAsia="仿宋_GB2312" w:cs="宋体"/>
          <w:kern w:val="0"/>
          <w:sz w:val="32"/>
          <w:szCs w:val="32"/>
        </w:rPr>
        <w:t>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，比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上年</w:t>
      </w:r>
      <w:r>
        <w:rPr>
          <w:rFonts w:ascii="仿宋_GB2312" w:hAnsi="宋体" w:eastAsia="仿宋_GB2312" w:cs="宋体"/>
          <w:kern w:val="0"/>
          <w:sz w:val="32"/>
          <w:szCs w:val="32"/>
        </w:rPr>
        <w:t>预算减少0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  <w:r>
        <w:rPr>
          <w:rFonts w:ascii="仿宋_GB2312" w:hAnsi="宋体" w:eastAsia="仿宋_GB2312" w:cs="宋体"/>
          <w:kern w:val="0"/>
          <w:sz w:val="32"/>
          <w:szCs w:val="32"/>
        </w:rPr>
        <w:t>，下降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</w:t>
      </w:r>
      <w:r>
        <w:rPr>
          <w:rFonts w:ascii="仿宋_GB2312" w:hAnsi="宋体" w:eastAsia="仿宋_GB2312" w:cs="宋体"/>
          <w:kern w:val="0"/>
          <w:sz w:val="32"/>
          <w:szCs w:val="32"/>
        </w:rPr>
        <w:t>%。主要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原因</w:t>
      </w:r>
      <w:r>
        <w:rPr>
          <w:rFonts w:ascii="仿宋_GB2312" w:hAnsi="宋体" w:eastAsia="仿宋_GB2312" w:cs="宋体"/>
          <w:kern w:val="0"/>
          <w:sz w:val="32"/>
          <w:szCs w:val="32"/>
        </w:rPr>
        <w:t>是：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与去年持平。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（二）一般公共预算当年拨款结构情况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eastAsia="仿宋_GB2312"/>
          <w:sz w:val="32"/>
          <w:szCs w:val="32"/>
        </w:rPr>
        <w:t>出版发行（</w:t>
      </w:r>
      <w:r>
        <w:rPr>
          <w:rFonts w:hint="eastAsia" w:ascii="仿宋_GB2312" w:eastAsia="仿宋_GB2312"/>
          <w:sz w:val="32"/>
          <w:szCs w:val="32"/>
          <w:lang w:eastAsia="zh-CN"/>
        </w:rPr>
        <w:t>类：</w:t>
      </w:r>
      <w:r>
        <w:rPr>
          <w:rFonts w:hint="eastAsia" w:ascii="仿宋_GB2312" w:eastAsia="仿宋_GB2312"/>
          <w:sz w:val="32"/>
          <w:szCs w:val="32"/>
        </w:rPr>
        <w:t>2</w:t>
      </w:r>
      <w:r>
        <w:rPr>
          <w:rFonts w:ascii="仿宋_GB2312" w:eastAsia="仿宋_GB2312"/>
          <w:sz w:val="32"/>
          <w:szCs w:val="32"/>
        </w:rPr>
        <w:t>07</w:t>
      </w:r>
      <w:r>
        <w:rPr>
          <w:rFonts w:hint="eastAsia" w:ascii="仿宋_GB2312" w:eastAsia="仿宋_GB2312"/>
          <w:sz w:val="32"/>
          <w:szCs w:val="32"/>
        </w:rPr>
        <w:t>）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993</w:t>
      </w:r>
      <w:r>
        <w:rPr>
          <w:rFonts w:ascii="仿宋_GB2312" w:eastAsia="仿宋_GB2312"/>
          <w:sz w:val="32"/>
          <w:szCs w:val="32"/>
        </w:rPr>
        <w:t>.56</w:t>
      </w:r>
      <w:r>
        <w:rPr>
          <w:rFonts w:hint="eastAsia" w:ascii="仿宋_GB2312" w:eastAsia="仿宋_GB2312"/>
          <w:sz w:val="32"/>
          <w:szCs w:val="32"/>
        </w:rPr>
        <w:t>万元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占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100</w:t>
      </w:r>
      <w:r>
        <w:rPr>
          <w:rFonts w:hint="eastAsia" w:ascii="仿宋_GB2312" w:eastAsia="仿宋_GB2312"/>
          <w:sz w:val="32"/>
          <w:szCs w:val="32"/>
        </w:rPr>
        <w:t>%。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（三）一般公共预算当年拨款具体使用情况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旅游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体育与传媒支出（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207）新闻出版广播影视（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06）出版发行（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05）:202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907.56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万元，比上年预算减少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.28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万元，下降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%，主要原因是：人员经费减少调出一人。</w:t>
      </w:r>
    </w:p>
    <w:p>
      <w:pPr>
        <w:spacing w:line="560" w:lineRule="exact"/>
        <w:ind w:firstLine="640" w:firstLineChars="200"/>
        <w:rPr>
          <w:rFonts w:hint="eastAsia"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.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旅游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体育与传媒支出（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类：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207）</w:t>
      </w:r>
      <w:r>
        <w:rPr>
          <w:rFonts w:hint="eastAsia"/>
        </w:rPr>
        <w:t xml:space="preserve">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旅游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体育与传媒支出（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款：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其他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文化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旅游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体育与传媒支出（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项：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99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）:202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年预算数为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增加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0万元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，主要原因是：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专项经费同去年一致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六、关于克孜勒苏日报社2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年一般公共预算基本支出情况说明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克孜勒苏日报社2</w:t>
      </w:r>
      <w:r>
        <w:rPr>
          <w:rFonts w:ascii="仿宋_GB2312" w:hAnsi="宋体" w:eastAsia="仿宋_GB2312" w:cs="宋体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年一般公共预算基本支出</w:t>
      </w:r>
      <w:r>
        <w:rPr>
          <w:rFonts w:ascii="仿宋_GB2312" w:hAnsi="宋体" w:eastAsia="仿宋_GB2312" w:cs="宋体"/>
          <w:kern w:val="0"/>
          <w:sz w:val="32"/>
          <w:szCs w:val="32"/>
        </w:rPr>
        <w:t>907.56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万元， 其中：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人员经费</w:t>
      </w:r>
      <w:r>
        <w:rPr>
          <w:rFonts w:ascii="仿宋_GB2312" w:hAnsi="宋体" w:eastAsia="仿宋_GB2312" w:cs="宋体"/>
          <w:kern w:val="0"/>
          <w:sz w:val="32"/>
          <w:szCs w:val="32"/>
        </w:rPr>
        <w:t>860.87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万元，主要包括：基本工资2</w:t>
      </w:r>
      <w:r>
        <w:rPr>
          <w:rFonts w:ascii="仿宋_GB2312" w:hAnsi="宋体" w:eastAsia="仿宋_GB2312" w:cs="宋体"/>
          <w:kern w:val="0"/>
          <w:sz w:val="32"/>
          <w:szCs w:val="32"/>
        </w:rPr>
        <w:t>58.97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万元、津贴补贴3</w:t>
      </w:r>
      <w:r>
        <w:rPr>
          <w:rFonts w:ascii="仿宋_GB2312" w:hAnsi="宋体" w:eastAsia="仿宋_GB2312" w:cs="宋体"/>
          <w:kern w:val="0"/>
          <w:sz w:val="32"/>
          <w:szCs w:val="32"/>
        </w:rPr>
        <w:t>34.47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万元、奖金2</w:t>
      </w:r>
      <w:r>
        <w:rPr>
          <w:rFonts w:ascii="仿宋_GB2312" w:hAnsi="宋体" w:eastAsia="仿宋_GB2312" w:cs="宋体"/>
          <w:kern w:val="0"/>
          <w:sz w:val="32"/>
          <w:szCs w:val="32"/>
        </w:rPr>
        <w:t>1.58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万元、机关事业单位基本养老保险缴费8</w:t>
      </w:r>
      <w:r>
        <w:rPr>
          <w:rFonts w:ascii="仿宋_GB2312" w:hAnsi="宋体" w:eastAsia="仿宋_GB2312" w:cs="宋体"/>
          <w:kern w:val="0"/>
          <w:sz w:val="32"/>
          <w:szCs w:val="32"/>
        </w:rPr>
        <w:t>6.84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万元、其他社会保障缴费4</w:t>
      </w:r>
      <w:r>
        <w:rPr>
          <w:rFonts w:ascii="仿宋_GB2312" w:hAnsi="宋体" w:eastAsia="仿宋_GB2312" w:cs="宋体"/>
          <w:kern w:val="0"/>
          <w:sz w:val="32"/>
          <w:szCs w:val="32"/>
        </w:rPr>
        <w:t>7.38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万元、住房公积金6</w:t>
      </w:r>
      <w:r>
        <w:rPr>
          <w:rFonts w:ascii="仿宋_GB2312" w:hAnsi="宋体" w:eastAsia="仿宋_GB2312" w:cs="宋体"/>
          <w:kern w:val="0"/>
          <w:sz w:val="32"/>
          <w:szCs w:val="32"/>
        </w:rPr>
        <w:t>2.5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万元、退休费2</w:t>
      </w:r>
      <w:r>
        <w:rPr>
          <w:rFonts w:ascii="仿宋_GB2312" w:hAnsi="宋体" w:eastAsia="仿宋_GB2312" w:cs="宋体"/>
          <w:kern w:val="0"/>
          <w:sz w:val="32"/>
          <w:szCs w:val="32"/>
        </w:rPr>
        <w:t>2.94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万元、生活补助6</w:t>
      </w:r>
      <w:r>
        <w:rPr>
          <w:rFonts w:ascii="仿宋_GB2312" w:hAnsi="宋体" w:eastAsia="仿宋_GB2312" w:cs="宋体"/>
          <w:kern w:val="0"/>
          <w:sz w:val="32"/>
          <w:szCs w:val="32"/>
        </w:rPr>
        <w:t>.32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万元、奖励金1.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万元、其他对个人和家庭的补助1</w:t>
      </w:r>
      <w:r>
        <w:rPr>
          <w:rFonts w:ascii="仿宋_GB2312" w:hAnsi="宋体" w:eastAsia="仿宋_GB2312" w:cs="宋体"/>
          <w:kern w:val="0"/>
          <w:sz w:val="32"/>
          <w:szCs w:val="32"/>
        </w:rPr>
        <w:t>8.16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公用经费</w:t>
      </w:r>
      <w:r>
        <w:rPr>
          <w:rFonts w:ascii="仿宋_GB2312" w:hAnsi="宋体" w:eastAsia="仿宋_GB2312" w:cs="宋体"/>
          <w:kern w:val="0"/>
          <w:sz w:val="32"/>
          <w:szCs w:val="32"/>
        </w:rPr>
        <w:t>46.69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万元，主要包括：邮电费5万元、取暖费1</w:t>
      </w:r>
      <w:r>
        <w:rPr>
          <w:rFonts w:ascii="仿宋_GB2312" w:hAnsi="宋体" w:eastAsia="仿宋_GB2312" w:cs="宋体"/>
          <w:kern w:val="0"/>
          <w:sz w:val="32"/>
          <w:szCs w:val="32"/>
        </w:rPr>
        <w:t>4.16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万元、差旅费2</w:t>
      </w:r>
      <w:r>
        <w:rPr>
          <w:rFonts w:ascii="仿宋_GB2312" w:hAnsi="宋体" w:eastAsia="仿宋_GB2312" w:cs="宋体"/>
          <w:kern w:val="0"/>
          <w:sz w:val="32"/>
          <w:szCs w:val="32"/>
        </w:rPr>
        <w:t>.1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万元、公务接待费0</w:t>
      </w:r>
      <w:r>
        <w:rPr>
          <w:rFonts w:ascii="仿宋_GB2312" w:hAnsi="宋体" w:eastAsia="仿宋_GB2312" w:cs="宋体"/>
          <w:kern w:val="0"/>
          <w:sz w:val="32"/>
          <w:szCs w:val="32"/>
        </w:rPr>
        <w:t>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万元、劳务费1</w:t>
      </w:r>
      <w:r>
        <w:rPr>
          <w:rFonts w:ascii="仿宋_GB2312" w:hAnsi="宋体" w:eastAsia="仿宋_GB2312" w:cs="宋体"/>
          <w:kern w:val="0"/>
          <w:sz w:val="32"/>
          <w:szCs w:val="32"/>
        </w:rPr>
        <w:t>4.5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万元、工会经费3</w:t>
      </w:r>
      <w:r>
        <w:rPr>
          <w:rFonts w:ascii="仿宋_GB2312" w:hAnsi="宋体" w:eastAsia="仿宋_GB2312" w:cs="宋体"/>
          <w:kern w:val="0"/>
          <w:sz w:val="32"/>
          <w:szCs w:val="32"/>
        </w:rPr>
        <w:t>.73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万元、福利费6</w:t>
      </w:r>
      <w:r>
        <w:rPr>
          <w:rFonts w:ascii="仿宋_GB2312" w:hAnsi="宋体" w:eastAsia="仿宋_GB2312" w:cs="宋体"/>
          <w:kern w:val="0"/>
          <w:sz w:val="32"/>
          <w:szCs w:val="32"/>
        </w:rPr>
        <w:t>.71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七、关于克孜勒苏日报社2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年一般公共预算项目支出情况说明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情况一：（项目支出、专项业务费按下列内容说明）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报纸发行费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设立的政策依据：202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年报纸发行费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预算安排规模：79万元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项目承担单位：克孜勒苏日报社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资金分配情况：每月约6.58万元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2</w:t>
      </w:r>
      <w:r>
        <w:rPr>
          <w:rFonts w:ascii="仿宋_GB2312" w:hAnsi="黑体" w:eastAsia="仿宋_GB2312"/>
          <w:sz w:val="32"/>
          <w:szCs w:val="32"/>
        </w:rPr>
        <w:t>.</w:t>
      </w: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群众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工作经费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设立的政策依据：党的群众路线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预算安排规模：</w:t>
      </w:r>
      <w:r>
        <w:rPr>
          <w:rFonts w:ascii="仿宋_GB2312" w:hAnsi="宋体" w:eastAsia="仿宋_GB2312" w:cs="宋体"/>
          <w:kern w:val="0"/>
          <w:sz w:val="32"/>
          <w:szCs w:val="32"/>
        </w:rPr>
        <w:t>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项目承担单位：克孜勒苏日报社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资金分配情况：每月约</w:t>
      </w:r>
      <w:r>
        <w:rPr>
          <w:rFonts w:ascii="仿宋_GB2312" w:hAnsi="宋体" w:eastAsia="仿宋_GB2312" w:cs="宋体"/>
          <w:kern w:val="0"/>
          <w:sz w:val="32"/>
          <w:szCs w:val="32"/>
        </w:rPr>
        <w:t>0.58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资金执行时间：202</w:t>
      </w:r>
      <w:r>
        <w:rPr>
          <w:rFonts w:ascii="仿宋_GB2312" w:hAnsi="宋体" w:eastAsia="仿宋_GB2312" w:cs="宋体"/>
          <w:kern w:val="0"/>
          <w:sz w:val="32"/>
          <w:szCs w:val="32"/>
        </w:rPr>
        <w:t>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年1月-12月</w:t>
      </w:r>
    </w:p>
    <w:p>
      <w:pPr>
        <w:spacing w:line="560" w:lineRule="exact"/>
        <w:ind w:firstLine="643" w:firstLineChars="200"/>
        <w:rPr>
          <w:rFonts w:ascii="仿宋_GB2312" w:hAnsi="黑体" w:eastAsia="仿宋_GB2312"/>
          <w:b/>
          <w:sz w:val="32"/>
          <w:szCs w:val="32"/>
        </w:rPr>
      </w:pPr>
      <w:r>
        <w:rPr>
          <w:rFonts w:hint="eastAsia" w:ascii="仿宋_GB2312" w:hAnsi="黑体" w:eastAsia="仿宋_GB2312"/>
          <w:b/>
          <w:sz w:val="32"/>
          <w:szCs w:val="32"/>
        </w:rPr>
        <w:t>情况二：（</w:t>
      </w:r>
      <w:r>
        <w:rPr>
          <w:rFonts w:ascii="仿宋_GB2312" w:hAnsi="宋体" w:eastAsia="仿宋_GB2312"/>
          <w:b/>
          <w:sz w:val="32"/>
          <w:szCs w:val="22"/>
        </w:rPr>
        <w:t>属于</w:t>
      </w:r>
      <w:r>
        <w:rPr>
          <w:rFonts w:ascii="仿宋_GB2312" w:hAnsi="宋体" w:eastAsia="仿宋_GB2312"/>
          <w:b/>
          <w:spacing w:val="-8"/>
          <w:sz w:val="32"/>
          <w:szCs w:val="22"/>
        </w:rPr>
        <w:t>对个人补贴的项目支出</w:t>
      </w:r>
      <w:r>
        <w:rPr>
          <w:rFonts w:hint="eastAsia" w:ascii="仿宋_GB2312" w:hAnsi="黑体" w:eastAsia="仿宋_GB2312"/>
          <w:b/>
          <w:sz w:val="32"/>
          <w:szCs w:val="32"/>
        </w:rPr>
        <w:t>按下列内容说明）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项目</w:t>
      </w:r>
      <w:r>
        <w:rPr>
          <w:rFonts w:ascii="仿宋_GB2312" w:hAnsi="黑体" w:eastAsia="仿宋_GB2312"/>
          <w:sz w:val="32"/>
          <w:szCs w:val="32"/>
        </w:rPr>
        <w:t>名称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设立的政策依据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预算安排规模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项目承担单位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资金分配情况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w:t>资金执行时间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资金来源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补贴人数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补贴标准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ascii="仿宋_GB2312" w:hAnsi="宋体" w:eastAsia="仿宋_GB2312"/>
          <w:sz w:val="32"/>
          <w:szCs w:val="22"/>
        </w:rPr>
        <w:t>补贴范围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补贴方式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仿宋_GB2312" w:hAnsi="宋体" w:eastAsia="仿宋_GB2312"/>
          <w:sz w:val="32"/>
          <w:szCs w:val="2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发放程序：无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/>
          <w:sz w:val="32"/>
          <w:szCs w:val="22"/>
        </w:rPr>
        <w:t>受益人群和社会效益</w:t>
      </w:r>
      <w:r>
        <w:rPr>
          <w:rFonts w:hint="eastAsia" w:ascii="仿宋_GB2312" w:hAnsi="黑体" w:eastAsia="仿宋_GB2312"/>
          <w:sz w:val="32"/>
          <w:szCs w:val="32"/>
        </w:rPr>
        <w:t>：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无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八、关于克孜勒苏日报社2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年一般公共预算“三公”经费预算情况说明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克孜勒苏日报社2</w:t>
      </w:r>
      <w:r>
        <w:rPr>
          <w:rFonts w:ascii="仿宋_GB2312" w:hAnsi="宋体" w:eastAsia="仿宋_GB2312" w:cs="宋体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年一般公共预算“三公”经费数为</w:t>
      </w:r>
      <w:r>
        <w:rPr>
          <w:rFonts w:ascii="仿宋_GB2312" w:hAnsi="宋体" w:eastAsia="仿宋_GB2312" w:cs="宋体"/>
          <w:kern w:val="0"/>
          <w:sz w:val="32"/>
          <w:szCs w:val="32"/>
        </w:rPr>
        <w:t>12.7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万元，公务用车购置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万元，公务用车运行费</w:t>
      </w:r>
      <w:r>
        <w:rPr>
          <w:rFonts w:ascii="仿宋_GB2312" w:hAnsi="宋体" w:eastAsia="仿宋_GB2312" w:cs="宋体"/>
          <w:kern w:val="0"/>
          <w:sz w:val="32"/>
          <w:szCs w:val="32"/>
        </w:rPr>
        <w:t>12.2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万元，公务接待费</w:t>
      </w:r>
      <w:r>
        <w:rPr>
          <w:rFonts w:ascii="仿宋_GB2312" w:hAnsi="宋体" w:eastAsia="仿宋_GB2312" w:cs="宋体"/>
          <w:kern w:val="0"/>
          <w:sz w:val="32"/>
          <w:szCs w:val="32"/>
        </w:rPr>
        <w:t>0.5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年一般公共预算“三公”经费比上年增加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万元，其中：因公出国（境）费增加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万元，主要原因是预算未安排因公出国（境）费；公务用车购置费为0，未安排预算。公务用车运行费增加0万元，主要原因是派车次数较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，和上年持平；公务接待费增加0万元，主要原因是接待任务较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少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，和上年持平。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九、关于克孜勒苏日报社2</w:t>
      </w:r>
      <w:r>
        <w:rPr>
          <w:rFonts w:ascii="黑体" w:hAnsi="宋体" w:eastAsia="黑体" w:cs="宋体"/>
          <w:kern w:val="0"/>
          <w:sz w:val="32"/>
          <w:szCs w:val="32"/>
        </w:rPr>
        <w:t>021</w:t>
      </w:r>
      <w:r>
        <w:rPr>
          <w:rFonts w:hint="eastAsia" w:ascii="黑体" w:hAnsi="宋体" w:eastAsia="黑体" w:cs="宋体"/>
          <w:kern w:val="0"/>
          <w:sz w:val="32"/>
          <w:szCs w:val="32"/>
        </w:rPr>
        <w:t>年政府性基金预算拨款情况说明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克孜勒苏日报社2</w:t>
      </w:r>
      <w:r>
        <w:rPr>
          <w:rFonts w:ascii="仿宋_GB2312" w:hAnsi="宋体" w:eastAsia="仿宋_GB2312" w:cs="宋体"/>
          <w:kern w:val="0"/>
          <w:sz w:val="32"/>
          <w:szCs w:val="32"/>
        </w:rPr>
        <w:t>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年没有使用政府性基金预算拨款安排的支出，政府性基金预算支出情况表为空表。</w:t>
      </w:r>
    </w:p>
    <w:p>
      <w:pPr>
        <w:spacing w:line="560" w:lineRule="exact"/>
        <w:ind w:firstLine="640" w:firstLineChars="200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十、其他重要事项的情况说明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（一）机关运行经费情况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年，克孜勒苏日报社本级及下属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家行政单位和  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家事业单位的机关运行经费财政拨款预算</w:t>
      </w:r>
      <w:r>
        <w:rPr>
          <w:rFonts w:ascii="仿宋_GB2312" w:hAnsi="宋体" w:eastAsia="仿宋_GB2312" w:cs="宋体"/>
          <w:kern w:val="0"/>
          <w:sz w:val="32"/>
          <w:szCs w:val="32"/>
        </w:rPr>
        <w:t>12.7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万元，比上年预算增加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万元，增长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%。主要原因是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eastAsia="zh-CN"/>
        </w:rPr>
        <w:t>勤俭节约控制开支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，故于去年持平。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（二）政府采购情况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年，克孜勒苏日报社政府采购预算</w:t>
      </w:r>
      <w:r>
        <w:rPr>
          <w:rFonts w:ascii="仿宋_GB2312" w:hAnsi="宋体" w:eastAsia="仿宋_GB2312" w:cs="宋体"/>
          <w:kern w:val="0"/>
          <w:sz w:val="32"/>
          <w:szCs w:val="32"/>
        </w:rPr>
        <w:t>111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万元，其中：政府采购货物预算</w:t>
      </w:r>
      <w:r>
        <w:rPr>
          <w:rFonts w:ascii="仿宋_GB2312" w:hAnsi="宋体" w:eastAsia="仿宋_GB2312" w:cs="宋体"/>
          <w:kern w:val="0"/>
          <w:sz w:val="32"/>
          <w:szCs w:val="32"/>
        </w:rPr>
        <w:t>93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万元，政府采购工程预算</w:t>
      </w:r>
      <w:r>
        <w:rPr>
          <w:rFonts w:ascii="仿宋_GB2312" w:hAnsi="宋体" w:eastAsia="仿宋_GB2312" w:cs="宋体"/>
          <w:kern w:val="0"/>
          <w:sz w:val="32"/>
          <w:szCs w:val="32"/>
        </w:rPr>
        <w:t>13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万元，政府采购服务预算</w:t>
      </w:r>
      <w:r>
        <w:rPr>
          <w:rFonts w:ascii="仿宋_GB2312" w:hAnsi="宋体" w:eastAsia="仿宋_GB2312" w:cs="宋体"/>
          <w:kern w:val="0"/>
          <w:sz w:val="32"/>
          <w:szCs w:val="32"/>
        </w:rPr>
        <w:t>5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仿宋_GB2312" w:eastAsia="仿宋_GB2312"/>
          <w:sz w:val="32"/>
        </w:rPr>
        <w:t>2021</w:t>
      </w:r>
      <w:r>
        <w:rPr>
          <w:rFonts w:hint="eastAsia" w:ascii="仿宋_GB2312" w:hAnsi="仿宋_GB2312" w:eastAsia="仿宋_GB2312"/>
          <w:sz w:val="32"/>
        </w:rPr>
        <w:t>年度本部门（单位）面向中小企业预留政府采购项目预算金额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万元，其中：面向小微企业预留政府采购项目预算金额</w:t>
      </w:r>
      <w:r>
        <w:rPr>
          <w:rFonts w:ascii="仿宋_GB2312" w:hAnsi="仿宋_GB2312" w:eastAsia="仿宋_GB2312"/>
          <w:sz w:val="32"/>
        </w:rPr>
        <w:t>0</w:t>
      </w:r>
      <w:r>
        <w:rPr>
          <w:rFonts w:hint="eastAsia" w:ascii="仿宋_GB2312" w:hAnsi="仿宋_GB2312" w:eastAsia="仿宋_GB2312"/>
          <w:sz w:val="32"/>
        </w:rPr>
        <w:t>万元。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（三）国有资产占用使用情况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截至</w:t>
      </w:r>
      <w:r>
        <w:rPr>
          <w:rFonts w:ascii="仿宋_GB2312" w:hAnsi="宋体" w:eastAsia="仿宋_GB2312" w:cs="宋体"/>
          <w:kern w:val="0"/>
          <w:sz w:val="32"/>
          <w:szCs w:val="32"/>
        </w:rPr>
        <w:t>2020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年底，克孜勒苏日报社及下属各预算单位占用使用国有资产总体情况为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1.房屋6262.5平方米，价值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1835.64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2.车辆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41.10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万元；其中：一般公务用车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万元；执法执勤用车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万元；其他车辆</w:t>
      </w:r>
      <w:r>
        <w:rPr>
          <w:rFonts w:ascii="仿宋_GB2312" w:hAnsi="宋体" w:eastAsia="仿宋_GB2312" w:cs="宋体"/>
          <w:kern w:val="0"/>
          <w:sz w:val="32"/>
          <w:szCs w:val="32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辆，价值</w:t>
      </w:r>
      <w:r>
        <w:rPr>
          <w:rFonts w:ascii="仿宋_GB2312" w:hAnsi="宋体" w:eastAsia="仿宋_GB2312" w:cs="宋体"/>
          <w:kern w:val="0"/>
          <w:sz w:val="32"/>
          <w:szCs w:val="32"/>
        </w:rPr>
        <w:t>41.10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3.办公家具价值66.88万元。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4.其他资产价值153.89万元。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单位价值50万元以上大型设备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年部门（单位）预算未安排购置车辆经费，安排购置50万元以上大型设备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台（套），单位价值100万元以上大型设备</w:t>
      </w:r>
      <w:r>
        <w:rPr>
          <w:rFonts w:ascii="仿宋_GB2312" w:hAnsi="宋体" w:eastAsia="仿宋_GB2312" w:cs="宋体"/>
          <w:kern w:val="0"/>
          <w:sz w:val="32"/>
          <w:szCs w:val="32"/>
        </w:rPr>
        <w:t>0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台（套）。</w:t>
      </w:r>
    </w:p>
    <w:p>
      <w:pPr>
        <w:spacing w:line="560" w:lineRule="exact"/>
        <w:ind w:firstLine="643" w:firstLineChars="200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（四）预算绩效情况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ascii="仿宋_GB2312" w:hAnsi="宋体" w:eastAsia="仿宋_GB2312" w:cs="宋体"/>
          <w:kern w:val="0"/>
          <w:sz w:val="32"/>
          <w:szCs w:val="32"/>
        </w:rPr>
        <w:t>2021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年度，本年度实行绩效管理的一般公共预算项目   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2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个，涉及预算金额</w:t>
      </w: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/>
        </w:rPr>
        <w:t>86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万元。具体情况见下表（按项目分别填报）。</w:t>
      </w: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spacing w:line="560" w:lineRule="exact"/>
        <w:ind w:firstLine="640" w:firstLineChars="200"/>
        <w:rPr>
          <w:rFonts w:ascii="仿宋_GB2312" w:hAnsi="宋体" w:eastAsia="仿宋_GB2312" w:cs="宋体"/>
          <w:kern w:val="0"/>
          <w:sz w:val="32"/>
          <w:szCs w:val="32"/>
        </w:rPr>
      </w:pPr>
    </w:p>
    <w:tbl>
      <w:tblPr>
        <w:tblStyle w:val="10"/>
        <w:tblW w:w="8306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306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仿宋_GB2312" w:hAnsi="宋体" w:eastAsia="仿宋_GB2312" w:cs="仿宋_GB2312"/>
                <w:b/>
                <w:color w:val="000000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306" w:type="dxa"/>
            <w:tcBorders>
              <w:top w:val="nil"/>
              <w:left w:val="nil"/>
              <w:bottom w:val="nil"/>
              <w:right w:val="nil"/>
            </w:tcBorders>
            <w:tcMar>
              <w:top w:w="12" w:type="dxa"/>
              <w:left w:w="12" w:type="dxa"/>
              <w:right w:w="12" w:type="dxa"/>
            </w:tcMar>
            <w:vAlign w:val="bottom"/>
          </w:tcPr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  <w:tbl>
            <w:tblPr>
              <w:tblStyle w:val="10"/>
              <w:tblW w:w="8285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6"/>
              <w:gridCol w:w="478"/>
              <w:gridCol w:w="1471"/>
              <w:gridCol w:w="3358"/>
              <w:gridCol w:w="2522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24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项目名称</w:t>
                  </w:r>
                </w:p>
              </w:tc>
              <w:tc>
                <w:tcPr>
                  <w:tcW w:w="588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报纸发行费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2405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预算单位</w:t>
                  </w:r>
                </w:p>
              </w:tc>
              <w:tc>
                <w:tcPr>
                  <w:tcW w:w="5880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克孜勒苏日报社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2405" w:type="dxa"/>
                  <w:gridSpan w:val="3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项目资金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（万元）</w:t>
                  </w:r>
                </w:p>
              </w:tc>
              <w:tc>
                <w:tcPr>
                  <w:tcW w:w="5880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年度资金总额：79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2405" w:type="dxa"/>
                  <w:gridSpan w:val="3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5880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      其中：财政拨款：79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2405" w:type="dxa"/>
                  <w:gridSpan w:val="3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5880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            其他资金：0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1" w:hRule="atLeast"/>
              </w:trPr>
              <w:tc>
                <w:tcPr>
                  <w:tcW w:w="45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总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体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目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标</w:t>
                  </w:r>
                </w:p>
              </w:tc>
              <w:tc>
                <w:tcPr>
                  <w:tcW w:w="7829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年度目标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49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7829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该项目资金计划用于支付2021年报纸发行经费，保证报纸的顺利印刷出版，圆满完成州委、州政府下达的各项宣传任务，拟于2021年年底完成《克孜勒苏日报》的印刷任务，确保高标准高质量的完成报纸印刷出版，努力实现读者满意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90" w:hRule="atLeast"/>
              </w:trPr>
              <w:tc>
                <w:tcPr>
                  <w:tcW w:w="45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绩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效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指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标</w:t>
                  </w:r>
                </w:p>
              </w:tc>
              <w:tc>
                <w:tcPr>
                  <w:tcW w:w="4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t>一级</w:t>
                  </w: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t>指标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二级指标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三级指标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指标值（包含数字及文字描述）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项目完成</w:t>
                  </w:r>
                </w:p>
              </w:tc>
              <w:tc>
                <w:tcPr>
                  <w:tcW w:w="1471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数量指标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完成翻译报纸期数（期）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240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公众号消息发布数量（条）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2920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质量指标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资金使用合规率（%）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100%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时效指标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开展翻译任务及时率（%）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100%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项目完成时间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2021年12月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成本指标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报纸发行经费（万元）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79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项目效益</w:t>
                  </w: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经济效益指标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社会效益指标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宣传政策知晓率（%）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≥95%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37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335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保障工作情况需要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有效保障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生态效益指标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45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71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可持续影响指标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丰富广大群众的精神文化生活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效果显著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3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满意度指标</w:t>
                  </w:r>
                </w:p>
              </w:tc>
              <w:tc>
                <w:tcPr>
                  <w:tcW w:w="1471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满意度指标</w:t>
                  </w:r>
                </w:p>
              </w:tc>
              <w:tc>
                <w:tcPr>
                  <w:tcW w:w="335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读者满意度（%）</w:t>
                  </w:r>
                </w:p>
              </w:tc>
              <w:tc>
                <w:tcPr>
                  <w:tcW w:w="2522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≥95%</w:t>
                  </w:r>
                </w:p>
              </w:tc>
            </w:tr>
          </w:tbl>
          <w:p>
            <w:pPr>
              <w:widowControl/>
              <w:spacing w:line="480" w:lineRule="exact"/>
              <w:jc w:val="center"/>
              <w:textAlignment w:val="bottom"/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</w:pP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bookmarkStart w:id="1" w:name="_GoBack"/>
            <w:bookmarkEnd w:id="1"/>
            <w:r>
              <w:rPr>
                <w:rFonts w:hint="eastAsia" w:ascii="仿宋_GB2312" w:hAnsi="宋体" w:eastAsia="仿宋_GB2312" w:cs="仿宋_GB2312"/>
                <w:b/>
                <w:color w:val="000000"/>
                <w:kern w:val="0"/>
                <w:sz w:val="32"/>
                <w:szCs w:val="32"/>
                <w:lang w:bidi="ar"/>
              </w:rPr>
              <w:t>项  目  支  出  绩  效  目  标  表</w:t>
            </w:r>
          </w:p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szCs w:val="22"/>
                <w:lang w:bidi="ar"/>
              </w:rPr>
              <w:t>（2021年）</w:t>
            </w:r>
          </w:p>
          <w:tbl>
            <w:tblPr>
              <w:tblStyle w:val="10"/>
              <w:tblW w:w="8102" w:type="dxa"/>
              <w:tblInd w:w="0" w:type="dxa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6"/>
              <w:gridCol w:w="467"/>
              <w:gridCol w:w="1438"/>
              <w:gridCol w:w="3278"/>
              <w:gridCol w:w="2463"/>
            </w:tblGrid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236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项目名称</w:t>
                  </w:r>
                </w:p>
              </w:tc>
              <w:tc>
                <w:tcPr>
                  <w:tcW w:w="574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联建工作经费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2361" w:type="dxa"/>
                  <w:gridSpan w:val="3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nil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预算单位</w:t>
                  </w:r>
                </w:p>
              </w:tc>
              <w:tc>
                <w:tcPr>
                  <w:tcW w:w="5741" w:type="dxa"/>
                  <w:gridSpan w:val="2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克孜勒苏日报社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2361" w:type="dxa"/>
                  <w:gridSpan w:val="3"/>
                  <w:vMerge w:val="restart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项目资金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（万元）</w:t>
                  </w:r>
                </w:p>
              </w:tc>
              <w:tc>
                <w:tcPr>
                  <w:tcW w:w="5741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年度资金总额：7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2361" w:type="dxa"/>
                  <w:gridSpan w:val="3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5741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      其中：财政拨款：7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2361" w:type="dxa"/>
                  <w:gridSpan w:val="3"/>
                  <w:vMerge w:val="continue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5741" w:type="dxa"/>
                  <w:gridSpan w:val="2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 xml:space="preserve">             其他资金：0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9" w:hRule="atLeast"/>
              </w:trPr>
              <w:tc>
                <w:tcPr>
                  <w:tcW w:w="45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总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体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目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标</w:t>
                  </w:r>
                </w:p>
              </w:tc>
              <w:tc>
                <w:tcPr>
                  <w:tcW w:w="764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年度目标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92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7646" w:type="dxa"/>
                  <w:gridSpan w:val="4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该项目资金7万元计划用于支付2021年群众工作经费，开展各项文化体育活动，慰问基层弱势群体，通过该项目的实施，大大提高公共服务水平，进一步推动社会稳定。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2" w:hRule="atLeast"/>
              </w:trPr>
              <w:tc>
                <w:tcPr>
                  <w:tcW w:w="456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绩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效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指</w:t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标</w:t>
                  </w:r>
                </w:p>
              </w:tc>
              <w:tc>
                <w:tcPr>
                  <w:tcW w:w="467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0"/>
                      <w:szCs w:val="20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t>一级</w:t>
                  </w: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br w:type="textWrapping"/>
                  </w:r>
                  <w:r>
                    <w:rPr>
                      <w:rFonts w:hint="eastAsia" w:ascii="宋体" w:hAnsi="宋体" w:cs="宋体"/>
                      <w:kern w:val="0"/>
                      <w:sz w:val="20"/>
                      <w:szCs w:val="20"/>
                    </w:rPr>
                    <w:t>指标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二级指标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三级指标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指标值（包含数字及文字描述）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restart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项目完成</w:t>
                  </w:r>
                </w:p>
              </w:tc>
              <w:tc>
                <w:tcPr>
                  <w:tcW w:w="1438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数量指标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举办文体活动次数（次）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3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慰问群众次数（次）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5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质量指标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资金使用合规率（%）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100%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vMerge w:val="restart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时效指标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各项工作开展及时率（%）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100%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vMerge w:val="continue"/>
                  <w:tcBorders>
                    <w:top w:val="nil"/>
                    <w:left w:val="single" w:color="auto" w:sz="4" w:space="0"/>
                    <w:bottom w:val="single" w:color="000000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项目完成时间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2021年12月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成本指标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群众工作经费（万元）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7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restart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项目效益</w:t>
                  </w: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经济效益指标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社会效益指标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保障工作情况需要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有效保障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生态效益指标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　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vMerge w:val="continue"/>
                  <w:tcBorders>
                    <w:top w:val="nil"/>
                    <w:left w:val="single" w:color="auto" w:sz="4" w:space="0"/>
                    <w:bottom w:val="nil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1438" w:type="dxa"/>
                  <w:tcBorders>
                    <w:top w:val="nil"/>
                    <w:left w:val="nil"/>
                    <w:bottom w:val="nil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可持续影响指标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维护社会稳定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有效维护</w:t>
                  </w:r>
                </w:p>
              </w:tc>
            </w:tr>
            <w:tr>
              <w:tblPrEx>
                <w:tblLayout w:type="fixed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31" w:hRule="atLeast"/>
              </w:trPr>
              <w:tc>
                <w:tcPr>
                  <w:tcW w:w="456" w:type="dxa"/>
                  <w:vMerge w:val="continue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</w:p>
              </w:tc>
              <w:tc>
                <w:tcPr>
                  <w:tcW w:w="467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满意度指标</w:t>
                  </w:r>
                </w:p>
              </w:tc>
              <w:tc>
                <w:tcPr>
                  <w:tcW w:w="1438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满意度指标</w:t>
                  </w:r>
                </w:p>
              </w:tc>
              <w:tc>
                <w:tcPr>
                  <w:tcW w:w="3278" w:type="dxa"/>
                  <w:tcBorders>
                    <w:top w:val="nil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left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群众满意度（%）</w:t>
                  </w:r>
                </w:p>
              </w:tc>
              <w:tc>
                <w:tcPr>
                  <w:tcW w:w="2463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auto" w:sz="4" w:space="0"/>
                  </w:tcBorders>
                  <w:shd w:val="clear" w:color="auto" w:fill="auto"/>
                  <w:vAlign w:val="center"/>
                </w:tcPr>
                <w:p>
                  <w:pPr>
                    <w:widowControl/>
                    <w:jc w:val="center"/>
                    <w:rPr>
                      <w:rFonts w:ascii="宋体" w:hAnsi="宋体" w:cs="宋体"/>
                      <w:kern w:val="0"/>
                      <w:sz w:val="24"/>
                    </w:rPr>
                  </w:pPr>
                  <w:r>
                    <w:rPr>
                      <w:rFonts w:hint="eastAsia" w:ascii="宋体" w:hAnsi="宋体" w:cs="宋体"/>
                      <w:kern w:val="0"/>
                      <w:sz w:val="24"/>
                    </w:rPr>
                    <w:t>≥95%</w:t>
                  </w:r>
                </w:p>
              </w:tc>
            </w:tr>
          </w:tbl>
          <w:p>
            <w:pPr>
              <w:widowControl/>
              <w:spacing w:line="480" w:lineRule="exact"/>
              <w:jc w:val="center"/>
              <w:textAlignment w:val="bottom"/>
              <w:rPr>
                <w:rFonts w:ascii="宋体" w:hAnsi="宋体" w:cs="宋体"/>
                <w:color w:val="000000"/>
                <w:sz w:val="22"/>
                <w:szCs w:val="22"/>
              </w:rPr>
            </w:pPr>
          </w:p>
        </w:tc>
      </w:tr>
    </w:tbl>
    <w:p>
      <w:pPr>
        <w:widowControl/>
        <w:spacing w:line="480" w:lineRule="exact"/>
        <w:rPr>
          <w:rFonts w:ascii="仿宋_GB2312" w:hAnsi="宋体" w:eastAsia="仿宋_GB2312" w:cs="宋体"/>
          <w:kern w:val="0"/>
          <w:sz w:val="32"/>
          <w:szCs w:val="32"/>
        </w:rPr>
        <w:sectPr>
          <w:pgSz w:w="11906" w:h="16838"/>
          <w:pgMar w:top="1440" w:right="1800" w:bottom="1440" w:left="1800" w:header="851" w:footer="992" w:gutter="0"/>
          <w:pgNumType w:fmt="numberInDash" w:start="24"/>
          <w:cols w:space="720" w:num="1"/>
          <w:docGrid w:type="lines" w:linePitch="312" w:charSpace="0"/>
        </w:sectPr>
      </w:pPr>
    </w:p>
    <w:p>
      <w:pPr>
        <w:widowControl/>
        <w:spacing w:line="480" w:lineRule="exact"/>
        <w:jc w:val="left"/>
        <w:rPr>
          <w:rFonts w:hint="eastAsia" w:ascii="楷体_GB2312" w:hAnsi="宋体" w:eastAsia="楷体_GB2312" w:cs="宋体"/>
          <w:b/>
          <w:kern w:val="0"/>
          <w:sz w:val="32"/>
          <w:szCs w:val="32"/>
        </w:rPr>
      </w:pPr>
    </w:p>
    <w:p>
      <w:pPr>
        <w:widowControl/>
        <w:spacing w:line="480" w:lineRule="exact"/>
        <w:ind w:firstLine="643" w:firstLineChars="200"/>
        <w:jc w:val="left"/>
        <w:rPr>
          <w:rFonts w:ascii="楷体_GB2312" w:hAnsi="宋体" w:eastAsia="楷体_GB2312" w:cs="宋体"/>
          <w:b/>
          <w:kern w:val="0"/>
          <w:sz w:val="32"/>
          <w:szCs w:val="32"/>
        </w:rPr>
      </w:pPr>
      <w:r>
        <w:rPr>
          <w:rFonts w:hint="eastAsia" w:ascii="楷体_GB2312" w:hAnsi="宋体" w:eastAsia="楷体_GB2312" w:cs="宋体"/>
          <w:b/>
          <w:kern w:val="0"/>
          <w:sz w:val="32"/>
          <w:szCs w:val="32"/>
        </w:rPr>
        <w:t>（五）其他需说明的事项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>克孜勒苏日报社无其他需说明的事项。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  <w:r>
        <w:rPr>
          <w:rFonts w:hint="eastAsia" w:ascii="黑体" w:hAnsi="黑体" w:eastAsia="黑体"/>
          <w:kern w:val="0"/>
          <w:sz w:val="32"/>
          <w:szCs w:val="32"/>
        </w:rPr>
        <w:t>第四部分  名词解释</w:t>
      </w:r>
    </w:p>
    <w:p>
      <w:pPr>
        <w:widowControl/>
        <w:spacing w:before="217" w:beforeLines="50" w:line="520" w:lineRule="exact"/>
        <w:jc w:val="center"/>
        <w:outlineLvl w:val="1"/>
        <w:rPr>
          <w:rFonts w:ascii="黑体" w:hAnsi="黑体" w:eastAsia="黑体"/>
          <w:kern w:val="0"/>
          <w:sz w:val="32"/>
          <w:szCs w:val="32"/>
        </w:rPr>
      </w:pPr>
    </w:p>
    <w:p>
      <w:pPr>
        <w:widowControl/>
        <w:spacing w:line="520" w:lineRule="exact"/>
        <w:ind w:firstLine="640"/>
        <w:jc w:val="left"/>
        <w:rPr>
          <w:rFonts w:ascii="黑体" w:hAnsi="宋体" w:eastAsia="黑体" w:cs="宋体"/>
          <w:kern w:val="0"/>
          <w:sz w:val="32"/>
          <w:szCs w:val="32"/>
        </w:rPr>
      </w:pPr>
      <w:r>
        <w:rPr>
          <w:rFonts w:hint="eastAsia" w:ascii="黑体" w:hAnsi="宋体" w:eastAsia="黑体" w:cs="宋体"/>
          <w:kern w:val="0"/>
          <w:sz w:val="32"/>
          <w:szCs w:val="32"/>
        </w:rPr>
        <w:t>名词解释：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一、财政拨款：</w:t>
      </w:r>
      <w:r>
        <w:rPr>
          <w:rFonts w:hint="eastAsia" w:ascii="仿宋_GB2312" w:eastAsia="仿宋_GB2312"/>
          <w:sz w:val="32"/>
          <w:szCs w:val="32"/>
        </w:rPr>
        <w:t>指由一般公共预算、政府性基金预算、国有资本经营预算安排的财政拨款数。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二、一般公共预算：</w:t>
      </w:r>
      <w:r>
        <w:rPr>
          <w:rFonts w:hint="eastAsia" w:ascii="仿宋_GB2312" w:eastAsia="仿宋_GB2312"/>
          <w:spacing w:val="-6"/>
          <w:sz w:val="32"/>
          <w:szCs w:val="32"/>
        </w:rPr>
        <w:t>包括公共财政拨款（补助）资金、专项收入。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三</w:t>
      </w:r>
      <w:r>
        <w:rPr>
          <w:rFonts w:hint="eastAsia" w:ascii="黑体" w:hAnsi="黑体" w:eastAsia="黑体"/>
          <w:sz w:val="32"/>
          <w:szCs w:val="32"/>
        </w:rPr>
        <w:t>、基本支出：</w:t>
      </w:r>
      <w:r>
        <w:rPr>
          <w:rFonts w:hint="eastAsia" w:ascii="仿宋_GB2312" w:eastAsia="仿宋_GB2312"/>
          <w:sz w:val="32"/>
          <w:szCs w:val="32"/>
        </w:rPr>
        <w:t>包括人员经费、商品和服务支出（定额）。其中，人员经费包括工资福利支出、对个人和家庭的补助。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四</w:t>
      </w:r>
      <w:r>
        <w:rPr>
          <w:rFonts w:hint="eastAsia" w:ascii="黑体" w:hAnsi="黑体" w:eastAsia="黑体"/>
          <w:sz w:val="32"/>
          <w:szCs w:val="32"/>
        </w:rPr>
        <w:t>、项目支出：</w:t>
      </w:r>
      <w:r>
        <w:rPr>
          <w:rFonts w:hint="eastAsia" w:ascii="仿宋_GB2312" w:eastAsia="仿宋_GB2312"/>
          <w:sz w:val="32"/>
          <w:szCs w:val="32"/>
        </w:rPr>
        <w:t>部门（单位）支出预算的组成部分，是自治区本级部门（单位）为完成其特定的行政任务或事业发展目标，在基本支出预算之外编制的年度项目支出计划。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五</w:t>
      </w:r>
      <w:r>
        <w:rPr>
          <w:rFonts w:hint="eastAsia" w:ascii="黑体" w:hAnsi="黑体" w:eastAsia="黑体"/>
          <w:sz w:val="32"/>
          <w:szCs w:val="32"/>
        </w:rPr>
        <w:t>、“三公”经费：</w:t>
      </w:r>
      <w:r>
        <w:rPr>
          <w:rFonts w:hint="eastAsia" w:ascii="仿宋_GB2312" w:eastAsia="仿宋_GB2312"/>
          <w:sz w:val="32"/>
          <w:szCs w:val="32"/>
        </w:rPr>
        <w:t>指自治州本级部门（单位）用一般公共预算财政拨款安排的因公出国（境）费、公务用车购置及运行费和公务接待费。其中，因公出国（境）费指单位公务出国（境）的住宿费、旅费、伙食补助费、杂费、培训费等支出；公务用车购置及运行费指单位公务用车购置费及租用费、燃料费、维修费、过路过桥费、保险费、安全奖励费用等支出；公务接待费指单位按规定开支的各类公务接待（含外宾接待）支出。</w:t>
      </w:r>
    </w:p>
    <w:p>
      <w:pPr>
        <w:spacing w:line="520" w:lineRule="exact"/>
        <w:ind w:firstLine="642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eastAsia="zh-CN"/>
        </w:rPr>
        <w:t>六</w:t>
      </w:r>
      <w:r>
        <w:rPr>
          <w:rFonts w:hint="eastAsia" w:ascii="黑体" w:hAnsi="黑体" w:eastAsia="黑体"/>
          <w:sz w:val="32"/>
          <w:szCs w:val="32"/>
        </w:rPr>
        <w:t>、机关运行经费：</w:t>
      </w:r>
      <w:r>
        <w:rPr>
          <w:rFonts w:hint="eastAsia" w:ascii="仿宋_GB2312" w:eastAsia="仿宋_GB2312"/>
          <w:sz w:val="32"/>
          <w:szCs w:val="32"/>
        </w:rPr>
        <w:t>指各部门（单位）的公用经费，包括办公及印刷费、邮电费、差旅费、会议费、福利费、日常维修费、专用材料及一般设备购置费、办公用房水电费、办公用房取暖费、办公用房物业管理费、公务用车运行维护费及其他费用。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  克孜勒苏日报社</w:t>
      </w:r>
    </w:p>
    <w:p>
      <w:pPr>
        <w:widowControl/>
        <w:spacing w:line="520" w:lineRule="exact"/>
        <w:jc w:val="left"/>
        <w:rPr>
          <w:rFonts w:ascii="仿宋_GB2312" w:hAnsi="宋体" w:eastAsia="仿宋_GB2312" w:cs="宋体"/>
          <w:kern w:val="0"/>
          <w:sz w:val="32"/>
          <w:szCs w:val="32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</w:rPr>
        <w:t xml:space="preserve">                                </w:t>
      </w:r>
      <w:r>
        <w:rPr>
          <w:rFonts w:ascii="仿宋_GB2312" w:hAnsi="宋体" w:eastAsia="仿宋_GB2312" w:cs="宋体"/>
          <w:kern w:val="0"/>
          <w:sz w:val="32"/>
          <w:szCs w:val="32"/>
        </w:rPr>
        <w:t xml:space="preserve">  2021年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2</w:t>
      </w:r>
      <w:r>
        <w:rPr>
          <w:rFonts w:ascii="仿宋_GB2312" w:hAnsi="宋体" w:eastAsia="仿宋_GB2312" w:cs="宋体"/>
          <w:kern w:val="0"/>
          <w:sz w:val="32"/>
          <w:szCs w:val="32"/>
        </w:rPr>
        <w:t>月</w:t>
      </w:r>
      <w:r>
        <w:rPr>
          <w:rFonts w:hint="eastAsia" w:ascii="仿宋_GB2312" w:hAnsi="宋体" w:eastAsia="仿宋_GB2312" w:cs="宋体"/>
          <w:kern w:val="0"/>
          <w:sz w:val="32"/>
          <w:szCs w:val="32"/>
        </w:rPr>
        <w:t>5</w:t>
      </w:r>
      <w:r>
        <w:rPr>
          <w:rFonts w:ascii="仿宋_GB2312" w:hAnsi="宋体" w:eastAsia="仿宋_GB2312" w:cs="宋体"/>
          <w:kern w:val="0"/>
          <w:sz w:val="32"/>
          <w:szCs w:val="32"/>
        </w:rPr>
        <w:t>日</w:t>
      </w:r>
    </w:p>
    <w:p/>
    <w:p/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56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left="3150" w:leftChars="1500"/>
        <w:jc w:val="center"/>
        <w:rPr>
          <w:rFonts w:ascii="仿宋_GB2312" w:eastAsia="仿宋_GB2312"/>
          <w:sz w:val="32"/>
          <w:szCs w:val="32"/>
        </w:rPr>
      </w:pPr>
    </w:p>
    <w:sectPr>
      <w:footerReference r:id="rId5" w:type="default"/>
      <w:footerReference r:id="rId6" w:type="even"/>
      <w:pgSz w:w="11906" w:h="16838"/>
      <w:pgMar w:top="2041" w:right="1276" w:bottom="2041" w:left="1276" w:header="851" w:footer="1814" w:gutter="0"/>
      <w:pgNumType w:fmt="numberInDash"/>
      <w:cols w:space="720" w:num="1"/>
      <w:docGrid w:type="lines" w:linePitch="435" w:charSpace="-167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21 -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rPr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Fonts w:ascii="宋体" w:hAnsi="宋体" w:eastAsia="宋体"/>
        <w:sz w:val="28"/>
        <w:szCs w:val="28"/>
      </w:rPr>
      <w:instrText xml:space="preserve">PAGE   \* MERGEFORMAT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Fonts w:ascii="宋体" w:hAnsi="宋体" w:eastAsia="宋体"/>
        <w:sz w:val="28"/>
        <w:szCs w:val="28"/>
        <w:lang w:val="zh-CN"/>
      </w:rPr>
      <w:t>-</w:t>
    </w:r>
    <w:r>
      <w:rPr>
        <w:rFonts w:ascii="宋体" w:hAnsi="宋体" w:eastAsia="宋体"/>
        <w:sz w:val="28"/>
        <w:szCs w:val="28"/>
      </w:rPr>
      <w:t xml:space="preserve"> 20 -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9631" w:y="37"/>
      <w:jc w:val="right"/>
      <w:rPr>
        <w:rStyle w:val="9"/>
        <w:rFonts w:ascii="宋体" w:hAnsi="宋体" w:eastAsia="宋体"/>
        <w:sz w:val="28"/>
      </w:rPr>
    </w:pPr>
    <w:r>
      <w:rPr>
        <w:rFonts w:ascii="宋体" w:hAnsi="宋体" w:eastAsia="宋体"/>
        <w:sz w:val="28"/>
      </w:rPr>
      <w:fldChar w:fldCharType="begin"/>
    </w:r>
    <w:r>
      <w:rPr>
        <w:rStyle w:val="9"/>
        <w:rFonts w:ascii="宋体" w:hAnsi="宋体" w:eastAsia="宋体"/>
        <w:sz w:val="28"/>
      </w:rPr>
      <w:instrText xml:space="preserve"> PAGE </w:instrText>
    </w:r>
    <w:r>
      <w:rPr>
        <w:rFonts w:ascii="宋体" w:hAnsi="宋体" w:eastAsia="宋体"/>
        <w:sz w:val="28"/>
      </w:rPr>
      <w:fldChar w:fldCharType="separate"/>
    </w:r>
    <w:r>
      <w:rPr>
        <w:rStyle w:val="9"/>
        <w:rFonts w:ascii="宋体" w:hAnsi="宋体" w:eastAsia="宋体"/>
        <w:sz w:val="28"/>
      </w:rPr>
      <w:t>- 33 -</w:t>
    </w:r>
    <w:r>
      <w:rPr>
        <w:rFonts w:ascii="宋体" w:hAnsi="宋体" w:eastAsia="宋体"/>
        <w:sz w:val="28"/>
      </w:rPr>
      <w:fldChar w:fldCharType="end"/>
    </w:r>
    <w:r>
      <w:rPr>
        <w:rStyle w:val="9"/>
        <w:rFonts w:hint="eastAsia" w:ascii="宋体" w:hAnsi="宋体" w:eastAsia="宋体"/>
        <w:sz w:val="28"/>
      </w:rPr>
      <w:t xml:space="preserve"> </w:t>
    </w:r>
  </w:p>
  <w:p>
    <w:pPr>
      <w:pStyle w:val="3"/>
      <w:ind w:right="360" w:firstLine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page" w:x="1756" w:y="37"/>
      <w:rPr>
        <w:rStyle w:val="9"/>
        <w:rFonts w:ascii="宋体" w:hAnsi="宋体" w:eastAsia="宋体"/>
        <w:sz w:val="28"/>
        <w:szCs w:val="28"/>
      </w:rPr>
    </w:pPr>
    <w:r>
      <w:rPr>
        <w:rFonts w:ascii="宋体" w:hAnsi="宋体" w:eastAsia="宋体"/>
        <w:sz w:val="28"/>
        <w:szCs w:val="28"/>
      </w:rPr>
      <w:fldChar w:fldCharType="begin"/>
    </w:r>
    <w:r>
      <w:rPr>
        <w:rStyle w:val="9"/>
        <w:rFonts w:ascii="宋体" w:hAnsi="宋体" w:eastAsia="宋体"/>
        <w:sz w:val="28"/>
        <w:szCs w:val="28"/>
      </w:rPr>
      <w:instrText xml:space="preserve">PAGE  </w:instrText>
    </w:r>
    <w:r>
      <w:rPr>
        <w:rFonts w:ascii="宋体" w:hAnsi="宋体" w:eastAsia="宋体"/>
        <w:sz w:val="28"/>
        <w:szCs w:val="28"/>
      </w:rPr>
      <w:fldChar w:fldCharType="separate"/>
    </w:r>
    <w:r>
      <w:rPr>
        <w:rStyle w:val="9"/>
        <w:rFonts w:ascii="宋体" w:hAnsi="宋体" w:eastAsia="宋体"/>
        <w:sz w:val="28"/>
        <w:szCs w:val="28"/>
      </w:rPr>
      <w:t>- 34 -</w:t>
    </w:r>
    <w:r>
      <w:rPr>
        <w:rFonts w:ascii="宋体" w:hAnsi="宋体" w:eastAsia="宋体"/>
        <w:sz w:val="28"/>
        <w:szCs w:val="28"/>
      </w:rPr>
      <w:fldChar w:fldCharType="end"/>
    </w:r>
  </w:p>
  <w:p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HorizontalSpacing w:val="213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5BF"/>
    <w:rsid w:val="00073E2D"/>
    <w:rsid w:val="0009522A"/>
    <w:rsid w:val="000C2C0D"/>
    <w:rsid w:val="00121764"/>
    <w:rsid w:val="001410DA"/>
    <w:rsid w:val="001662FE"/>
    <w:rsid w:val="00172C01"/>
    <w:rsid w:val="00186398"/>
    <w:rsid w:val="001D3009"/>
    <w:rsid w:val="001F6978"/>
    <w:rsid w:val="002166BA"/>
    <w:rsid w:val="00253D79"/>
    <w:rsid w:val="00285941"/>
    <w:rsid w:val="002B360F"/>
    <w:rsid w:val="003156E5"/>
    <w:rsid w:val="003215D6"/>
    <w:rsid w:val="00324290"/>
    <w:rsid w:val="00396814"/>
    <w:rsid w:val="003B4B5F"/>
    <w:rsid w:val="003C61E3"/>
    <w:rsid w:val="003C7617"/>
    <w:rsid w:val="003E32A8"/>
    <w:rsid w:val="004005CD"/>
    <w:rsid w:val="00432267"/>
    <w:rsid w:val="00493EEC"/>
    <w:rsid w:val="004B5A44"/>
    <w:rsid w:val="004C2185"/>
    <w:rsid w:val="004D2619"/>
    <w:rsid w:val="004F62F9"/>
    <w:rsid w:val="00515913"/>
    <w:rsid w:val="00520BE1"/>
    <w:rsid w:val="00520D5A"/>
    <w:rsid w:val="005252A5"/>
    <w:rsid w:val="00595CBD"/>
    <w:rsid w:val="005E267F"/>
    <w:rsid w:val="006B6A8C"/>
    <w:rsid w:val="006C2F24"/>
    <w:rsid w:val="006D5EAD"/>
    <w:rsid w:val="00704397"/>
    <w:rsid w:val="0070465C"/>
    <w:rsid w:val="007219F8"/>
    <w:rsid w:val="007A5D7D"/>
    <w:rsid w:val="007C3C01"/>
    <w:rsid w:val="007E2CEA"/>
    <w:rsid w:val="00896586"/>
    <w:rsid w:val="009035BA"/>
    <w:rsid w:val="00907796"/>
    <w:rsid w:val="0096028F"/>
    <w:rsid w:val="0099744C"/>
    <w:rsid w:val="009C6198"/>
    <w:rsid w:val="009E4CEA"/>
    <w:rsid w:val="009F03C6"/>
    <w:rsid w:val="009F110C"/>
    <w:rsid w:val="00A13AF8"/>
    <w:rsid w:val="00A9706D"/>
    <w:rsid w:val="00B127E0"/>
    <w:rsid w:val="00B74F37"/>
    <w:rsid w:val="00B8297F"/>
    <w:rsid w:val="00BA582F"/>
    <w:rsid w:val="00C117E5"/>
    <w:rsid w:val="00C83701"/>
    <w:rsid w:val="00CA1510"/>
    <w:rsid w:val="00CA4E1E"/>
    <w:rsid w:val="00CA7EA3"/>
    <w:rsid w:val="00CF6D73"/>
    <w:rsid w:val="00D56673"/>
    <w:rsid w:val="00D91FF0"/>
    <w:rsid w:val="00D96D5F"/>
    <w:rsid w:val="00DA7D8E"/>
    <w:rsid w:val="00DC05BF"/>
    <w:rsid w:val="00DF5C6B"/>
    <w:rsid w:val="00E72E1E"/>
    <w:rsid w:val="00ED5FF2"/>
    <w:rsid w:val="00EE1A97"/>
    <w:rsid w:val="00EF1EE3"/>
    <w:rsid w:val="00F23808"/>
    <w:rsid w:val="00F54FE8"/>
    <w:rsid w:val="00F830A1"/>
    <w:rsid w:val="00F83503"/>
    <w:rsid w:val="00F90952"/>
    <w:rsid w:val="01117A54"/>
    <w:rsid w:val="01873ED3"/>
    <w:rsid w:val="0264069A"/>
    <w:rsid w:val="02A860D5"/>
    <w:rsid w:val="030173FA"/>
    <w:rsid w:val="034F3164"/>
    <w:rsid w:val="038B45B0"/>
    <w:rsid w:val="03E27A32"/>
    <w:rsid w:val="03E9346B"/>
    <w:rsid w:val="04744924"/>
    <w:rsid w:val="04CF6D13"/>
    <w:rsid w:val="05AE7950"/>
    <w:rsid w:val="05E2225B"/>
    <w:rsid w:val="06C3595C"/>
    <w:rsid w:val="07B06D4A"/>
    <w:rsid w:val="097044DD"/>
    <w:rsid w:val="0ACE75DD"/>
    <w:rsid w:val="0BB10948"/>
    <w:rsid w:val="0BB1559B"/>
    <w:rsid w:val="0BF73125"/>
    <w:rsid w:val="0C7059FC"/>
    <w:rsid w:val="0D7F00ED"/>
    <w:rsid w:val="0E5730E3"/>
    <w:rsid w:val="0E7F253B"/>
    <w:rsid w:val="0EE52118"/>
    <w:rsid w:val="100778E6"/>
    <w:rsid w:val="1089009C"/>
    <w:rsid w:val="10F179A5"/>
    <w:rsid w:val="11E912F0"/>
    <w:rsid w:val="120A7B20"/>
    <w:rsid w:val="12B84114"/>
    <w:rsid w:val="130F355A"/>
    <w:rsid w:val="147A67EC"/>
    <w:rsid w:val="147D4BE8"/>
    <w:rsid w:val="14DF7C03"/>
    <w:rsid w:val="16834306"/>
    <w:rsid w:val="1758041B"/>
    <w:rsid w:val="1771782B"/>
    <w:rsid w:val="17FB6A4B"/>
    <w:rsid w:val="195F6DB1"/>
    <w:rsid w:val="19660FDB"/>
    <w:rsid w:val="1AA30F5D"/>
    <w:rsid w:val="1AB2166E"/>
    <w:rsid w:val="1ADB67D3"/>
    <w:rsid w:val="1B676D84"/>
    <w:rsid w:val="1C572FCC"/>
    <w:rsid w:val="1D365215"/>
    <w:rsid w:val="1D91623A"/>
    <w:rsid w:val="1DB1175C"/>
    <w:rsid w:val="1EAE1D3D"/>
    <w:rsid w:val="1F5752BC"/>
    <w:rsid w:val="1FF74DBD"/>
    <w:rsid w:val="20590477"/>
    <w:rsid w:val="20E730CF"/>
    <w:rsid w:val="211E6F69"/>
    <w:rsid w:val="219C7068"/>
    <w:rsid w:val="224954A4"/>
    <w:rsid w:val="22614376"/>
    <w:rsid w:val="22B923BA"/>
    <w:rsid w:val="234B1B1D"/>
    <w:rsid w:val="2352611D"/>
    <w:rsid w:val="23BF2C15"/>
    <w:rsid w:val="24A13E71"/>
    <w:rsid w:val="24BB2579"/>
    <w:rsid w:val="25285192"/>
    <w:rsid w:val="279D542C"/>
    <w:rsid w:val="289B7DE7"/>
    <w:rsid w:val="289D0C22"/>
    <w:rsid w:val="28FC27B8"/>
    <w:rsid w:val="29075E5F"/>
    <w:rsid w:val="296E43A5"/>
    <w:rsid w:val="29D330F4"/>
    <w:rsid w:val="2A2D19BC"/>
    <w:rsid w:val="2BE066ED"/>
    <w:rsid w:val="2C1465CB"/>
    <w:rsid w:val="2CCA5EF5"/>
    <w:rsid w:val="2E4E54CC"/>
    <w:rsid w:val="2F5713CB"/>
    <w:rsid w:val="2F7D53A6"/>
    <w:rsid w:val="30634FAB"/>
    <w:rsid w:val="30AE496D"/>
    <w:rsid w:val="30C20208"/>
    <w:rsid w:val="30E768EC"/>
    <w:rsid w:val="313B46FC"/>
    <w:rsid w:val="31AE6A5F"/>
    <w:rsid w:val="32772B00"/>
    <w:rsid w:val="33214D0D"/>
    <w:rsid w:val="33EE0A0C"/>
    <w:rsid w:val="34342B89"/>
    <w:rsid w:val="34383D49"/>
    <w:rsid w:val="346770B5"/>
    <w:rsid w:val="34D01E4E"/>
    <w:rsid w:val="34E11FC5"/>
    <w:rsid w:val="35127A0F"/>
    <w:rsid w:val="35BE5AB1"/>
    <w:rsid w:val="364260C1"/>
    <w:rsid w:val="37531CA0"/>
    <w:rsid w:val="376728FD"/>
    <w:rsid w:val="38C578ED"/>
    <w:rsid w:val="38DB013F"/>
    <w:rsid w:val="39223257"/>
    <w:rsid w:val="3A6535AF"/>
    <w:rsid w:val="3A7C1F50"/>
    <w:rsid w:val="3BAF3482"/>
    <w:rsid w:val="3C617D9F"/>
    <w:rsid w:val="3E332197"/>
    <w:rsid w:val="3E9A3B28"/>
    <w:rsid w:val="3F3E58B3"/>
    <w:rsid w:val="3FA8796F"/>
    <w:rsid w:val="40003733"/>
    <w:rsid w:val="402D4090"/>
    <w:rsid w:val="40310E5F"/>
    <w:rsid w:val="4066488F"/>
    <w:rsid w:val="40BB6AD5"/>
    <w:rsid w:val="40DD031A"/>
    <w:rsid w:val="415B3BC7"/>
    <w:rsid w:val="41611695"/>
    <w:rsid w:val="41B30096"/>
    <w:rsid w:val="41B720BC"/>
    <w:rsid w:val="420D01E3"/>
    <w:rsid w:val="428C3935"/>
    <w:rsid w:val="429D4225"/>
    <w:rsid w:val="42E17E95"/>
    <w:rsid w:val="43286F07"/>
    <w:rsid w:val="43F26C4F"/>
    <w:rsid w:val="45B222E1"/>
    <w:rsid w:val="45B9739E"/>
    <w:rsid w:val="463A0457"/>
    <w:rsid w:val="49130CCD"/>
    <w:rsid w:val="49382B5E"/>
    <w:rsid w:val="49435495"/>
    <w:rsid w:val="49856174"/>
    <w:rsid w:val="4ADC74C5"/>
    <w:rsid w:val="4AE53B2E"/>
    <w:rsid w:val="4B0A3EA5"/>
    <w:rsid w:val="4B115B89"/>
    <w:rsid w:val="4BAF352E"/>
    <w:rsid w:val="4BB14C4C"/>
    <w:rsid w:val="4BF97E95"/>
    <w:rsid w:val="4C277E91"/>
    <w:rsid w:val="4CE018D1"/>
    <w:rsid w:val="4CFE03AB"/>
    <w:rsid w:val="4D395448"/>
    <w:rsid w:val="4EAE44F0"/>
    <w:rsid w:val="4EB17770"/>
    <w:rsid w:val="4EE514F8"/>
    <w:rsid w:val="4EF92D0D"/>
    <w:rsid w:val="4F481068"/>
    <w:rsid w:val="4F481AA6"/>
    <w:rsid w:val="505949ED"/>
    <w:rsid w:val="506069AD"/>
    <w:rsid w:val="5135628F"/>
    <w:rsid w:val="51A77AD5"/>
    <w:rsid w:val="52D83B2E"/>
    <w:rsid w:val="544E1752"/>
    <w:rsid w:val="54AA671B"/>
    <w:rsid w:val="556F5DCF"/>
    <w:rsid w:val="55B2307D"/>
    <w:rsid w:val="56063FFA"/>
    <w:rsid w:val="5693350C"/>
    <w:rsid w:val="56D77673"/>
    <w:rsid w:val="57D800D9"/>
    <w:rsid w:val="58707C15"/>
    <w:rsid w:val="589D315E"/>
    <w:rsid w:val="58A346DA"/>
    <w:rsid w:val="58D23618"/>
    <w:rsid w:val="59C33544"/>
    <w:rsid w:val="59D10A0E"/>
    <w:rsid w:val="5A2A5FE5"/>
    <w:rsid w:val="5AE923E7"/>
    <w:rsid w:val="5BA27EC3"/>
    <w:rsid w:val="5D465F96"/>
    <w:rsid w:val="5D4C5DC7"/>
    <w:rsid w:val="5E9E4374"/>
    <w:rsid w:val="5F8E2037"/>
    <w:rsid w:val="5F941C24"/>
    <w:rsid w:val="60311C41"/>
    <w:rsid w:val="60494F7D"/>
    <w:rsid w:val="61202A32"/>
    <w:rsid w:val="61782D32"/>
    <w:rsid w:val="619C467C"/>
    <w:rsid w:val="620337B9"/>
    <w:rsid w:val="62275082"/>
    <w:rsid w:val="625812EE"/>
    <w:rsid w:val="62D26928"/>
    <w:rsid w:val="63291EAE"/>
    <w:rsid w:val="63D1256F"/>
    <w:rsid w:val="64080EFF"/>
    <w:rsid w:val="643C4815"/>
    <w:rsid w:val="64875F26"/>
    <w:rsid w:val="648E2057"/>
    <w:rsid w:val="64AA4726"/>
    <w:rsid w:val="657857FB"/>
    <w:rsid w:val="66025387"/>
    <w:rsid w:val="661A7AE6"/>
    <w:rsid w:val="67FE0959"/>
    <w:rsid w:val="69494BCF"/>
    <w:rsid w:val="69754624"/>
    <w:rsid w:val="69AE20A4"/>
    <w:rsid w:val="69DF65ED"/>
    <w:rsid w:val="6A13634C"/>
    <w:rsid w:val="6A751A4B"/>
    <w:rsid w:val="6B3C0CDC"/>
    <w:rsid w:val="6B672B4B"/>
    <w:rsid w:val="6B6F42D9"/>
    <w:rsid w:val="6B93561A"/>
    <w:rsid w:val="6C5F62E5"/>
    <w:rsid w:val="6CDF4C48"/>
    <w:rsid w:val="6D4774E4"/>
    <w:rsid w:val="6E4B5CEF"/>
    <w:rsid w:val="6E4D13D5"/>
    <w:rsid w:val="6E516A57"/>
    <w:rsid w:val="6E7F225A"/>
    <w:rsid w:val="70802973"/>
    <w:rsid w:val="70C74F2B"/>
    <w:rsid w:val="70DF5D03"/>
    <w:rsid w:val="724D63B7"/>
    <w:rsid w:val="73693085"/>
    <w:rsid w:val="74793B29"/>
    <w:rsid w:val="74E56405"/>
    <w:rsid w:val="75567BBE"/>
    <w:rsid w:val="760F28C0"/>
    <w:rsid w:val="761B3082"/>
    <w:rsid w:val="768329A4"/>
    <w:rsid w:val="775B4760"/>
    <w:rsid w:val="776B53DA"/>
    <w:rsid w:val="776F66BC"/>
    <w:rsid w:val="77A86624"/>
    <w:rsid w:val="78514C7F"/>
    <w:rsid w:val="785431FA"/>
    <w:rsid w:val="789458CB"/>
    <w:rsid w:val="7AC23BA7"/>
    <w:rsid w:val="7CFE17E4"/>
    <w:rsid w:val="7E631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10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4"/>
    <w:semiHidden/>
    <w:qFormat/>
    <w:uiPriority w:val="0"/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1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Indent 3"/>
    <w:basedOn w:val="1"/>
    <w:link w:val="15"/>
    <w:qFormat/>
    <w:uiPriority w:val="0"/>
    <w:pPr>
      <w:pBdr>
        <w:top w:val="single" w:color="auto" w:sz="12" w:space="1"/>
        <w:bottom w:val="single" w:color="auto" w:sz="12" w:space="1"/>
      </w:pBdr>
      <w:spacing w:line="600" w:lineRule="exact"/>
      <w:ind w:left="1280" w:hanging="1280" w:hangingChars="400"/>
    </w:pPr>
    <w:rPr>
      <w:rFonts w:eastAsia="仿宋_GB2312" w:asciiTheme="minorHAnsi" w:hAnsiTheme="minorHAnsi" w:cstheme="minorBidi"/>
      <w:sz w:val="32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8">
    <w:name w:val="Strong"/>
    <w:qFormat/>
    <w:uiPriority w:val="0"/>
    <w:rPr>
      <w:rFonts w:cs="Times New Roman"/>
      <w:b/>
      <w:bCs/>
    </w:rPr>
  </w:style>
  <w:style w:type="character" w:styleId="9">
    <w:name w:val="page number"/>
    <w:basedOn w:val="7"/>
    <w:qFormat/>
    <w:uiPriority w:val="0"/>
  </w:style>
  <w:style w:type="table" w:styleId="11">
    <w:name w:val="Table Grid"/>
    <w:basedOn w:val="10"/>
    <w:qFormat/>
    <w:uiPriority w:val="59"/>
    <w:rPr>
      <w:rFonts w:ascii="Calibri" w:hAnsi="Calibri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12">
    <w:name w:val="页眉 字符"/>
    <w:basedOn w:val="7"/>
    <w:link w:val="4"/>
    <w:qFormat/>
    <w:uiPriority w:val="0"/>
    <w:rPr>
      <w:sz w:val="18"/>
      <w:szCs w:val="18"/>
    </w:rPr>
  </w:style>
  <w:style w:type="character" w:customStyle="1" w:styleId="13">
    <w:name w:val="页脚 字符"/>
    <w:basedOn w:val="7"/>
    <w:link w:val="3"/>
    <w:qFormat/>
    <w:uiPriority w:val="99"/>
    <w:rPr>
      <w:sz w:val="18"/>
      <w:szCs w:val="18"/>
    </w:rPr>
  </w:style>
  <w:style w:type="character" w:customStyle="1" w:styleId="14">
    <w:name w:val="批注框文本 字符"/>
    <w:link w:val="2"/>
    <w:semiHidden/>
    <w:qFormat/>
    <w:uiPriority w:val="0"/>
    <w:rPr>
      <w:sz w:val="18"/>
      <w:szCs w:val="18"/>
    </w:rPr>
  </w:style>
  <w:style w:type="character" w:customStyle="1" w:styleId="15">
    <w:name w:val="正文文本缩进 3 字符"/>
    <w:link w:val="5"/>
    <w:qFormat/>
    <w:uiPriority w:val="0"/>
    <w:rPr>
      <w:rFonts w:eastAsia="仿宋_GB2312"/>
      <w:sz w:val="32"/>
      <w:szCs w:val="24"/>
    </w:rPr>
  </w:style>
  <w:style w:type="paragraph" w:customStyle="1" w:styleId="16">
    <w:name w:val="普通(网站)2"/>
    <w:basedOn w:val="1"/>
    <w:qFormat/>
    <w:uiPriority w:val="0"/>
    <w:rPr>
      <w:rFonts w:ascii="Calibri" w:hAnsi="Calibri" w:cs="黑体"/>
      <w:sz w:val="24"/>
    </w:rPr>
  </w:style>
  <w:style w:type="character" w:customStyle="1" w:styleId="17">
    <w:name w:val="正文文本缩进 3 字符1"/>
    <w:basedOn w:val="7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paragraph" w:styleId="18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19">
    <w:name w:val="普通(网站)3"/>
    <w:basedOn w:val="1"/>
    <w:qFormat/>
    <w:uiPriority w:val="0"/>
    <w:rPr>
      <w:rFonts w:ascii="Calibri" w:hAnsi="Calibri" w:cs="黑体"/>
      <w:sz w:val="24"/>
    </w:rPr>
  </w:style>
  <w:style w:type="character" w:customStyle="1" w:styleId="20">
    <w:name w:val="批注框文本 字符1"/>
    <w:basedOn w:val="7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21">
    <w:name w:val="f1"/>
    <w:basedOn w:val="1"/>
    <w:qFormat/>
    <w:uiPriority w:val="0"/>
    <w:pPr>
      <w:widowControl/>
      <w:spacing w:before="100" w:beforeAutospacing="1" w:after="100" w:afterAutospacing="1"/>
      <w:jc w:val="center"/>
    </w:pPr>
    <w:rPr>
      <w:rFonts w:ascii="Helvetica" w:hAnsi="Helvetica" w:cs="Helvetica"/>
      <w:b/>
      <w:bCs/>
      <w:color w:val="FF8080"/>
      <w:spacing w:val="160"/>
      <w:kern w:val="0"/>
      <w:sz w:val="80"/>
      <w:szCs w:val="80"/>
    </w:rPr>
  </w:style>
  <w:style w:type="paragraph" w:customStyle="1" w:styleId="22">
    <w:name w:val="普通(网站)1"/>
    <w:basedOn w:val="1"/>
    <w:qFormat/>
    <w:uiPriority w:val="0"/>
    <w:rPr>
      <w:rFonts w:ascii="Calibri" w:hAnsi="Calibri" w:cs="黑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1858</Words>
  <Characters>10596</Characters>
  <Lines>88</Lines>
  <Paragraphs>24</Paragraphs>
  <TotalTime>4</TotalTime>
  <ScaleCrop>false</ScaleCrop>
  <LinksUpToDate>false</LinksUpToDate>
  <CharactersWithSpaces>12430</CharactersWithSpaces>
  <Application>WPS Office_10.8.2.6948_F1E327BC-269C-435d-A152-05C5408002CA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2021-01-27T08:28:00Z</dcterms:created>
  <dc:creator>薛理升</dc:creator>
  <cp:lastModifiedBy>Administrator</cp:lastModifiedBy>
  <dcterms:modified xsi:type="dcterms:W3CDTF">2021-03-01T10:38:50Z</dcterms:modified>
  <cp:revision>54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2052-10.8.2.6948</vt:lpwstr>
  </property>
</Properties>
</file>