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仿宋_GB2312" w:hAnsi="仿宋" w:eastAsia="仿宋_GB2312"/>
          <w:sz w:val="32"/>
          <w:szCs w:val="32"/>
          <w:highlight w:val="none"/>
        </w:rPr>
      </w:pPr>
    </w:p>
    <w:p>
      <w:pPr>
        <w:rPr>
          <w:rFonts w:ascii="宋体" w:hAnsi="宋体" w:cs="宋体"/>
          <w:b/>
          <w:bCs/>
          <w:kern w:val="0"/>
          <w:sz w:val="44"/>
          <w:szCs w:val="44"/>
          <w:highlight w:val="none"/>
        </w:rPr>
      </w:pPr>
      <w:bookmarkStart w:id="0" w:name="csmb"/>
      <w:r>
        <w:rPr>
          <w:rFonts w:hint="eastAsia" w:ascii="楷体_GB2312" w:hAnsi="黑体" w:eastAsia="楷体_GB2312"/>
          <w:spacing w:val="-30000"/>
          <w:w w:val="1"/>
          <w:sz w:val="10"/>
          <w:szCs w:val="10"/>
          <w:highlight w:val="none"/>
        </w:rPr>
        <w:t>厅领导，本厅有关处室</w:t>
      </w:r>
      <w:bookmarkEnd w:id="0"/>
      <w:bookmarkStart w:id="1" w:name="yinfadanwei"/>
      <w:r>
        <w:rPr>
          <w:rFonts w:hint="eastAsia" w:ascii="楷体_GB2312" w:hAnsi="黑体" w:eastAsia="楷体_GB2312"/>
          <w:spacing w:val="-30000"/>
          <w:w w:val="1"/>
          <w:sz w:val="10"/>
          <w:szCs w:val="10"/>
          <w:highlight w:val="none"/>
        </w:rPr>
        <w:t>新疆维吾尔自治区财政厅</w:t>
      </w:r>
      <w:bookmarkEnd w:id="1"/>
      <w:r>
        <w:rPr>
          <w:rFonts w:hint="eastAsia" w:ascii="黑体" w:hAnsi="黑体" w:eastAsia="黑体"/>
          <w:sz w:val="32"/>
          <w:szCs w:val="32"/>
          <w:highlight w:val="none"/>
        </w:rPr>
        <w:t>附件：</w:t>
      </w:r>
    </w:p>
    <w:p>
      <w:pPr>
        <w:rPr>
          <w:rFonts w:ascii="宋体" w:hAnsi="宋体" w:cs="宋体"/>
          <w:b/>
          <w:bCs/>
          <w:kern w:val="0"/>
          <w:sz w:val="44"/>
          <w:szCs w:val="44"/>
          <w:highlight w:val="none"/>
        </w:rPr>
      </w:pPr>
    </w:p>
    <w:p>
      <w:pPr>
        <w:rPr>
          <w:rFonts w:ascii="宋体" w:hAnsi="宋体" w:cs="宋体"/>
          <w:b/>
          <w:bCs/>
          <w:kern w:val="0"/>
          <w:sz w:val="44"/>
          <w:szCs w:val="44"/>
          <w:highlight w:val="none"/>
        </w:rPr>
      </w:pPr>
    </w:p>
    <w:p>
      <w:pPr>
        <w:rPr>
          <w:rFonts w:ascii="宋体" w:hAnsi="宋体" w:cs="宋体"/>
          <w:b/>
          <w:bCs/>
          <w:kern w:val="0"/>
          <w:sz w:val="44"/>
          <w:szCs w:val="44"/>
          <w:highlight w:val="none"/>
        </w:rPr>
      </w:pPr>
    </w:p>
    <w:p>
      <w:pPr>
        <w:rPr>
          <w:rFonts w:ascii="黑体" w:hAnsi="黑体" w:eastAsia="黑体"/>
          <w:sz w:val="32"/>
          <w:szCs w:val="32"/>
          <w:highlight w:val="none"/>
        </w:rPr>
      </w:pPr>
    </w:p>
    <w:p>
      <w:pPr>
        <w:rPr>
          <w:rFonts w:ascii="宋体" w:hAnsi="宋体" w:cs="宋体"/>
          <w:b/>
          <w:bCs/>
          <w:kern w:val="0"/>
          <w:sz w:val="44"/>
          <w:szCs w:val="44"/>
          <w:highlight w:val="none"/>
        </w:rPr>
      </w:pPr>
    </w:p>
    <w:p>
      <w:pPr>
        <w:widowControl/>
        <w:spacing w:before="100" w:beforeAutospacing="1" w:after="100" w:afterAutospacing="1"/>
        <w:jc w:val="center"/>
        <w:outlineLvl w:val="1"/>
        <w:rPr>
          <w:rFonts w:ascii="方正小标宋_GBK" w:hAnsi="宋体" w:eastAsia="方正小标宋_GBK"/>
          <w:kern w:val="0"/>
          <w:sz w:val="44"/>
          <w:szCs w:val="44"/>
          <w:highlight w:val="none"/>
        </w:rPr>
      </w:pPr>
      <w:r>
        <w:rPr>
          <w:rFonts w:hint="eastAsia" w:ascii="方正小标宋_GBK" w:hAnsi="宋体" w:eastAsia="方正小标宋_GBK"/>
          <w:kern w:val="0"/>
          <w:sz w:val="44"/>
          <w:szCs w:val="44"/>
          <w:highlight w:val="none"/>
        </w:rPr>
        <w:t>克孜勒苏柯尔克孜自治州驻昌吉干休所</w:t>
      </w:r>
    </w:p>
    <w:p>
      <w:pPr>
        <w:widowControl/>
        <w:spacing w:before="100" w:beforeAutospacing="1" w:after="100" w:afterAutospacing="1"/>
        <w:jc w:val="center"/>
        <w:outlineLvl w:val="1"/>
        <w:rPr>
          <w:rFonts w:ascii="方正小标宋_GBK" w:hAnsi="宋体" w:eastAsia="方正小标宋_GBK"/>
          <w:kern w:val="0"/>
          <w:sz w:val="44"/>
          <w:szCs w:val="44"/>
          <w:highlight w:val="none"/>
        </w:rPr>
      </w:pPr>
      <w:r>
        <w:rPr>
          <w:rFonts w:hint="eastAsia" w:ascii="方正小标宋_GBK" w:hAnsi="宋体" w:eastAsia="方正小标宋_GBK"/>
          <w:kern w:val="0"/>
          <w:sz w:val="44"/>
          <w:szCs w:val="44"/>
          <w:highlight w:val="none"/>
        </w:rPr>
        <w:t>2021年预算公开</w:t>
      </w: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line="440" w:lineRule="exact"/>
        <w:jc w:val="center"/>
        <w:outlineLvl w:val="1"/>
        <w:rPr>
          <w:rFonts w:ascii="黑体" w:hAnsi="黑体" w:eastAsia="黑体"/>
          <w:kern w:val="0"/>
          <w:sz w:val="36"/>
          <w:szCs w:val="32"/>
          <w:highlight w:val="none"/>
        </w:rPr>
      </w:pPr>
      <w:r>
        <w:rPr>
          <w:rFonts w:hint="eastAsia" w:ascii="黑体" w:hAnsi="黑体" w:eastAsia="黑体"/>
          <w:kern w:val="0"/>
          <w:sz w:val="36"/>
          <w:szCs w:val="32"/>
          <w:highlight w:val="none"/>
        </w:rPr>
        <w:t>目 录</w:t>
      </w:r>
    </w:p>
    <w:p>
      <w:pPr>
        <w:widowControl/>
        <w:spacing w:line="440" w:lineRule="exact"/>
        <w:ind w:firstLine="883" w:firstLineChars="200"/>
        <w:outlineLvl w:val="1"/>
        <w:rPr>
          <w:rFonts w:ascii="宋体" w:hAnsi="宋体"/>
          <w:b/>
          <w:kern w:val="0"/>
          <w:sz w:val="44"/>
          <w:szCs w:val="44"/>
          <w:highlight w:val="none"/>
        </w:rPr>
      </w:pPr>
    </w:p>
    <w:p>
      <w:pPr>
        <w:widowControl/>
        <w:spacing w:line="440" w:lineRule="exact"/>
        <w:ind w:firstLine="643" w:firstLineChars="200"/>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第一部分  克孜勒苏柯尔克孜自治州驻昌吉干休所概况</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一、主要职能</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二、机构设置及人员情况</w:t>
      </w:r>
    </w:p>
    <w:p>
      <w:pPr>
        <w:widowControl/>
        <w:spacing w:line="440" w:lineRule="exact"/>
        <w:ind w:firstLine="643" w:firstLineChars="200"/>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第二部分  2021年部门（单位）预算公开表</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一、部门（单位）收支总体情况表</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二、部门（单位）收入总体情况表</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三、部门（单位）支出总体情况表</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四、财政拨款收支总体情况表</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五、一般公共预算支出情况表</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六、一般公共预算基本支出情况表</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七、一般公共预算</w:t>
      </w:r>
      <w:r>
        <w:rPr>
          <w:rFonts w:hint="eastAsia" w:ascii="仿宋_GB2312" w:hAnsi="宋体" w:eastAsia="仿宋_GB2312"/>
          <w:bCs/>
          <w:kern w:val="0"/>
          <w:sz w:val="32"/>
          <w:szCs w:val="32"/>
          <w:highlight w:val="none"/>
        </w:rPr>
        <w:t>项目支出情况表</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九、政府性基金预算支出情况表</w:t>
      </w:r>
    </w:p>
    <w:p>
      <w:pPr>
        <w:widowControl/>
        <w:spacing w:line="440" w:lineRule="exact"/>
        <w:ind w:firstLine="643" w:firstLineChars="200"/>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第三部分 2021年部门（单位）预算情况说明</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一、关于克孜勒苏柯尔克孜自治州驻昌吉干休所2021年收支预算情况的总体说明</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二、关于克孜勒苏柯尔克孜自治州驻昌吉干休所2021年收入预算情况说明</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三、关于克孜勒苏柯尔克孜自治州驻昌吉干休所2021年支出预算情况说明</w:t>
      </w:r>
    </w:p>
    <w:p>
      <w:pPr>
        <w:widowControl/>
        <w:spacing w:line="440" w:lineRule="exact"/>
        <w:ind w:firstLine="640" w:firstLineChars="200"/>
        <w:outlineLvl w:val="1"/>
        <w:rPr>
          <w:rFonts w:ascii="仿宋_GB2312" w:hAnsi="宋体" w:eastAsia="仿宋_GB2312"/>
          <w:bCs/>
          <w:kern w:val="0"/>
          <w:sz w:val="32"/>
          <w:szCs w:val="32"/>
          <w:highlight w:val="none"/>
        </w:rPr>
      </w:pPr>
      <w:r>
        <w:rPr>
          <w:rFonts w:hint="eastAsia" w:ascii="仿宋_GB2312" w:hAnsi="宋体" w:eastAsia="仿宋_GB2312"/>
          <w:bCs/>
          <w:kern w:val="0"/>
          <w:sz w:val="32"/>
          <w:szCs w:val="32"/>
          <w:highlight w:val="none"/>
        </w:rPr>
        <w:t>四、关于</w:t>
      </w:r>
      <w:r>
        <w:rPr>
          <w:rFonts w:hint="eastAsia" w:ascii="仿宋_GB2312" w:hAnsi="宋体" w:eastAsia="仿宋_GB2312"/>
          <w:kern w:val="0"/>
          <w:sz w:val="32"/>
          <w:szCs w:val="32"/>
          <w:highlight w:val="none"/>
        </w:rPr>
        <w:t>克孜勒苏柯尔克孜自治州驻昌吉干休所2021</w:t>
      </w:r>
      <w:r>
        <w:rPr>
          <w:rFonts w:hint="eastAsia" w:ascii="仿宋_GB2312" w:hAnsi="宋体" w:eastAsia="仿宋_GB2312"/>
          <w:bCs/>
          <w:kern w:val="0"/>
          <w:sz w:val="32"/>
          <w:szCs w:val="32"/>
          <w:highlight w:val="none"/>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五、关于克孜勒苏柯尔克孜自治州驻昌吉干休所2021年一般公共预算当年拨款情况说明</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六、关于克孜勒苏柯尔克孜自治州驻昌吉干休所2021年一般公共预算基本支出情况说明</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七、关于克孜勒苏柯尔克孜自治州驻昌吉干休所2021年一般公共预算项目支出情况说明</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八、关于克孜勒苏柯尔克孜自治州驻昌吉干休所2021年一般公共预算“三公”经费预算情况说明</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九、关于克孜勒苏柯尔克孜自治州驻昌吉干休所2021年政府性基金预算拨款情况说明</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十、其他重要事项的情况说明</w:t>
      </w:r>
    </w:p>
    <w:p>
      <w:pPr>
        <w:widowControl/>
        <w:spacing w:line="440" w:lineRule="exact"/>
        <w:ind w:firstLine="643" w:firstLineChars="200"/>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第四部分  名词解释</w:t>
      </w: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第一部分  克孜勒苏柯尔克孜自治州驻昌吉干休所概况</w:t>
      </w:r>
    </w:p>
    <w:p>
      <w:pPr>
        <w:widowControl/>
        <w:jc w:val="center"/>
        <w:outlineLvl w:val="1"/>
        <w:rPr>
          <w:rFonts w:ascii="宋体" w:hAnsi="宋体"/>
          <w:b/>
          <w:kern w:val="0"/>
          <w:sz w:val="32"/>
          <w:szCs w:val="32"/>
          <w:highlight w:val="none"/>
        </w:rPr>
      </w:pPr>
    </w:p>
    <w:p>
      <w:pPr>
        <w:widowControl/>
        <w:spacing w:line="560" w:lineRule="exact"/>
        <w:jc w:val="left"/>
        <w:rPr>
          <w:rFonts w:ascii="黑体" w:hAnsi="黑体" w:eastAsia="黑体" w:cs="宋体"/>
          <w:bCs/>
          <w:kern w:val="0"/>
          <w:sz w:val="32"/>
          <w:szCs w:val="32"/>
          <w:highlight w:val="none"/>
        </w:rPr>
      </w:pPr>
      <w:r>
        <w:rPr>
          <w:rFonts w:hint="eastAsia" w:ascii="仿宋_GB2312" w:hAnsi="宋体" w:eastAsia="仿宋_GB2312" w:cs="宋体"/>
          <w:kern w:val="0"/>
          <w:sz w:val="32"/>
          <w:szCs w:val="32"/>
          <w:highlight w:val="none"/>
        </w:rPr>
        <w:t xml:space="preserve">　  </w:t>
      </w:r>
      <w:r>
        <w:rPr>
          <w:rFonts w:hint="eastAsia" w:ascii="黑体" w:hAnsi="黑体" w:eastAsia="黑体" w:cs="宋体"/>
          <w:bCs/>
          <w:kern w:val="0"/>
          <w:sz w:val="32"/>
          <w:szCs w:val="32"/>
          <w:highlight w:val="none"/>
        </w:rPr>
        <w:t>一、主要职能</w:t>
      </w:r>
    </w:p>
    <w:p>
      <w:pPr>
        <w:widowControl/>
        <w:spacing w:line="560" w:lineRule="exact"/>
        <w:jc w:val="left"/>
        <w:rPr>
          <w:rFonts w:hint="eastAsia" w:ascii="仿宋_GB2312" w:hAnsi="宋体" w:eastAsia="仿宋_GB2312" w:cs="宋体"/>
          <w:kern w:val="0"/>
          <w:sz w:val="32"/>
          <w:szCs w:val="32"/>
          <w:highlight w:val="none"/>
        </w:rPr>
      </w:pPr>
      <w:r>
        <w:rPr>
          <w:rFonts w:hint="eastAsia" w:ascii="仿宋_GB2312" w:hAnsi="黑体" w:eastAsia="仿宋_GB2312" w:cs="宋体"/>
          <w:bCs/>
          <w:kern w:val="0"/>
          <w:sz w:val="32"/>
          <w:szCs w:val="32"/>
          <w:highlight w:val="none"/>
        </w:rPr>
        <w:t xml:space="preserve">   </w:t>
      </w:r>
      <w:r>
        <w:rPr>
          <w:rFonts w:hint="eastAsia" w:ascii="仿宋_GB2312" w:hAnsi="宋体" w:eastAsia="仿宋_GB2312" w:cs="宋体"/>
          <w:kern w:val="0"/>
          <w:sz w:val="32"/>
          <w:szCs w:val="32"/>
          <w:highlight w:val="none"/>
        </w:rPr>
        <w:t>克孜勒苏柯尔克孜自治州驻昌吉干休所全年预算经费152.66万元，主要是为克州离退休老干部做好服务、后勤保障工作，使老干部退休后生活愉快，度过幸福的晚年生活。</w:t>
      </w:r>
    </w:p>
    <w:p>
      <w:pPr>
        <w:widowControl/>
        <w:spacing w:line="560" w:lineRule="exact"/>
        <w:jc w:val="left"/>
        <w:rPr>
          <w:rFonts w:ascii="黑体" w:hAnsi="黑体" w:eastAsia="黑体" w:cs="宋体"/>
          <w:bCs/>
          <w:kern w:val="0"/>
          <w:sz w:val="32"/>
          <w:szCs w:val="32"/>
          <w:highlight w:val="none"/>
        </w:rPr>
      </w:pPr>
      <w:r>
        <w:rPr>
          <w:rFonts w:hint="eastAsia" w:ascii="仿宋_GB2312" w:hAnsi="宋体" w:eastAsia="仿宋_GB2312" w:cs="宋体"/>
          <w:kern w:val="0"/>
          <w:sz w:val="32"/>
          <w:szCs w:val="32"/>
          <w:highlight w:val="none"/>
        </w:rPr>
        <w:t xml:space="preserve">　  </w:t>
      </w:r>
      <w:r>
        <w:rPr>
          <w:rFonts w:hint="eastAsia" w:ascii="黑体" w:hAnsi="黑体" w:eastAsia="黑体" w:cs="宋体"/>
          <w:bCs/>
          <w:kern w:val="0"/>
          <w:sz w:val="32"/>
          <w:szCs w:val="32"/>
          <w:highlight w:val="none"/>
        </w:rPr>
        <w:t>二、机构设置及人员情况</w:t>
      </w:r>
    </w:p>
    <w:p>
      <w:pPr>
        <w:widowControl/>
        <w:spacing w:line="56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克孜勒苏柯尔克孜自治州驻昌吉干休所</w:t>
      </w:r>
      <w:r>
        <w:rPr>
          <w:rFonts w:hint="eastAsia" w:ascii="仿宋_GB2312" w:hAnsi="黑体" w:eastAsia="仿宋_GB2312" w:cs="宋体"/>
          <w:bCs/>
          <w:kern w:val="0"/>
          <w:sz w:val="32"/>
          <w:szCs w:val="32"/>
          <w:highlight w:val="none"/>
        </w:rPr>
        <w:t>无下属预算单位，下设0个</w:t>
      </w:r>
      <w:r>
        <w:rPr>
          <w:rFonts w:hint="eastAsia" w:ascii="仿宋_GB2312" w:hAnsi="黑体" w:eastAsia="仿宋_GB2312" w:cs="宋体"/>
          <w:bCs/>
          <w:kern w:val="0"/>
          <w:sz w:val="32"/>
          <w:szCs w:val="32"/>
          <w:highlight w:val="none"/>
          <w:lang w:eastAsia="zh-CN"/>
        </w:rPr>
        <w:t>科室</w:t>
      </w:r>
      <w:r>
        <w:rPr>
          <w:rFonts w:hint="eastAsia" w:ascii="仿宋_GB2312" w:hAnsi="黑体" w:eastAsia="仿宋_GB2312" w:cs="宋体"/>
          <w:bCs/>
          <w:kern w:val="0"/>
          <w:sz w:val="32"/>
          <w:szCs w:val="32"/>
          <w:highlight w:val="none"/>
        </w:rPr>
        <w:t>，分别是：</w:t>
      </w:r>
      <w:r>
        <w:rPr>
          <w:rFonts w:hint="eastAsia" w:ascii="仿宋_GB2312" w:hAnsi="宋体" w:eastAsia="仿宋_GB2312" w:cs="宋体"/>
          <w:kern w:val="0"/>
          <w:sz w:val="32"/>
          <w:szCs w:val="32"/>
          <w:highlight w:val="none"/>
        </w:rPr>
        <w:t>无。</w:t>
      </w:r>
    </w:p>
    <w:p>
      <w:pPr>
        <w:widowControl/>
        <w:spacing w:line="56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克孜勒苏柯尔克孜自治州驻昌吉干休所单位编制数15 ，实有人数15人，其中：在职8人，增加0人</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退休7人，增加0人；离休0人，增加0人。</w:t>
      </w:r>
    </w:p>
    <w:p>
      <w:pPr>
        <w:widowControl/>
        <w:spacing w:line="560" w:lineRule="exact"/>
        <w:jc w:val="left"/>
        <w:rPr>
          <w:rFonts w:ascii="仿宋_GB2312" w:hAnsi="宋体" w:eastAsia="仿宋_GB2312" w:cs="宋体"/>
          <w:b/>
          <w:kern w:val="0"/>
          <w:sz w:val="32"/>
          <w:szCs w:val="32"/>
          <w:highlight w:val="none"/>
        </w:rPr>
      </w:pPr>
      <w:r>
        <w:rPr>
          <w:rFonts w:hint="eastAsia" w:ascii="仿宋_GB2312" w:hAnsi="宋体" w:eastAsia="仿宋_GB2312" w:cs="宋体"/>
          <w:b/>
          <w:kern w:val="0"/>
          <w:sz w:val="32"/>
          <w:szCs w:val="32"/>
          <w:highlight w:val="none"/>
        </w:rPr>
        <w:t xml:space="preserve"> </w:t>
      </w:r>
    </w:p>
    <w:p>
      <w:pPr>
        <w:widowControl/>
        <w:spacing w:line="560" w:lineRule="exact"/>
        <w:jc w:val="left"/>
        <w:rPr>
          <w:rFonts w:ascii="仿宋_GB2312" w:hAnsi="宋体" w:eastAsia="仿宋_GB2312" w:cs="宋体"/>
          <w:b/>
          <w:kern w:val="0"/>
          <w:sz w:val="32"/>
          <w:szCs w:val="32"/>
          <w:highlight w:val="none"/>
        </w:rPr>
      </w:pPr>
    </w:p>
    <w:p>
      <w:pPr>
        <w:widowControl/>
        <w:spacing w:line="560" w:lineRule="exact"/>
        <w:jc w:val="left"/>
        <w:rPr>
          <w:rFonts w:ascii="仿宋_GB2312" w:hAnsi="宋体" w:eastAsia="仿宋_GB2312" w:cs="宋体"/>
          <w:b/>
          <w:kern w:val="0"/>
          <w:sz w:val="32"/>
          <w:szCs w:val="32"/>
          <w:highlight w:val="none"/>
        </w:rPr>
      </w:pPr>
    </w:p>
    <w:p>
      <w:pPr>
        <w:widowControl/>
        <w:spacing w:line="560" w:lineRule="exact"/>
        <w:jc w:val="left"/>
        <w:rPr>
          <w:rFonts w:ascii="仿宋_GB2312" w:hAnsi="宋体" w:eastAsia="仿宋_GB2312" w:cs="宋体"/>
          <w:b/>
          <w:kern w:val="0"/>
          <w:sz w:val="32"/>
          <w:szCs w:val="32"/>
          <w:highlight w:val="none"/>
        </w:rPr>
      </w:pPr>
    </w:p>
    <w:p>
      <w:pPr>
        <w:widowControl/>
        <w:spacing w:line="560" w:lineRule="exact"/>
        <w:jc w:val="left"/>
        <w:rPr>
          <w:rFonts w:ascii="仿宋_GB2312" w:hAnsi="宋体" w:eastAsia="仿宋_GB2312" w:cs="宋体"/>
          <w:b/>
          <w:kern w:val="0"/>
          <w:sz w:val="32"/>
          <w:szCs w:val="32"/>
          <w:highlight w:val="none"/>
        </w:rPr>
      </w:pPr>
    </w:p>
    <w:p>
      <w:pPr>
        <w:widowControl/>
        <w:spacing w:line="560" w:lineRule="exact"/>
        <w:jc w:val="left"/>
        <w:rPr>
          <w:rFonts w:ascii="仿宋_GB2312" w:hAnsi="宋体" w:eastAsia="仿宋_GB2312" w:cs="宋体"/>
          <w:b/>
          <w:kern w:val="0"/>
          <w:sz w:val="32"/>
          <w:szCs w:val="32"/>
          <w:highlight w:val="none"/>
        </w:rPr>
      </w:pPr>
    </w:p>
    <w:p>
      <w:pPr>
        <w:widowControl/>
        <w:spacing w:line="560" w:lineRule="exact"/>
        <w:jc w:val="left"/>
        <w:rPr>
          <w:rFonts w:ascii="仿宋_GB2312" w:hAnsi="宋体" w:eastAsia="仿宋_GB2312" w:cs="宋体"/>
          <w:b/>
          <w:kern w:val="0"/>
          <w:sz w:val="32"/>
          <w:szCs w:val="32"/>
          <w:highlight w:val="none"/>
        </w:rPr>
      </w:pPr>
    </w:p>
    <w:p>
      <w:pPr>
        <w:widowControl/>
        <w:spacing w:line="560" w:lineRule="exact"/>
        <w:jc w:val="left"/>
        <w:rPr>
          <w:rFonts w:ascii="仿宋_GB2312" w:hAnsi="宋体" w:eastAsia="仿宋_GB2312" w:cs="宋体"/>
          <w:b/>
          <w:kern w:val="0"/>
          <w:sz w:val="32"/>
          <w:szCs w:val="32"/>
          <w:highlight w:val="none"/>
        </w:rPr>
      </w:pPr>
    </w:p>
    <w:p>
      <w:pPr>
        <w:widowControl/>
        <w:spacing w:line="560" w:lineRule="exact"/>
        <w:jc w:val="left"/>
        <w:rPr>
          <w:rFonts w:ascii="仿宋_GB2312" w:hAnsi="宋体" w:eastAsia="仿宋_GB2312" w:cs="宋体"/>
          <w:b/>
          <w:kern w:val="0"/>
          <w:sz w:val="32"/>
          <w:szCs w:val="32"/>
          <w:highlight w:val="none"/>
        </w:rPr>
      </w:pPr>
    </w:p>
    <w:p>
      <w:pPr>
        <w:widowControl/>
        <w:spacing w:line="560" w:lineRule="exact"/>
        <w:jc w:val="left"/>
        <w:rPr>
          <w:rFonts w:ascii="仿宋_GB2312" w:hAnsi="宋体" w:eastAsia="仿宋_GB2312" w:cs="宋体"/>
          <w:b/>
          <w:kern w:val="0"/>
          <w:sz w:val="32"/>
          <w:szCs w:val="32"/>
          <w:highlight w:val="none"/>
        </w:rPr>
      </w:pPr>
    </w:p>
    <w:p>
      <w:pPr>
        <w:widowControl/>
        <w:spacing w:line="560" w:lineRule="exact"/>
        <w:jc w:val="left"/>
        <w:rPr>
          <w:rFonts w:ascii="仿宋_GB2312" w:hAnsi="宋体" w:eastAsia="仿宋_GB2312" w:cs="宋体"/>
          <w:b/>
          <w:kern w:val="0"/>
          <w:sz w:val="32"/>
          <w:szCs w:val="32"/>
          <w:highlight w:val="none"/>
        </w:rPr>
      </w:pPr>
    </w:p>
    <w:p>
      <w:pPr>
        <w:widowControl/>
        <w:spacing w:line="560" w:lineRule="exact"/>
        <w:jc w:val="center"/>
        <w:rPr>
          <w:rFonts w:ascii="黑体" w:hAnsi="黑体" w:eastAsia="黑体"/>
          <w:kern w:val="0"/>
          <w:sz w:val="32"/>
          <w:szCs w:val="32"/>
          <w:highlight w:val="none"/>
        </w:rPr>
      </w:pPr>
      <w:r>
        <w:rPr>
          <w:rFonts w:hint="eastAsia" w:ascii="黑体" w:hAnsi="黑体" w:eastAsia="黑体"/>
          <w:kern w:val="0"/>
          <w:sz w:val="32"/>
          <w:szCs w:val="32"/>
          <w:highlight w:val="none"/>
        </w:rPr>
        <w:t>第二部分  2021年部门（单位）预算公开表</w:t>
      </w:r>
    </w:p>
    <w:p>
      <w:pPr>
        <w:widowControl/>
        <w:spacing w:line="280" w:lineRule="exac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表一：</w:t>
      </w:r>
    </w:p>
    <w:p>
      <w:pPr>
        <w:widowControl/>
        <w:spacing w:line="280" w:lineRule="exact"/>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部门（单位）收支总体情况表</w:t>
      </w:r>
    </w:p>
    <w:p>
      <w:pPr>
        <w:widowControl/>
        <w:spacing w:line="280" w:lineRule="exac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编制部门（单位）：克孜勒苏柯尔克孜自治州驻昌吉干休所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152.66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152.66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ind w:firstLine="360" w:firstLineChars="200"/>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国有资本</w:t>
            </w:r>
            <w:r>
              <w:rPr>
                <w:rFonts w:ascii="仿宋_GB2312" w:hAnsi="宋体" w:eastAsia="仿宋_GB2312" w:cs="宋体"/>
                <w:kern w:val="0"/>
                <w:sz w:val="18"/>
                <w:szCs w:val="18"/>
                <w:highlight w:val="none"/>
              </w:rPr>
              <w:t>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教育收费（财政专户）</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上级补助</w:t>
            </w:r>
            <w:r>
              <w:rPr>
                <w:rFonts w:ascii="仿宋_GB2312" w:hAnsi="宋体" w:eastAsia="仿宋_GB2312" w:cs="宋体"/>
                <w:kern w:val="0"/>
                <w:sz w:val="18"/>
                <w:szCs w:val="18"/>
                <w:highlight w:val="none"/>
              </w:rPr>
              <w:t>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152.66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单位其他资金收入</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209 </w:t>
            </w:r>
            <w:r>
              <w:rPr>
                <w:rFonts w:hint="eastAsia" w:ascii="仿宋_GB2312" w:hAnsi="宋体" w:eastAsia="仿宋_GB2312" w:cs="宋体"/>
                <w:kern w:val="0"/>
                <w:sz w:val="18"/>
                <w:szCs w:val="18"/>
                <w:highlight w:val="none"/>
              </w:rPr>
              <w:t>社会</w:t>
            </w:r>
            <w:r>
              <w:rPr>
                <w:rFonts w:ascii="仿宋_GB2312" w:hAnsi="宋体" w:eastAsia="仿宋_GB2312" w:cs="宋体"/>
                <w:kern w:val="0"/>
                <w:sz w:val="18"/>
                <w:szCs w:val="18"/>
                <w:highlight w:val="none"/>
              </w:rPr>
              <w:t>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上级</w:t>
            </w:r>
            <w:r>
              <w:rPr>
                <w:rFonts w:ascii="仿宋_GB2312" w:hAnsi="宋体" w:eastAsia="仿宋_GB2312" w:cs="宋体"/>
                <w:kern w:val="0"/>
                <w:sz w:val="18"/>
                <w:szCs w:val="18"/>
                <w:highlight w:val="none"/>
              </w:rPr>
              <w:t>专项收入</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用事业基金弥补收支差额</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215 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w:t>
            </w:r>
            <w:r>
              <w:rPr>
                <w:rFonts w:ascii="仿宋_GB2312" w:hAnsi="宋体" w:eastAsia="仿宋_GB2312" w:cs="宋体"/>
                <w:kern w:val="0"/>
                <w:sz w:val="18"/>
                <w:szCs w:val="18"/>
                <w:highlight w:val="none"/>
              </w:rPr>
              <w:t xml:space="preserve">22 </w:t>
            </w:r>
            <w:r>
              <w:rPr>
                <w:rFonts w:hint="eastAsia" w:ascii="仿宋_GB2312" w:hAnsi="宋体" w:eastAsia="仿宋_GB2312" w:cs="宋体"/>
                <w:kern w:val="0"/>
                <w:sz w:val="18"/>
                <w:szCs w:val="18"/>
                <w:highlight w:val="none"/>
              </w:rPr>
              <w:t>粮油</w:t>
            </w:r>
            <w:r>
              <w:rPr>
                <w:rFonts w:ascii="仿宋_GB2312" w:hAnsi="宋体" w:eastAsia="仿宋_GB2312" w:cs="宋体"/>
                <w:kern w:val="0"/>
                <w:sz w:val="18"/>
                <w:szCs w:val="18"/>
                <w:highlight w:val="none"/>
              </w:rPr>
              <w:t>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highlight w:val="none"/>
              </w:rPr>
            </w:pPr>
            <w:r>
              <w:rPr>
                <w:rFonts w:hint="eastAsia" w:ascii="仿宋_GB2312" w:hAnsi="宋体" w:eastAsia="仿宋_GB2312" w:cs="宋体"/>
                <w:color w:val="000000"/>
                <w:kern w:val="0"/>
                <w:sz w:val="18"/>
                <w:szCs w:val="18"/>
                <w:highlight w:val="none"/>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highlight w:val="none"/>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highlight w:val="none"/>
              </w:rPr>
            </w:pP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152.66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152.66　</w:t>
            </w:r>
          </w:p>
        </w:tc>
      </w:tr>
    </w:tbl>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表二：</w:t>
      </w:r>
    </w:p>
    <w:p>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部门（单位）收入总体情况表</w:t>
      </w: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编制部门（单位）：克孜勒苏柯尔克孜自治州驻昌吉干休所     单位：万元</w:t>
      </w:r>
    </w:p>
    <w:tbl>
      <w:tblPr>
        <w:tblStyle w:val="7"/>
        <w:tblW w:w="10651" w:type="dxa"/>
        <w:tblInd w:w="-450" w:type="dxa"/>
        <w:tblLayout w:type="fixed"/>
        <w:tblCellMar>
          <w:top w:w="0" w:type="dxa"/>
          <w:left w:w="108" w:type="dxa"/>
          <w:bottom w:w="0" w:type="dxa"/>
          <w:right w:w="108" w:type="dxa"/>
        </w:tblCellMar>
      </w:tblPr>
      <w:tblGrid>
        <w:gridCol w:w="331"/>
        <w:gridCol w:w="331"/>
        <w:gridCol w:w="331"/>
        <w:gridCol w:w="1295"/>
        <w:gridCol w:w="992"/>
        <w:gridCol w:w="851"/>
        <w:gridCol w:w="850"/>
        <w:gridCol w:w="709"/>
        <w:gridCol w:w="709"/>
        <w:gridCol w:w="567"/>
        <w:gridCol w:w="567"/>
        <w:gridCol w:w="567"/>
        <w:gridCol w:w="567"/>
        <w:gridCol w:w="425"/>
        <w:gridCol w:w="709"/>
        <w:gridCol w:w="850"/>
      </w:tblGrid>
      <w:tr>
        <w:tblPrEx>
          <w:tblCellMar>
            <w:top w:w="0" w:type="dxa"/>
            <w:left w:w="108" w:type="dxa"/>
            <w:bottom w:w="0" w:type="dxa"/>
            <w:right w:w="108" w:type="dxa"/>
          </w:tblCellMar>
        </w:tblPrEx>
        <w:trPr>
          <w:trHeight w:val="2671" w:hRule="atLeast"/>
        </w:trPr>
        <w:tc>
          <w:tcPr>
            <w:tcW w:w="99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功能分类科目编码</w:t>
            </w:r>
          </w:p>
        </w:tc>
        <w:tc>
          <w:tcPr>
            <w:tcW w:w="129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功能分类科目名称</w:t>
            </w:r>
          </w:p>
        </w:tc>
        <w:tc>
          <w:tcPr>
            <w:tcW w:w="992"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总  计</w:t>
            </w:r>
          </w:p>
        </w:tc>
        <w:tc>
          <w:tcPr>
            <w:tcW w:w="851"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一般公共预算拨款</w:t>
            </w:r>
          </w:p>
        </w:tc>
        <w:tc>
          <w:tcPr>
            <w:tcW w:w="85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政府性基金预算拨款</w:t>
            </w:r>
          </w:p>
        </w:tc>
        <w:tc>
          <w:tcPr>
            <w:tcW w:w="709"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财政专户（教育收费）</w:t>
            </w:r>
          </w:p>
        </w:tc>
        <w:tc>
          <w:tcPr>
            <w:tcW w:w="709" w:type="dxa"/>
            <w:tcBorders>
              <w:top w:val="single" w:color="auto" w:sz="4" w:space="0"/>
              <w:left w:val="single" w:color="auto" w:sz="4" w:space="0"/>
              <w:bottom w:val="single" w:color="000000" w:sz="4" w:space="0"/>
              <w:right w:val="single" w:color="auto" w:sz="4" w:space="0"/>
            </w:tcBorders>
          </w:tcPr>
          <w:p>
            <w:pPr>
              <w:jc w:val="center"/>
              <w:rPr>
                <w:rFonts w:ascii="仿宋_GB2312" w:eastAsia="仿宋_GB2312"/>
                <w:b/>
                <w:color w:val="000000"/>
                <w:sz w:val="20"/>
                <w:szCs w:val="20"/>
                <w:highlight w:val="none"/>
              </w:rPr>
            </w:pPr>
          </w:p>
          <w:p>
            <w:pPr>
              <w:jc w:val="center"/>
              <w:rPr>
                <w:rFonts w:ascii="仿宋_GB2312" w:eastAsia="仿宋_GB2312"/>
                <w:b/>
                <w:color w:val="000000"/>
                <w:sz w:val="20"/>
                <w:szCs w:val="20"/>
                <w:highlight w:val="none"/>
              </w:rPr>
            </w:pPr>
          </w:p>
          <w:p>
            <w:pPr>
              <w:jc w:val="center"/>
              <w:rPr>
                <w:rFonts w:ascii="仿宋_GB2312" w:eastAsia="仿宋_GB2312"/>
                <w:b/>
                <w:color w:val="000000"/>
                <w:sz w:val="20"/>
                <w:szCs w:val="20"/>
                <w:highlight w:val="none"/>
              </w:rPr>
            </w:pPr>
          </w:p>
          <w:p>
            <w:pPr>
              <w:jc w:val="center"/>
              <w:rPr>
                <w:rFonts w:ascii="仿宋_GB2312" w:eastAsia="仿宋_GB2312"/>
                <w:b/>
                <w:color w:val="000000"/>
                <w:sz w:val="20"/>
                <w:szCs w:val="20"/>
                <w:highlight w:val="none"/>
              </w:rPr>
            </w:pPr>
            <w:r>
              <w:rPr>
                <w:rFonts w:hint="eastAsia" w:ascii="仿宋_GB2312" w:eastAsia="仿宋_GB2312"/>
                <w:b/>
                <w:color w:val="000000"/>
                <w:sz w:val="20"/>
                <w:szCs w:val="20"/>
                <w:highlight w:val="none"/>
              </w:rPr>
              <w:t>国有资本</w:t>
            </w:r>
            <w:r>
              <w:rPr>
                <w:rFonts w:ascii="仿宋_GB2312" w:eastAsia="仿宋_GB2312"/>
                <w:b/>
                <w:color w:val="000000"/>
                <w:sz w:val="20"/>
                <w:szCs w:val="20"/>
                <w:highlight w:val="none"/>
              </w:rPr>
              <w:t>经营预算</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事业收入</w:t>
            </w:r>
          </w:p>
        </w:tc>
        <w:tc>
          <w:tcPr>
            <w:tcW w:w="567" w:type="dxa"/>
            <w:tcBorders>
              <w:top w:val="single" w:color="auto" w:sz="4" w:space="0"/>
              <w:left w:val="single" w:color="auto" w:sz="4" w:space="0"/>
              <w:bottom w:val="single" w:color="000000" w:sz="4" w:space="0"/>
              <w:right w:val="single" w:color="auto" w:sz="4" w:space="0"/>
            </w:tcBorders>
          </w:tcPr>
          <w:p>
            <w:pPr>
              <w:rPr>
                <w:rFonts w:ascii="仿宋_GB2312" w:eastAsia="仿宋_GB2312"/>
                <w:b/>
                <w:color w:val="000000"/>
                <w:sz w:val="20"/>
                <w:szCs w:val="20"/>
                <w:highlight w:val="none"/>
              </w:rPr>
            </w:pPr>
          </w:p>
          <w:p>
            <w:pPr>
              <w:rPr>
                <w:rFonts w:ascii="仿宋_GB2312" w:eastAsia="仿宋_GB2312"/>
                <w:b/>
                <w:color w:val="000000"/>
                <w:sz w:val="20"/>
                <w:szCs w:val="20"/>
                <w:highlight w:val="none"/>
              </w:rPr>
            </w:pPr>
          </w:p>
          <w:p>
            <w:pPr>
              <w:rPr>
                <w:rFonts w:ascii="仿宋_GB2312" w:eastAsia="仿宋_GB2312"/>
                <w:b/>
                <w:color w:val="000000"/>
                <w:sz w:val="20"/>
                <w:szCs w:val="20"/>
                <w:highlight w:val="none"/>
              </w:rPr>
            </w:pPr>
            <w:r>
              <w:rPr>
                <w:rFonts w:hint="eastAsia" w:ascii="仿宋_GB2312" w:eastAsia="仿宋_GB2312"/>
                <w:b/>
                <w:color w:val="000000"/>
                <w:sz w:val="20"/>
                <w:szCs w:val="20"/>
                <w:highlight w:val="none"/>
              </w:rPr>
              <w:t>上</w:t>
            </w:r>
          </w:p>
          <w:p>
            <w:pPr>
              <w:rPr>
                <w:rFonts w:ascii="仿宋_GB2312" w:eastAsia="仿宋_GB2312"/>
                <w:b/>
                <w:color w:val="000000"/>
                <w:sz w:val="20"/>
                <w:szCs w:val="20"/>
                <w:highlight w:val="none"/>
              </w:rPr>
            </w:pPr>
            <w:r>
              <w:rPr>
                <w:rFonts w:hint="eastAsia" w:ascii="仿宋_GB2312" w:eastAsia="仿宋_GB2312"/>
                <w:b/>
                <w:color w:val="000000"/>
                <w:sz w:val="20"/>
                <w:szCs w:val="20"/>
                <w:highlight w:val="none"/>
              </w:rPr>
              <w:t>级</w:t>
            </w:r>
          </w:p>
          <w:p>
            <w:pPr>
              <w:rPr>
                <w:rFonts w:ascii="仿宋_GB2312" w:eastAsia="仿宋_GB2312"/>
                <w:b/>
                <w:color w:val="000000"/>
                <w:sz w:val="20"/>
                <w:szCs w:val="20"/>
                <w:highlight w:val="none"/>
              </w:rPr>
            </w:pPr>
            <w:r>
              <w:rPr>
                <w:rFonts w:hint="eastAsia" w:ascii="仿宋_GB2312" w:eastAsia="仿宋_GB2312"/>
                <w:b/>
                <w:color w:val="000000"/>
                <w:sz w:val="20"/>
                <w:szCs w:val="20"/>
                <w:highlight w:val="none"/>
              </w:rPr>
              <w:t>补助</w:t>
            </w:r>
          </w:p>
          <w:p>
            <w:pPr>
              <w:rPr>
                <w:rFonts w:ascii="仿宋_GB2312" w:eastAsia="仿宋_GB2312"/>
                <w:b/>
                <w:color w:val="000000"/>
                <w:sz w:val="20"/>
                <w:szCs w:val="20"/>
                <w:highlight w:val="none"/>
              </w:rPr>
            </w:pPr>
            <w:r>
              <w:rPr>
                <w:rFonts w:hint="eastAsia" w:ascii="仿宋_GB2312" w:eastAsia="仿宋_GB2312"/>
                <w:b/>
                <w:color w:val="000000"/>
                <w:sz w:val="20"/>
                <w:szCs w:val="20"/>
                <w:highlight w:val="none"/>
              </w:rPr>
              <w:t>收</w:t>
            </w:r>
          </w:p>
          <w:p>
            <w:pPr>
              <w:rPr>
                <w:rFonts w:ascii="仿宋_GB2312" w:eastAsia="仿宋_GB2312"/>
                <w:b/>
                <w:color w:val="000000"/>
                <w:sz w:val="20"/>
                <w:szCs w:val="20"/>
                <w:highlight w:val="none"/>
              </w:rPr>
            </w:pPr>
            <w:r>
              <w:rPr>
                <w:rFonts w:hint="eastAsia" w:ascii="仿宋_GB2312" w:eastAsia="仿宋_GB2312"/>
                <w:b/>
                <w:color w:val="000000"/>
                <w:sz w:val="20"/>
                <w:szCs w:val="20"/>
                <w:highlight w:val="none"/>
              </w:rPr>
              <w:t>入</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事业单位经营收入</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单位其他资金收入</w:t>
            </w:r>
          </w:p>
        </w:tc>
        <w:tc>
          <w:tcPr>
            <w:tcW w:w="425"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highlight w:val="none"/>
              </w:rPr>
            </w:pPr>
            <w:r>
              <w:rPr>
                <w:rFonts w:hint="eastAsia" w:ascii="仿宋_GB2312" w:eastAsia="仿宋_GB2312"/>
                <w:b/>
                <w:color w:val="000000"/>
                <w:sz w:val="20"/>
                <w:szCs w:val="20"/>
                <w:highlight w:val="none"/>
              </w:rPr>
              <w:t>上级专项收入</w:t>
            </w:r>
          </w:p>
        </w:tc>
        <w:tc>
          <w:tcPr>
            <w:tcW w:w="709"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highlight w:val="none"/>
              </w:rPr>
            </w:pPr>
            <w:r>
              <w:rPr>
                <w:rFonts w:hint="eastAsia" w:ascii="仿宋_GB2312" w:eastAsia="仿宋_GB2312"/>
                <w:b/>
                <w:color w:val="000000"/>
                <w:sz w:val="20"/>
                <w:szCs w:val="20"/>
                <w:highlight w:val="none"/>
              </w:rPr>
              <w:t>用事业基金弥补收支差额</w:t>
            </w:r>
          </w:p>
        </w:tc>
        <w:tc>
          <w:tcPr>
            <w:tcW w:w="850"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highlight w:val="none"/>
              </w:rPr>
            </w:pPr>
            <w:r>
              <w:rPr>
                <w:rFonts w:hint="eastAsia" w:ascii="仿宋_GB2312" w:eastAsia="仿宋_GB2312"/>
                <w:b/>
                <w:color w:val="000000"/>
                <w:sz w:val="20"/>
                <w:szCs w:val="20"/>
                <w:highlight w:val="none"/>
              </w:rPr>
              <w:t>单位上年结余（不包含国库集中支付额度</w:t>
            </w: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208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05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99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 w:hAnsi="仿宋" w:eastAsia="仿宋" w:cs="宋体"/>
                <w:color w:val="000000"/>
                <w:kern w:val="0"/>
                <w:sz w:val="18"/>
                <w:szCs w:val="18"/>
                <w:highlight w:val="none"/>
              </w:rPr>
              <w:t>其他行政事业单位养老支出</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24.33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24.33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0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208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05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03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 w:hAnsi="仿宋" w:eastAsia="仿宋" w:cs="宋体"/>
                <w:color w:val="000000"/>
                <w:kern w:val="0"/>
                <w:sz w:val="18"/>
                <w:szCs w:val="18"/>
                <w:highlight w:val="none"/>
              </w:rPr>
              <w:t>离退休人员管理机构</w:t>
            </w:r>
            <w:r>
              <w:rPr>
                <w:rFonts w:hint="eastAsia" w:ascii="仿宋_GB2312" w:eastAsia="仿宋_GB2312"/>
                <w:color w:val="000000"/>
                <w:sz w:val="20"/>
                <w:szCs w:val="20"/>
                <w:highlight w:val="none"/>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128.33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128.33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811"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r>
        <w:tblPrEx>
          <w:tblCellMar>
            <w:top w:w="0" w:type="dxa"/>
            <w:left w:w="108" w:type="dxa"/>
            <w:bottom w:w="0" w:type="dxa"/>
            <w:right w:w="108" w:type="dxa"/>
          </w:tblCellMar>
        </w:tblPrEx>
        <w:trPr>
          <w:trHeight w:val="681"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2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r>
              <w:rPr>
                <w:rFonts w:hint="eastAsia" w:ascii="仿宋_GB2312" w:eastAsia="仿宋_GB2312"/>
                <w:b/>
                <w:bCs/>
                <w:color w:val="000000"/>
                <w:sz w:val="20"/>
                <w:szCs w:val="20"/>
                <w:highlight w:val="none"/>
              </w:rPr>
              <w:t>合  计</w:t>
            </w:r>
            <w:r>
              <w:rPr>
                <w:rFonts w:hint="eastAsia" w:ascii="仿宋_GB2312" w:eastAsia="仿宋_GB2312"/>
                <w:color w:val="000000"/>
                <w:sz w:val="20"/>
                <w:szCs w:val="20"/>
                <w:highlight w:val="none"/>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152.66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152.66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0　</w:t>
            </w:r>
          </w:p>
        </w:tc>
        <w:tc>
          <w:tcPr>
            <w:tcW w:w="567" w:type="dxa"/>
            <w:tcBorders>
              <w:top w:val="nil"/>
              <w:left w:val="nil"/>
              <w:bottom w:val="single" w:color="auto" w:sz="4" w:space="0"/>
              <w:right w:val="nil"/>
            </w:tcBorders>
          </w:tcPr>
          <w:p>
            <w:pPr>
              <w:jc w:val="right"/>
              <w:rPr>
                <w:rFonts w:ascii="仿宋_GB2312" w:eastAsia="仿宋_GB2312"/>
                <w:color w:val="000000"/>
                <w:sz w:val="20"/>
                <w:szCs w:val="20"/>
                <w:highlight w:val="none"/>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highlight w:val="none"/>
              </w:rPr>
            </w:pPr>
          </w:p>
        </w:tc>
      </w:tr>
    </w:tbl>
    <w:p>
      <w:pPr>
        <w:widowControl/>
        <w:spacing w:line="280" w:lineRule="exact"/>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表三：</w:t>
      </w:r>
    </w:p>
    <w:p>
      <w:pPr>
        <w:widowControl/>
        <w:spacing w:line="280" w:lineRule="exact"/>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部门（单位）支出总体情况表</w:t>
      </w:r>
    </w:p>
    <w:p>
      <w:pPr>
        <w:widowControl/>
        <w:spacing w:line="280" w:lineRule="exact"/>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编制部门（单位）：克孜勒苏柯尔克孜自治州驻昌吉干休所  单位：万元</w:t>
      </w:r>
    </w:p>
    <w:tbl>
      <w:tblPr>
        <w:tblStyle w:val="7"/>
        <w:tblW w:w="9420" w:type="dxa"/>
        <w:tblInd w:w="-240" w:type="dxa"/>
        <w:tblLayout w:type="fixed"/>
        <w:tblCellMar>
          <w:top w:w="0" w:type="dxa"/>
          <w:left w:w="108" w:type="dxa"/>
          <w:bottom w:w="0" w:type="dxa"/>
          <w:right w:w="108" w:type="dxa"/>
        </w:tblCellMar>
      </w:tblPr>
      <w:tblGrid>
        <w:gridCol w:w="401"/>
        <w:gridCol w:w="400"/>
        <w:gridCol w:w="400"/>
        <w:gridCol w:w="2604"/>
        <w:gridCol w:w="1855"/>
        <w:gridCol w:w="1856"/>
        <w:gridCol w:w="1904"/>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支出预算</w:t>
            </w:r>
          </w:p>
        </w:tc>
      </w:tr>
      <w:tr>
        <w:tblPrEx>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项目支出</w:t>
            </w:r>
          </w:p>
        </w:tc>
      </w:tr>
      <w:tr>
        <w:tblPrEx>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款</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208</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05</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99</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仿宋" w:hAnsi="仿宋" w:eastAsia="仿宋"/>
                <w:color w:val="000000"/>
                <w:sz w:val="18"/>
                <w:szCs w:val="18"/>
                <w:highlight w:val="none"/>
              </w:rPr>
              <w:t>其他行政事业单位养老支出</w:t>
            </w: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24.33</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24.33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208</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05</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03</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仿宋" w:hAnsi="仿宋" w:eastAsia="仿宋" w:cs="宋体"/>
                <w:color w:val="000000"/>
                <w:kern w:val="0"/>
                <w:sz w:val="18"/>
                <w:szCs w:val="18"/>
                <w:highlight w:val="none"/>
              </w:rPr>
              <w:t>离退休人员管理机构</w:t>
            </w:r>
            <w:r>
              <w:rPr>
                <w:rFonts w:hint="eastAsia" w:ascii="仿宋_GB2312" w:eastAsia="仿宋_GB2312"/>
                <w:color w:val="000000"/>
                <w:sz w:val="20"/>
                <w:szCs w:val="20"/>
                <w:highlight w:val="none"/>
              </w:rPr>
              <w:t>　</w:t>
            </w: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128.33</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128.33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579"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highlight w:val="none"/>
              </w:rPr>
            </w:pPr>
            <w:r>
              <w:rPr>
                <w:rFonts w:hint="eastAsia" w:ascii="宋体" w:hAnsi="宋体" w:cs="宋体"/>
                <w:b/>
                <w:bCs/>
                <w:color w:val="000000"/>
                <w:kern w:val="0"/>
                <w:sz w:val="22"/>
                <w:szCs w:val="22"/>
                <w:highlight w:val="none"/>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152.66</w:t>
            </w:r>
          </w:p>
        </w:tc>
        <w:tc>
          <w:tcPr>
            <w:tcW w:w="185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128.33</w:t>
            </w:r>
          </w:p>
        </w:tc>
        <w:tc>
          <w:tcPr>
            <w:tcW w:w="1904"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24.33</w:t>
            </w:r>
          </w:p>
        </w:tc>
      </w:tr>
    </w:tbl>
    <w:p>
      <w:pPr>
        <w:widowControl/>
        <w:spacing w:beforeLines="50" w:line="280" w:lineRule="exac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表四：</w:t>
      </w:r>
    </w:p>
    <w:p>
      <w:pPr>
        <w:widowControl/>
        <w:spacing w:beforeLines="50" w:line="280" w:lineRule="exact"/>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财政拨款收支预算总体情况表</w:t>
      </w:r>
    </w:p>
    <w:p>
      <w:pPr>
        <w:widowControl/>
        <w:spacing w:beforeLines="50" w:line="280" w:lineRule="exact"/>
        <w:outlineLvl w:val="1"/>
        <w:rPr>
          <w:rFonts w:ascii="仿宋_GB2312" w:hAnsi="宋体" w:eastAsia="仿宋_GB2312"/>
          <w:kern w:val="0"/>
          <w:szCs w:val="21"/>
          <w:highlight w:val="none"/>
        </w:rPr>
      </w:pPr>
      <w:r>
        <w:rPr>
          <w:rFonts w:hint="eastAsia" w:ascii="仿宋_GB2312" w:hAnsi="宋体" w:eastAsia="仿宋_GB2312"/>
          <w:kern w:val="0"/>
          <w:szCs w:val="21"/>
          <w:highlight w:val="none"/>
        </w:rPr>
        <w:t>编制部门（单位）：</w:t>
      </w:r>
      <w:r>
        <w:rPr>
          <w:rFonts w:hint="eastAsia" w:ascii="仿宋_GB2312" w:hAnsi="宋体" w:eastAsia="仿宋_GB2312"/>
          <w:kern w:val="0"/>
          <w:sz w:val="24"/>
          <w:highlight w:val="none"/>
        </w:rPr>
        <w:t>克孜勒苏柯尔克孜自治州驻昌吉干休所</w:t>
      </w:r>
      <w:r>
        <w:rPr>
          <w:rFonts w:hint="eastAsia" w:ascii="仿宋_GB2312" w:hAnsi="宋体" w:eastAsia="仿宋_GB2312"/>
          <w:kern w:val="0"/>
          <w:szCs w:val="21"/>
          <w:highlight w:val="none"/>
        </w:rPr>
        <w:t xml:space="preserve">           单位：万元</w:t>
      </w:r>
    </w:p>
    <w:tbl>
      <w:tblPr>
        <w:tblStyle w:val="7"/>
        <w:tblpPr w:leftFromText="180" w:rightFromText="180" w:vertAnchor="text" w:tblpY="1"/>
        <w:tblOverlap w:val="never"/>
        <w:tblW w:w="9449" w:type="dxa"/>
        <w:tblInd w:w="0" w:type="dxa"/>
        <w:tblLayout w:type="fixed"/>
        <w:tblCellMar>
          <w:top w:w="0" w:type="dxa"/>
          <w:left w:w="108" w:type="dxa"/>
          <w:bottom w:w="0" w:type="dxa"/>
          <w:right w:w="108" w:type="dxa"/>
        </w:tblCellMar>
      </w:tblPr>
      <w:tblGrid>
        <w:gridCol w:w="1795"/>
        <w:gridCol w:w="1055"/>
        <w:gridCol w:w="2580"/>
        <w:gridCol w:w="901"/>
        <w:gridCol w:w="850"/>
        <w:gridCol w:w="1134"/>
        <w:gridCol w:w="1134"/>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财政拨款收入</w:t>
            </w:r>
          </w:p>
        </w:tc>
        <w:tc>
          <w:tcPr>
            <w:tcW w:w="546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财政拨款支出</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p>
        </w:tc>
      </w:tr>
      <w:tr>
        <w:tblPrEx>
          <w:tblCellMar>
            <w:top w:w="0" w:type="dxa"/>
            <w:left w:w="108" w:type="dxa"/>
            <w:bottom w:w="0" w:type="dxa"/>
            <w:right w:w="108" w:type="dxa"/>
          </w:tblCellMar>
        </w:tblPrEx>
        <w:trPr>
          <w:trHeight w:val="465" w:hRule="atLeas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    目</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  计</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  能  分  类</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 计</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一般公共预算</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政府性基金预算</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国有</w:t>
            </w:r>
            <w:r>
              <w:rPr>
                <w:rFonts w:ascii="仿宋_GB2312" w:hAnsi="宋体" w:eastAsia="仿宋_GB2312" w:cs="宋体"/>
                <w:b/>
                <w:kern w:val="0"/>
                <w:sz w:val="20"/>
                <w:szCs w:val="20"/>
                <w:highlight w:val="none"/>
              </w:rPr>
              <w:t>资本经营预算</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5"/>
                <w:szCs w:val="15"/>
                <w:highlight w:val="none"/>
              </w:rPr>
              <w:t>一、财政拨款（补助）</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152.66　</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201 一般公共服务支出</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xml:space="preserve"> 一般公共预算</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152.66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202 外交支出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xml:space="preserve"> 政府性基金预算</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203 国防支出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国有资本</w:t>
            </w:r>
            <w:r>
              <w:rPr>
                <w:rFonts w:ascii="仿宋_GB2312" w:hAnsi="宋体" w:eastAsia="仿宋_GB2312" w:cs="宋体"/>
                <w:kern w:val="0"/>
                <w:sz w:val="18"/>
                <w:szCs w:val="18"/>
                <w:highlight w:val="none"/>
              </w:rPr>
              <w:t>经营预算</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0</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204 公共安全支出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205 教育支出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206 科学技术支出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207 文化旅游体育与传媒支出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152.66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152.66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0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209 社会保险基金支出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 医疗卫生</w:t>
            </w:r>
            <w:r>
              <w:rPr>
                <w:rFonts w:ascii="仿宋_GB2312" w:hAnsi="宋体" w:eastAsia="仿宋_GB2312" w:cs="宋体"/>
                <w:kern w:val="0"/>
                <w:sz w:val="18"/>
                <w:szCs w:val="18"/>
                <w:highlight w:val="none"/>
              </w:rPr>
              <w:t>与计划生育支出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211 节能环保支出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212 城乡社区支出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 农林水支出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214 交通运输支出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215 资源勘探工业信息等支出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216 商业服务业等支出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217 金融支出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219 援助其他地区支出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220 自然资源海洋气象等支出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221 住房保障支出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222 粮油物资储备支出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223 国有资本经营预算支出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224灾害防治及应急管理支出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227 预备费</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229 其他支出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230转移性支出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231 债务还本支出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232 债务付息支出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233 债务发行费用支出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234 抗疫特别国债还本支出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收  入  总  计</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  出  总  计</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color w:val="000000"/>
                <w:kern w:val="0"/>
                <w:sz w:val="22"/>
                <w:szCs w:val="22"/>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color w:val="000000"/>
                <w:kern w:val="0"/>
                <w:sz w:val="22"/>
                <w:szCs w:val="22"/>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bl>
    <w:p>
      <w:pPr>
        <w:widowControl/>
        <w:outlineLvl w:val="1"/>
        <w:rPr>
          <w:rFonts w:ascii="仿宋_GB2312" w:hAnsi="宋体" w:eastAsia="仿宋_GB2312"/>
          <w:b/>
          <w:kern w:val="0"/>
          <w:sz w:val="28"/>
          <w:szCs w:val="32"/>
          <w:highlight w:val="none"/>
        </w:rPr>
      </w:pPr>
      <w:r>
        <w:rPr>
          <w:rFonts w:ascii="仿宋_GB2312" w:hAnsi="宋体" w:eastAsia="仿宋_GB2312"/>
          <w:b/>
          <w:kern w:val="0"/>
          <w:sz w:val="28"/>
          <w:szCs w:val="32"/>
          <w:highlight w:val="none"/>
        </w:rPr>
        <w:br w:type="textWrapping" w:clear="all"/>
      </w: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一般公共预算支出情况表</w:t>
            </w:r>
          </w:p>
        </w:tc>
      </w:tr>
      <w:tr>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编制部门（单位）：</w:t>
            </w:r>
            <w:r>
              <w:rPr>
                <w:rFonts w:hint="eastAsia" w:ascii="仿宋_GB2312" w:hAnsi="宋体" w:eastAsia="仿宋_GB2312"/>
                <w:kern w:val="0"/>
                <w:sz w:val="24"/>
                <w:highlight w:val="none"/>
              </w:rPr>
              <w:t>克孜勒苏柯尔克孜自治州驻昌吉干休所</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208</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05</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99</w:t>
            </w:r>
          </w:p>
        </w:tc>
        <w:tc>
          <w:tcPr>
            <w:tcW w:w="251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highlight w:val="none"/>
              </w:rPr>
            </w:pPr>
            <w:r>
              <w:rPr>
                <w:rFonts w:hint="eastAsia" w:ascii="仿宋" w:hAnsi="仿宋" w:eastAsia="仿宋"/>
                <w:color w:val="000000"/>
                <w:sz w:val="18"/>
                <w:szCs w:val="18"/>
                <w:highlight w:val="none"/>
              </w:rPr>
              <w:t>其他行政事业单位养老支出</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　24.33</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　24.33</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208</w:t>
            </w: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05</w:t>
            </w: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03</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仿宋" w:hAnsi="仿宋" w:eastAsia="仿宋" w:cs="宋体"/>
                <w:color w:val="000000"/>
                <w:kern w:val="0"/>
                <w:sz w:val="18"/>
                <w:szCs w:val="18"/>
                <w:highlight w:val="none"/>
              </w:rPr>
              <w:t>离退休人员管理机构</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128.33</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128.33</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b/>
                <w:bCs/>
                <w:color w:val="000000"/>
                <w:kern w:val="0"/>
                <w:sz w:val="20"/>
                <w:szCs w:val="20"/>
                <w:highlight w:val="none"/>
              </w:rPr>
              <w:t>合  计</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152.66</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128.33</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24.33</w:t>
            </w:r>
          </w:p>
        </w:tc>
      </w:tr>
    </w:tbl>
    <w:p>
      <w:pPr>
        <w:widowControl/>
        <w:outlineLvl w:val="1"/>
        <w:rPr>
          <w:rFonts w:ascii="仿宋_GB2312" w:hAnsi="宋体" w:eastAsia="仿宋_GB2312"/>
          <w:b/>
          <w:kern w:val="0"/>
          <w:sz w:val="28"/>
          <w:szCs w:val="32"/>
          <w:highlight w:val="none"/>
        </w:rPr>
      </w:pPr>
    </w:p>
    <w:p>
      <w:pPr>
        <w:widowControl/>
        <w:outlineLvl w:val="1"/>
        <w:rPr>
          <w:rFonts w:ascii="仿宋_GB2312" w:hAnsi="宋体" w:eastAsia="仿宋_GB2312"/>
          <w:b/>
          <w:kern w:val="0"/>
          <w:sz w:val="28"/>
          <w:szCs w:val="32"/>
          <w:highlight w:val="none"/>
        </w:rPr>
      </w:pPr>
    </w:p>
    <w:p>
      <w:pPr>
        <w:widowControl/>
        <w:outlineLvl w:val="1"/>
        <w:rPr>
          <w:rFonts w:ascii="仿宋_GB2312" w:hAnsi="宋体" w:eastAsia="仿宋_GB2312"/>
          <w:b/>
          <w:kern w:val="0"/>
          <w:sz w:val="28"/>
          <w:szCs w:val="32"/>
          <w:highlight w:val="none"/>
        </w:rPr>
      </w:pPr>
    </w:p>
    <w:p>
      <w:pPr>
        <w:widowControl/>
        <w:outlineLvl w:val="1"/>
        <w:rPr>
          <w:rFonts w:ascii="仿宋_GB2312" w:hAnsi="宋体" w:eastAsia="仿宋_GB2312"/>
          <w:b/>
          <w:kern w:val="0"/>
          <w:sz w:val="28"/>
          <w:szCs w:val="32"/>
          <w:highlight w:val="none"/>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表六：</w:t>
      </w:r>
    </w:p>
    <w:tbl>
      <w:tblPr>
        <w:tblStyle w:val="7"/>
        <w:tblW w:w="9328" w:type="dxa"/>
        <w:tblInd w:w="-148" w:type="dxa"/>
        <w:tblLayout w:type="fixed"/>
        <w:tblCellMar>
          <w:top w:w="0" w:type="dxa"/>
          <w:left w:w="108" w:type="dxa"/>
          <w:bottom w:w="0" w:type="dxa"/>
          <w:right w:w="108" w:type="dxa"/>
        </w:tblCellMar>
      </w:tblPr>
      <w:tblGrid>
        <w:gridCol w:w="757"/>
        <w:gridCol w:w="775"/>
        <w:gridCol w:w="2693"/>
        <w:gridCol w:w="995"/>
        <w:gridCol w:w="706"/>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一般公共预算基本支出情况表</w:t>
            </w:r>
          </w:p>
        </w:tc>
      </w:tr>
      <w:tr>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编制部门（单位）：</w:t>
            </w:r>
            <w:r>
              <w:rPr>
                <w:rFonts w:hint="eastAsia" w:ascii="仿宋_GB2312" w:hAnsi="宋体" w:eastAsia="仿宋_GB2312"/>
                <w:kern w:val="0"/>
                <w:sz w:val="24"/>
                <w:highlight w:val="none"/>
              </w:rPr>
              <w:t>克孜勒苏柯尔克孜自治州驻昌吉干休所</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一般公共预算基本支出</w:t>
            </w:r>
          </w:p>
        </w:tc>
      </w:tr>
      <w:tr>
        <w:tblPrEx>
          <w:tblCellMar>
            <w:top w:w="0" w:type="dxa"/>
            <w:left w:w="108" w:type="dxa"/>
            <w:bottom w:w="0" w:type="dxa"/>
            <w:right w:w="108" w:type="dxa"/>
          </w:tblCellMar>
        </w:tblPrEx>
        <w:trPr>
          <w:trHeight w:val="495" w:hRule="atLeast"/>
        </w:trPr>
        <w:tc>
          <w:tcPr>
            <w:tcW w:w="1532"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经济分类科目编码</w:t>
            </w:r>
          </w:p>
        </w:tc>
        <w:tc>
          <w:tcPr>
            <w:tcW w:w="2693"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77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2693"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302</w:t>
            </w:r>
          </w:p>
        </w:tc>
        <w:tc>
          <w:tcPr>
            <w:tcW w:w="77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30211</w:t>
            </w:r>
          </w:p>
        </w:tc>
        <w:tc>
          <w:tcPr>
            <w:tcW w:w="2693"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差旅费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1</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302</w:t>
            </w:r>
          </w:p>
        </w:tc>
        <w:tc>
          <w:tcPr>
            <w:tcW w:w="77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30228</w:t>
            </w:r>
          </w:p>
        </w:tc>
        <w:tc>
          <w:tcPr>
            <w:tcW w:w="2693"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工会经费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0.5</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0.5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30229</w:t>
            </w: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福利费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0.9</w:t>
            </w:r>
          </w:p>
        </w:tc>
        <w:tc>
          <w:tcPr>
            <w:tcW w:w="1701" w:type="dxa"/>
            <w:gridSpan w:val="2"/>
            <w:tcBorders>
              <w:top w:val="nil"/>
              <w:left w:val="nil"/>
              <w:bottom w:val="single" w:color="auto" w:sz="4" w:space="0"/>
              <w:right w:val="single" w:color="auto" w:sz="4" w:space="0"/>
            </w:tcBorders>
            <w:vAlign w:val="center"/>
          </w:tcPr>
          <w:p>
            <w:pPr>
              <w:widowControl/>
              <w:ind w:right="147" w:rightChars="70"/>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0.9</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302</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30242</w:t>
            </w: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办公用品及设备采购</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0.85</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0.85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301</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30102</w:t>
            </w: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津贴补贴</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42.77</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42.77</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303</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30302</w:t>
            </w: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退休费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4.99</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4.99</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301</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30101</w:t>
            </w: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基本工资</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36</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36</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302</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30201</w:t>
            </w: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办公费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1</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302</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30205</w:t>
            </w: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0.5</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0.5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302</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30231</w:t>
            </w: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公务用车运行维护费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2.2</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2.2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301</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30113</w:t>
            </w: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住房公积金</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8.27</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8.27</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302</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30208</w:t>
            </w: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取暖费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2.51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2.51</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301</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30103</w:t>
            </w: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奖金</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3</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3</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301</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30112</w:t>
            </w: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其他社会保障缴费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9.64</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9.64</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302</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30206</w:t>
            </w: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电费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1.25</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1.25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30213</w:t>
            </w: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维修(护)费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0.38</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0.38</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301</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30108</w:t>
            </w: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11.51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11.51</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303</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30309</w:t>
            </w: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奖励金</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0.67</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0.67</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30217</w:t>
            </w: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公务接待费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0.38</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0.38</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69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b/>
                <w:bCs/>
                <w:color w:val="000000"/>
                <w:kern w:val="0"/>
                <w:sz w:val="20"/>
                <w:szCs w:val="20"/>
                <w:highlight w:val="none"/>
              </w:rPr>
              <w:t>合  计</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128.32</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116.85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bl>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表七：</w:t>
      </w:r>
    </w:p>
    <w:tbl>
      <w:tblPr>
        <w:tblStyle w:val="7"/>
        <w:tblW w:w="9540" w:type="dxa"/>
        <w:tblInd w:w="-360" w:type="dxa"/>
        <w:tblLayout w:type="fixed"/>
        <w:tblCellMar>
          <w:top w:w="0" w:type="dxa"/>
          <w:left w:w="108" w:type="dxa"/>
          <w:bottom w:w="0" w:type="dxa"/>
          <w:right w:w="108" w:type="dxa"/>
        </w:tblCellMar>
      </w:tblPr>
      <w:tblGrid>
        <w:gridCol w:w="8"/>
        <w:gridCol w:w="389"/>
        <w:gridCol w:w="397"/>
        <w:gridCol w:w="397"/>
        <w:gridCol w:w="1120"/>
        <w:gridCol w:w="1187"/>
        <w:gridCol w:w="750"/>
        <w:gridCol w:w="110"/>
        <w:gridCol w:w="459"/>
        <w:gridCol w:w="536"/>
        <w:gridCol w:w="652"/>
        <w:gridCol w:w="652"/>
        <w:gridCol w:w="378"/>
        <w:gridCol w:w="200"/>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一般公共预算项目支出情况表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编制部门（单位）：</w:t>
            </w:r>
            <w:r>
              <w:rPr>
                <w:rFonts w:hint="eastAsia" w:ascii="仿宋_GB2312" w:hAnsi="宋体" w:eastAsia="仿宋_GB2312"/>
                <w:kern w:val="0"/>
                <w:sz w:val="24"/>
                <w:highlight w:val="none"/>
              </w:rPr>
              <w:t>克孜勒苏柯尔克孜自治州驻昌吉干休所</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 目 编 码</w:t>
            </w:r>
          </w:p>
        </w:tc>
        <w:tc>
          <w:tcPr>
            <w:tcW w:w="112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科目</w:t>
            </w:r>
          </w:p>
        </w:tc>
        <w:tc>
          <w:tcPr>
            <w:tcW w:w="1187" w:type="dxa"/>
            <w:vMerge w:val="restart"/>
            <w:vAlign w:val="center"/>
          </w:tcPr>
          <w:p>
            <w:pPr>
              <w:jc w:val="center"/>
              <w:rPr>
                <w:rFonts w:ascii="Calibri" w:hAnsi="Calibri"/>
                <w:sz w:val="24"/>
                <w:highlight w:val="none"/>
              </w:rPr>
            </w:pPr>
            <w:r>
              <w:rPr>
                <w:rFonts w:hint="eastAsia" w:ascii="仿宋_GB2312" w:hAnsi="宋体" w:eastAsia="仿宋_GB2312"/>
                <w:b/>
                <w:kern w:val="0"/>
                <w:sz w:val="24"/>
                <w:highlight w:val="none"/>
              </w:rPr>
              <w:t>项目名称</w:t>
            </w:r>
          </w:p>
        </w:tc>
        <w:tc>
          <w:tcPr>
            <w:tcW w:w="75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工资福利支出</w:t>
            </w:r>
          </w:p>
        </w:tc>
        <w:tc>
          <w:tcPr>
            <w:tcW w:w="536"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w:t>
            </w:r>
          </w:p>
        </w:tc>
        <w:tc>
          <w:tcPr>
            <w:tcW w:w="578"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w:t>
            </w:r>
          </w:p>
        </w:tc>
        <w:tc>
          <w:tcPr>
            <w:tcW w:w="42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w:t>
            </w:r>
          </w:p>
        </w:tc>
        <w:tc>
          <w:tcPr>
            <w:tcW w:w="1120"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p>
        </w:tc>
        <w:tc>
          <w:tcPr>
            <w:tcW w:w="1187"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208</w:t>
            </w:r>
          </w:p>
        </w:tc>
        <w:tc>
          <w:tcPr>
            <w:tcW w:w="397"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05　</w:t>
            </w:r>
          </w:p>
        </w:tc>
        <w:tc>
          <w:tcPr>
            <w:tcW w:w="397"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99</w:t>
            </w:r>
          </w:p>
        </w:tc>
        <w:tc>
          <w:tcPr>
            <w:tcW w:w="1120"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其他行政事业单位养老支出</w:t>
            </w:r>
          </w:p>
        </w:tc>
        <w:tc>
          <w:tcPr>
            <w:tcW w:w="1187"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聘用人员工资</w:t>
            </w:r>
          </w:p>
        </w:tc>
        <w:tc>
          <w:tcPr>
            <w:tcW w:w="750"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19.2</w:t>
            </w:r>
          </w:p>
        </w:tc>
        <w:tc>
          <w:tcPr>
            <w:tcW w:w="569" w:type="dxa"/>
            <w:gridSpan w:val="2"/>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536"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652"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19.2</w:t>
            </w:r>
          </w:p>
        </w:tc>
        <w:tc>
          <w:tcPr>
            <w:tcW w:w="652"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578" w:type="dxa"/>
            <w:gridSpan w:val="2"/>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419"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578"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420"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420"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468" w:type="dxa"/>
            <w:gridSpan w:val="2"/>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208</w:t>
            </w:r>
          </w:p>
        </w:tc>
        <w:tc>
          <w:tcPr>
            <w:tcW w:w="397"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05　</w:t>
            </w:r>
          </w:p>
        </w:tc>
        <w:tc>
          <w:tcPr>
            <w:tcW w:w="397"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99</w:t>
            </w:r>
          </w:p>
        </w:tc>
        <w:tc>
          <w:tcPr>
            <w:tcW w:w="1120"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其他行政事业单位养老支出</w:t>
            </w:r>
          </w:p>
        </w:tc>
        <w:tc>
          <w:tcPr>
            <w:tcW w:w="1187"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场馆运行费</w:t>
            </w:r>
          </w:p>
        </w:tc>
        <w:tc>
          <w:tcPr>
            <w:tcW w:w="750"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4.05</w:t>
            </w:r>
          </w:p>
        </w:tc>
        <w:tc>
          <w:tcPr>
            <w:tcW w:w="569" w:type="dxa"/>
            <w:gridSpan w:val="2"/>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536"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4.05</w:t>
            </w:r>
          </w:p>
        </w:tc>
        <w:tc>
          <w:tcPr>
            <w:tcW w:w="652"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652"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578" w:type="dxa"/>
            <w:gridSpan w:val="2"/>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419"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578"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420"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420"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468" w:type="dxa"/>
            <w:gridSpan w:val="2"/>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208</w:t>
            </w:r>
          </w:p>
        </w:tc>
        <w:tc>
          <w:tcPr>
            <w:tcW w:w="397"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05　</w:t>
            </w:r>
          </w:p>
        </w:tc>
        <w:tc>
          <w:tcPr>
            <w:tcW w:w="397"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99　</w:t>
            </w:r>
          </w:p>
        </w:tc>
        <w:tc>
          <w:tcPr>
            <w:tcW w:w="1120"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其他行政事业单位养老支出</w:t>
            </w:r>
          </w:p>
        </w:tc>
        <w:tc>
          <w:tcPr>
            <w:tcW w:w="1187"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离退休党组织书记工作补贴</w:t>
            </w:r>
          </w:p>
        </w:tc>
        <w:tc>
          <w:tcPr>
            <w:tcW w:w="750"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1.08</w:t>
            </w:r>
          </w:p>
        </w:tc>
        <w:tc>
          <w:tcPr>
            <w:tcW w:w="569" w:type="dxa"/>
            <w:gridSpan w:val="2"/>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536"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652"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1.08</w:t>
            </w:r>
          </w:p>
        </w:tc>
        <w:tc>
          <w:tcPr>
            <w:tcW w:w="652"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578" w:type="dxa"/>
            <w:gridSpan w:val="2"/>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419"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578"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420"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420"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468" w:type="dxa"/>
            <w:gridSpan w:val="2"/>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397"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397"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1120"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1187"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750"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569" w:type="dxa"/>
            <w:gridSpan w:val="2"/>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536"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652"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652"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578" w:type="dxa"/>
            <w:gridSpan w:val="2"/>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419"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578"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420"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420"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468" w:type="dxa"/>
            <w:gridSpan w:val="2"/>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397"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397"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1120"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1187"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750"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569" w:type="dxa"/>
            <w:gridSpan w:val="2"/>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536"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652"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652"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578" w:type="dxa"/>
            <w:gridSpan w:val="2"/>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419"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578"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420"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420"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c>
          <w:tcPr>
            <w:tcW w:w="468" w:type="dxa"/>
            <w:gridSpan w:val="2"/>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20"/>
                <w:szCs w:val="20"/>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　</w:t>
            </w:r>
          </w:p>
        </w:tc>
        <w:tc>
          <w:tcPr>
            <w:tcW w:w="397" w:type="dxa"/>
          </w:tcPr>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　</w:t>
            </w:r>
          </w:p>
        </w:tc>
        <w:tc>
          <w:tcPr>
            <w:tcW w:w="397" w:type="dxa"/>
          </w:tcPr>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　</w:t>
            </w:r>
          </w:p>
        </w:tc>
        <w:tc>
          <w:tcPr>
            <w:tcW w:w="1120" w:type="dxa"/>
          </w:tcPr>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　</w:t>
            </w:r>
          </w:p>
        </w:tc>
        <w:tc>
          <w:tcPr>
            <w:tcW w:w="1187" w:type="dxa"/>
          </w:tcPr>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　　</w:t>
            </w:r>
          </w:p>
        </w:tc>
        <w:tc>
          <w:tcPr>
            <w:tcW w:w="750" w:type="dxa"/>
          </w:tcPr>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　</w:t>
            </w:r>
          </w:p>
        </w:tc>
        <w:tc>
          <w:tcPr>
            <w:tcW w:w="569" w:type="dxa"/>
            <w:gridSpan w:val="2"/>
          </w:tcPr>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　</w:t>
            </w:r>
          </w:p>
        </w:tc>
        <w:tc>
          <w:tcPr>
            <w:tcW w:w="536" w:type="dxa"/>
          </w:tcPr>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　</w:t>
            </w:r>
          </w:p>
        </w:tc>
        <w:tc>
          <w:tcPr>
            <w:tcW w:w="652" w:type="dxa"/>
          </w:tcPr>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　</w:t>
            </w:r>
          </w:p>
        </w:tc>
        <w:tc>
          <w:tcPr>
            <w:tcW w:w="652" w:type="dxa"/>
          </w:tcPr>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　</w:t>
            </w:r>
          </w:p>
        </w:tc>
        <w:tc>
          <w:tcPr>
            <w:tcW w:w="578" w:type="dxa"/>
            <w:gridSpan w:val="2"/>
          </w:tcPr>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　</w:t>
            </w:r>
          </w:p>
        </w:tc>
        <w:tc>
          <w:tcPr>
            <w:tcW w:w="419" w:type="dxa"/>
          </w:tcPr>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　</w:t>
            </w:r>
          </w:p>
        </w:tc>
        <w:tc>
          <w:tcPr>
            <w:tcW w:w="578" w:type="dxa"/>
          </w:tcPr>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　</w:t>
            </w:r>
          </w:p>
        </w:tc>
        <w:tc>
          <w:tcPr>
            <w:tcW w:w="420" w:type="dxa"/>
          </w:tcPr>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　</w:t>
            </w:r>
          </w:p>
        </w:tc>
        <w:tc>
          <w:tcPr>
            <w:tcW w:w="420" w:type="dxa"/>
          </w:tcPr>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　</w:t>
            </w:r>
          </w:p>
        </w:tc>
        <w:tc>
          <w:tcPr>
            <w:tcW w:w="468" w:type="dxa"/>
            <w:gridSpan w:val="2"/>
          </w:tcPr>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1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18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9"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3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6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1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18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9"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3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6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1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18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9"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3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6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highlight w:val="none"/>
              </w:rPr>
            </w:pPr>
          </w:p>
        </w:tc>
        <w:tc>
          <w:tcPr>
            <w:tcW w:w="397" w:type="dxa"/>
          </w:tcPr>
          <w:p>
            <w:pPr>
              <w:widowControl/>
              <w:jc w:val="left"/>
              <w:outlineLvl w:val="1"/>
              <w:rPr>
                <w:rFonts w:ascii="仿宋_GB2312" w:hAnsi="宋体" w:eastAsia="仿宋_GB2312"/>
                <w:kern w:val="0"/>
                <w:sz w:val="32"/>
                <w:szCs w:val="32"/>
                <w:highlight w:val="none"/>
              </w:rPr>
            </w:pPr>
          </w:p>
        </w:tc>
        <w:tc>
          <w:tcPr>
            <w:tcW w:w="397" w:type="dxa"/>
          </w:tcPr>
          <w:p>
            <w:pPr>
              <w:widowControl/>
              <w:jc w:val="left"/>
              <w:outlineLvl w:val="1"/>
              <w:rPr>
                <w:rFonts w:ascii="仿宋_GB2312" w:hAnsi="宋体" w:eastAsia="仿宋_GB2312"/>
                <w:kern w:val="0"/>
                <w:sz w:val="32"/>
                <w:szCs w:val="32"/>
                <w:highlight w:val="none"/>
              </w:rPr>
            </w:pPr>
          </w:p>
        </w:tc>
        <w:tc>
          <w:tcPr>
            <w:tcW w:w="1120" w:type="dxa"/>
          </w:tcPr>
          <w:p>
            <w:pPr>
              <w:widowControl/>
              <w:jc w:val="left"/>
              <w:outlineLvl w:val="1"/>
              <w:rPr>
                <w:rFonts w:ascii="仿宋_GB2312" w:hAnsi="宋体" w:eastAsia="仿宋_GB2312"/>
                <w:kern w:val="0"/>
                <w:sz w:val="32"/>
                <w:szCs w:val="32"/>
                <w:highlight w:val="none"/>
              </w:rPr>
            </w:pPr>
          </w:p>
        </w:tc>
        <w:tc>
          <w:tcPr>
            <w:tcW w:w="1187" w:type="dxa"/>
          </w:tcPr>
          <w:p>
            <w:pPr>
              <w:widowControl/>
              <w:jc w:val="left"/>
              <w:outlineLvl w:val="1"/>
              <w:rPr>
                <w:rFonts w:ascii="仿宋_GB2312" w:hAnsi="宋体" w:eastAsia="仿宋_GB2312"/>
                <w:kern w:val="0"/>
                <w:sz w:val="32"/>
                <w:szCs w:val="32"/>
                <w:highlight w:val="none"/>
              </w:rPr>
            </w:pPr>
          </w:p>
        </w:tc>
        <w:tc>
          <w:tcPr>
            <w:tcW w:w="750" w:type="dxa"/>
          </w:tcPr>
          <w:p>
            <w:pPr>
              <w:widowControl/>
              <w:jc w:val="left"/>
              <w:outlineLvl w:val="1"/>
              <w:rPr>
                <w:rFonts w:ascii="仿宋_GB2312" w:hAnsi="宋体" w:eastAsia="仿宋_GB2312"/>
                <w:kern w:val="0"/>
                <w:sz w:val="32"/>
                <w:szCs w:val="32"/>
                <w:highlight w:val="none"/>
              </w:rPr>
            </w:pPr>
          </w:p>
        </w:tc>
        <w:tc>
          <w:tcPr>
            <w:tcW w:w="569" w:type="dxa"/>
            <w:gridSpan w:val="2"/>
          </w:tcPr>
          <w:p>
            <w:pPr>
              <w:widowControl/>
              <w:jc w:val="left"/>
              <w:outlineLvl w:val="1"/>
              <w:rPr>
                <w:rFonts w:ascii="仿宋_GB2312" w:hAnsi="宋体" w:eastAsia="仿宋_GB2312"/>
                <w:kern w:val="0"/>
                <w:sz w:val="32"/>
                <w:szCs w:val="32"/>
                <w:highlight w:val="none"/>
              </w:rPr>
            </w:pPr>
          </w:p>
        </w:tc>
        <w:tc>
          <w:tcPr>
            <w:tcW w:w="536" w:type="dxa"/>
          </w:tcPr>
          <w:p>
            <w:pPr>
              <w:widowControl/>
              <w:jc w:val="left"/>
              <w:outlineLvl w:val="1"/>
              <w:rPr>
                <w:rFonts w:ascii="仿宋_GB2312" w:hAnsi="宋体" w:eastAsia="仿宋_GB2312"/>
                <w:kern w:val="0"/>
                <w:sz w:val="32"/>
                <w:szCs w:val="32"/>
                <w:highlight w:val="none"/>
              </w:rPr>
            </w:pPr>
          </w:p>
        </w:tc>
        <w:tc>
          <w:tcPr>
            <w:tcW w:w="652" w:type="dxa"/>
          </w:tcPr>
          <w:p>
            <w:pPr>
              <w:widowControl/>
              <w:jc w:val="left"/>
              <w:outlineLvl w:val="1"/>
              <w:rPr>
                <w:rFonts w:ascii="仿宋_GB2312" w:hAnsi="宋体" w:eastAsia="仿宋_GB2312"/>
                <w:kern w:val="0"/>
                <w:sz w:val="32"/>
                <w:szCs w:val="32"/>
                <w:highlight w:val="none"/>
              </w:rPr>
            </w:pPr>
          </w:p>
        </w:tc>
        <w:tc>
          <w:tcPr>
            <w:tcW w:w="652" w:type="dxa"/>
          </w:tcPr>
          <w:p>
            <w:pPr>
              <w:widowControl/>
              <w:jc w:val="left"/>
              <w:outlineLvl w:val="1"/>
              <w:rPr>
                <w:rFonts w:ascii="仿宋_GB2312" w:hAnsi="宋体" w:eastAsia="仿宋_GB2312"/>
                <w:kern w:val="0"/>
                <w:sz w:val="32"/>
                <w:szCs w:val="32"/>
                <w:highlight w:val="none"/>
              </w:rPr>
            </w:pPr>
          </w:p>
        </w:tc>
        <w:tc>
          <w:tcPr>
            <w:tcW w:w="578" w:type="dxa"/>
            <w:gridSpan w:val="2"/>
          </w:tcPr>
          <w:p>
            <w:pPr>
              <w:widowControl/>
              <w:jc w:val="left"/>
              <w:outlineLvl w:val="1"/>
              <w:rPr>
                <w:rFonts w:ascii="仿宋_GB2312" w:hAnsi="宋体" w:eastAsia="仿宋_GB2312"/>
                <w:kern w:val="0"/>
                <w:sz w:val="32"/>
                <w:szCs w:val="32"/>
                <w:highlight w:val="none"/>
              </w:rPr>
            </w:pPr>
          </w:p>
        </w:tc>
        <w:tc>
          <w:tcPr>
            <w:tcW w:w="419" w:type="dxa"/>
          </w:tcPr>
          <w:p>
            <w:pPr>
              <w:widowControl/>
              <w:jc w:val="left"/>
              <w:outlineLvl w:val="1"/>
              <w:rPr>
                <w:rFonts w:ascii="仿宋_GB2312" w:hAnsi="宋体" w:eastAsia="仿宋_GB2312"/>
                <w:kern w:val="0"/>
                <w:sz w:val="32"/>
                <w:szCs w:val="32"/>
                <w:highlight w:val="none"/>
              </w:rPr>
            </w:pPr>
          </w:p>
        </w:tc>
        <w:tc>
          <w:tcPr>
            <w:tcW w:w="578" w:type="dxa"/>
          </w:tcPr>
          <w:p>
            <w:pPr>
              <w:widowControl/>
              <w:jc w:val="left"/>
              <w:outlineLvl w:val="1"/>
              <w:rPr>
                <w:rFonts w:ascii="仿宋_GB2312" w:hAnsi="宋体" w:eastAsia="仿宋_GB2312"/>
                <w:kern w:val="0"/>
                <w:sz w:val="32"/>
                <w:szCs w:val="32"/>
                <w:highlight w:val="none"/>
              </w:rPr>
            </w:pPr>
          </w:p>
        </w:tc>
        <w:tc>
          <w:tcPr>
            <w:tcW w:w="420" w:type="dxa"/>
          </w:tcPr>
          <w:p>
            <w:pPr>
              <w:widowControl/>
              <w:jc w:val="left"/>
              <w:outlineLvl w:val="1"/>
              <w:rPr>
                <w:rFonts w:ascii="仿宋_GB2312" w:hAnsi="宋体" w:eastAsia="仿宋_GB2312"/>
                <w:kern w:val="0"/>
                <w:sz w:val="32"/>
                <w:szCs w:val="32"/>
                <w:highlight w:val="none"/>
              </w:rPr>
            </w:pPr>
          </w:p>
        </w:tc>
        <w:tc>
          <w:tcPr>
            <w:tcW w:w="420" w:type="dxa"/>
          </w:tcPr>
          <w:p>
            <w:pPr>
              <w:widowControl/>
              <w:jc w:val="left"/>
              <w:outlineLvl w:val="1"/>
              <w:rPr>
                <w:rFonts w:ascii="仿宋_GB2312" w:hAnsi="宋体" w:eastAsia="仿宋_GB2312"/>
                <w:kern w:val="0"/>
                <w:sz w:val="32"/>
                <w:szCs w:val="32"/>
                <w:highlight w:val="none"/>
              </w:rPr>
            </w:pPr>
          </w:p>
        </w:tc>
        <w:tc>
          <w:tcPr>
            <w:tcW w:w="468" w:type="dxa"/>
            <w:gridSpan w:val="2"/>
          </w:tcPr>
          <w:p>
            <w:pPr>
              <w:widowControl/>
              <w:jc w:val="lef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1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18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9"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3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6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1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18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9"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3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6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1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187" w:type="dxa"/>
            <w:vAlign w:val="center"/>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b/>
                <w:bCs/>
                <w:kern w:val="0"/>
                <w:szCs w:val="21"/>
                <w:highlight w:val="none"/>
              </w:rPr>
              <w:t>合 计</w:t>
            </w:r>
          </w:p>
        </w:tc>
        <w:tc>
          <w:tcPr>
            <w:tcW w:w="750" w:type="dxa"/>
            <w:vAlign w:val="center"/>
          </w:tcPr>
          <w:p>
            <w:pPr>
              <w:widowControl/>
              <w:jc w:val="center"/>
              <w:outlineLvl w:val="1"/>
              <w:rPr>
                <w:rFonts w:ascii="仿宋_GB2312" w:hAnsi="宋体" w:eastAsia="仿宋_GB2312"/>
                <w:kern w:val="0"/>
                <w:szCs w:val="21"/>
                <w:highlight w:val="none"/>
              </w:rPr>
            </w:pPr>
            <w:r>
              <w:rPr>
                <w:rFonts w:hint="eastAsia" w:ascii="仿宋_GB2312" w:hAnsi="宋体" w:eastAsia="仿宋_GB2312"/>
                <w:kern w:val="0"/>
                <w:szCs w:val="21"/>
                <w:highlight w:val="none"/>
              </w:rPr>
              <w:t>24.33</w:t>
            </w:r>
          </w:p>
        </w:tc>
        <w:tc>
          <w:tcPr>
            <w:tcW w:w="569"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36" w:type="dxa"/>
          </w:tcPr>
          <w:p>
            <w:pPr>
              <w:widowControl/>
              <w:jc w:val="center"/>
              <w:outlineLvl w:val="1"/>
              <w:rPr>
                <w:rFonts w:ascii="仿宋_GB2312" w:hAnsi="宋体" w:eastAsia="仿宋_GB2312"/>
                <w:kern w:val="0"/>
                <w:szCs w:val="21"/>
                <w:highlight w:val="none"/>
              </w:rPr>
            </w:pPr>
            <w:r>
              <w:rPr>
                <w:rFonts w:hint="eastAsia" w:ascii="仿宋_GB2312" w:hAnsi="宋体" w:eastAsia="仿宋_GB2312"/>
                <w:kern w:val="0"/>
                <w:szCs w:val="21"/>
                <w:highlight w:val="none"/>
              </w:rPr>
              <w:t>4.05</w:t>
            </w:r>
          </w:p>
        </w:tc>
        <w:tc>
          <w:tcPr>
            <w:tcW w:w="652" w:type="dxa"/>
          </w:tcPr>
          <w:p>
            <w:pPr>
              <w:widowControl/>
              <w:jc w:val="left"/>
              <w:outlineLvl w:val="1"/>
              <w:rPr>
                <w:rFonts w:ascii="仿宋_GB2312" w:hAnsi="宋体" w:eastAsia="仿宋_GB2312"/>
                <w:kern w:val="0"/>
                <w:sz w:val="20"/>
                <w:szCs w:val="20"/>
                <w:highlight w:val="none"/>
              </w:rPr>
            </w:pPr>
            <w:r>
              <w:rPr>
                <w:rFonts w:hint="eastAsia" w:ascii="仿宋_GB2312" w:hAnsi="宋体" w:eastAsia="仿宋_GB2312"/>
                <w:kern w:val="0"/>
                <w:sz w:val="32"/>
                <w:szCs w:val="32"/>
                <w:highlight w:val="none"/>
              </w:rPr>
              <w:t>　</w:t>
            </w:r>
            <w:r>
              <w:rPr>
                <w:rFonts w:hint="eastAsia" w:ascii="仿宋_GB2312" w:hAnsi="宋体" w:eastAsia="仿宋_GB2312"/>
                <w:kern w:val="0"/>
                <w:sz w:val="20"/>
                <w:szCs w:val="20"/>
                <w:highlight w:val="none"/>
              </w:rPr>
              <w:t>20.28</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6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bl>
    <w:p>
      <w:pPr>
        <w:widowControl/>
        <w:jc w:val="left"/>
        <w:outlineLvl w:val="1"/>
        <w:rPr>
          <w:rFonts w:ascii="仿宋_GB2312" w:hAnsi="宋体" w:eastAsia="仿宋_GB2312"/>
          <w:b/>
          <w:kern w:val="0"/>
          <w:sz w:val="28"/>
          <w:szCs w:val="32"/>
          <w:highlight w:val="none"/>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表八：</w:t>
      </w:r>
    </w:p>
    <w:p>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一般公共预算“三公”经费支出情况表</w:t>
      </w:r>
    </w:p>
    <w:p>
      <w:pPr>
        <w:widowControl/>
        <w:jc w:val="center"/>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  克孜勒苏柯尔克孜自治州驻昌吉干休所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2.58</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2.58</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2.2</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0.38</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r>
    </w:tbl>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spacing w:line="280" w:lineRule="exact"/>
        <w:jc w:val="left"/>
        <w:outlineLvl w:val="1"/>
        <w:rPr>
          <w:rFonts w:ascii="仿宋_GB2312" w:hAnsi="宋体" w:eastAsia="仿宋_GB2312"/>
          <w:b/>
          <w:kern w:val="0"/>
          <w:sz w:val="32"/>
          <w:szCs w:val="32"/>
          <w:highlight w:val="none"/>
        </w:rPr>
      </w:pPr>
    </w:p>
    <w:p>
      <w:pPr>
        <w:widowControl/>
        <w:spacing w:line="280" w:lineRule="exact"/>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表九：</w:t>
      </w:r>
    </w:p>
    <w:p>
      <w:pPr>
        <w:widowControl/>
        <w:spacing w:line="280" w:lineRule="exact"/>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政府性基金预算支出情况表</w:t>
      </w:r>
    </w:p>
    <w:p>
      <w:pPr>
        <w:widowControl/>
        <w:spacing w:line="280" w:lineRule="exac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编制部门（单位）：克孜勒苏柯尔克孜自治州驻昌吉干休所  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r>
              <w:rPr>
                <w:rFonts w:hint="eastAsia" w:ascii="仿宋_GB2312" w:hAnsi="宋体" w:eastAsia="仿宋_GB2312" w:cs="宋体"/>
                <w:b/>
                <w:bCs/>
                <w:color w:val="000000"/>
                <w:kern w:val="0"/>
                <w:sz w:val="24"/>
                <w:highlight w:val="none"/>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bl>
    <w:p>
      <w:pPr>
        <w:widowControl/>
        <w:spacing w:line="28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spacing w:line="280" w:lineRule="exact"/>
        <w:jc w:val="left"/>
        <w:outlineLvl w:val="1"/>
        <w:rPr>
          <w:rFonts w:ascii="仿宋_GB2312" w:hAnsi="宋体" w:eastAsia="仿宋_GB2312"/>
          <w:kern w:val="0"/>
          <w:sz w:val="32"/>
          <w:szCs w:val="32"/>
          <w:highlight w:val="none"/>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spacing w:line="560" w:lineRule="exact"/>
        <w:jc w:val="center"/>
        <w:rPr>
          <w:rFonts w:ascii="黑体" w:hAnsi="黑体" w:eastAsia="黑体"/>
          <w:kern w:val="0"/>
          <w:sz w:val="32"/>
          <w:szCs w:val="32"/>
          <w:highlight w:val="none"/>
        </w:rPr>
      </w:pPr>
      <w:r>
        <w:rPr>
          <w:rFonts w:hint="eastAsia" w:ascii="黑体" w:hAnsi="黑体" w:eastAsia="黑体"/>
          <w:kern w:val="0"/>
          <w:sz w:val="32"/>
          <w:szCs w:val="32"/>
          <w:highlight w:val="none"/>
        </w:rPr>
        <w:t>第三部分  2021年部门（单位）预算情况说明</w:t>
      </w:r>
    </w:p>
    <w:p>
      <w:pPr>
        <w:spacing w:line="560" w:lineRule="exact"/>
        <w:ind w:firstLine="640" w:firstLineChars="200"/>
        <w:rPr>
          <w:rFonts w:ascii="黑体" w:hAnsi="宋体" w:eastAsia="黑体" w:cs="宋体"/>
          <w:kern w:val="0"/>
          <w:sz w:val="32"/>
          <w:szCs w:val="32"/>
          <w:highlight w:val="none"/>
        </w:rPr>
      </w:pPr>
      <w:r>
        <w:rPr>
          <w:rFonts w:hint="eastAsia" w:ascii="黑体" w:hAnsi="黑体" w:eastAsia="黑体" w:cs="宋体"/>
          <w:bCs/>
          <w:kern w:val="0"/>
          <w:sz w:val="32"/>
          <w:szCs w:val="32"/>
          <w:highlight w:val="none"/>
        </w:rPr>
        <w:t>一、</w:t>
      </w:r>
      <w:r>
        <w:rPr>
          <w:rFonts w:hint="eastAsia" w:ascii="黑体" w:hAnsi="宋体" w:eastAsia="黑体" w:cs="宋体"/>
          <w:kern w:val="0"/>
          <w:sz w:val="32"/>
          <w:szCs w:val="32"/>
          <w:highlight w:val="none"/>
        </w:rPr>
        <w:t>关于克孜勒苏柯尔克孜自治州驻昌吉干休所2021年收支预算情况的总体说明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按照全口径预算的原则，克孜勒苏柯尔克孜自治州驻昌吉干休所2021年所有收入和支出均纳入部门（单位）预算管理。收支总预算152.66万元。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收入预算包括：一般公共预算152.66万元。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支出预算包括：社会保障和就业支出152.66万元。</w:t>
      </w:r>
    </w:p>
    <w:p>
      <w:pPr>
        <w:spacing w:line="56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二、关于克孜勒苏柯尔克孜自治州驻昌吉干休所2021年收入预算情况说明</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克孜勒苏柯尔克孜自治州驻昌吉干休所收入预算152.66万元，其中：</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一般公共预算152.66万元，占100%，比上年预算增加3.42万元，主要原因是离退休人员管理机构基本支出增加3.54万元，离退休人员管理机构项目支出减少0.12万元。    </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政府性基金预算未安排。</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国有资本</w:t>
      </w:r>
      <w:r>
        <w:rPr>
          <w:rFonts w:ascii="仿宋_GB2312" w:hAnsi="宋体" w:eastAsia="仿宋_GB2312" w:cs="宋体"/>
          <w:kern w:val="0"/>
          <w:sz w:val="32"/>
          <w:szCs w:val="32"/>
          <w:highlight w:val="none"/>
        </w:rPr>
        <w:t>经营预算</w:t>
      </w:r>
      <w:r>
        <w:rPr>
          <w:rFonts w:hint="eastAsia" w:ascii="仿宋_GB2312" w:hAnsi="宋体" w:eastAsia="仿宋_GB2312" w:cs="宋体"/>
          <w:kern w:val="0"/>
          <w:sz w:val="32"/>
          <w:szCs w:val="32"/>
          <w:highlight w:val="none"/>
        </w:rPr>
        <w:t>未安排。</w:t>
      </w:r>
    </w:p>
    <w:p>
      <w:pPr>
        <w:spacing w:line="56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三、关于克孜勒苏柯尔克孜自治州驻昌吉干休所年支出预算情况说明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克孜勒苏柯尔克孜自治州驻昌吉干休所2021年支出预算152.66万元，其中：</w:t>
      </w:r>
    </w:p>
    <w:p>
      <w:pPr>
        <w:spacing w:line="560" w:lineRule="exact"/>
        <w:ind w:firstLine="640" w:firstLineChars="200"/>
        <w:rPr>
          <w:rFonts w:ascii="仿宋_GB2312" w:hAnsi="宋体" w:eastAsia="仿宋_GB2312" w:cs="宋体"/>
          <w:b/>
          <w:kern w:val="0"/>
          <w:sz w:val="32"/>
          <w:szCs w:val="32"/>
          <w:highlight w:val="none"/>
        </w:rPr>
      </w:pPr>
      <w:r>
        <w:rPr>
          <w:rFonts w:hint="eastAsia" w:ascii="仿宋_GB2312" w:hAnsi="宋体" w:eastAsia="仿宋_GB2312" w:cs="宋体"/>
          <w:kern w:val="0"/>
          <w:sz w:val="32"/>
          <w:szCs w:val="32"/>
          <w:highlight w:val="none"/>
        </w:rPr>
        <w:t>基本支出128.33万元，占84%，比上年预算增加3.54万元，主要原因是：1</w:t>
      </w:r>
      <w:r>
        <w:rPr>
          <w:rFonts w:hint="eastAsia" w:ascii="仿宋_GB2312" w:hAnsi="宋体" w:eastAsia="仿宋_GB2312" w:cs="宋体"/>
          <w:kern w:val="0"/>
          <w:sz w:val="32"/>
          <w:szCs w:val="32"/>
          <w:highlight w:val="none"/>
          <w:lang w:val="en-US" w:eastAsia="zh-CN"/>
        </w:rPr>
        <w:t>.</w:t>
      </w:r>
      <w:r>
        <w:rPr>
          <w:rFonts w:hint="eastAsia" w:ascii="仿宋_GB2312" w:hAnsi="宋体" w:eastAsia="仿宋_GB2312" w:cs="宋体"/>
          <w:kern w:val="0"/>
          <w:sz w:val="32"/>
          <w:szCs w:val="32"/>
          <w:highlight w:val="none"/>
        </w:rPr>
        <w:t>基本工资增加1.49万元，奖金增加0.12万元，津贴补贴增加0.8万元；2</w:t>
      </w:r>
      <w:r>
        <w:rPr>
          <w:rFonts w:hint="eastAsia" w:ascii="仿宋_GB2312" w:hAnsi="宋体" w:eastAsia="仿宋_GB2312" w:cs="宋体"/>
          <w:kern w:val="0"/>
          <w:sz w:val="32"/>
          <w:szCs w:val="32"/>
          <w:highlight w:val="none"/>
          <w:lang w:val="en-US" w:eastAsia="zh-CN"/>
        </w:rPr>
        <w:t>.</w:t>
      </w:r>
      <w:r>
        <w:rPr>
          <w:rFonts w:hint="eastAsia" w:ascii="仿宋_GB2312" w:hAnsi="宋体" w:eastAsia="仿宋_GB2312" w:cs="宋体"/>
          <w:kern w:val="0"/>
          <w:sz w:val="32"/>
          <w:szCs w:val="32"/>
          <w:highlight w:val="none"/>
        </w:rPr>
        <w:t>在职人员及退休职工社会保障费缴费增加；3</w:t>
      </w:r>
      <w:r>
        <w:rPr>
          <w:rFonts w:hint="eastAsia" w:ascii="仿宋_GB2312" w:hAnsi="宋体" w:eastAsia="仿宋_GB2312" w:cs="宋体"/>
          <w:kern w:val="0"/>
          <w:sz w:val="32"/>
          <w:szCs w:val="32"/>
          <w:highlight w:val="none"/>
          <w:lang w:val="en-US" w:eastAsia="zh-CN"/>
        </w:rPr>
        <w:t>.</w:t>
      </w:r>
      <w:r>
        <w:rPr>
          <w:rFonts w:hint="eastAsia" w:ascii="仿宋_GB2312" w:hAnsi="宋体" w:eastAsia="仿宋_GB2312" w:cs="宋体"/>
          <w:kern w:val="0"/>
          <w:sz w:val="32"/>
          <w:szCs w:val="32"/>
          <w:highlight w:val="none"/>
        </w:rPr>
        <w:t>在职人员住房公积金缴费增加。</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项目支出24.33万元，占16%，比上年预算减少0.12万元，主要原因是离退休党组织书记工作补贴减少。</w:t>
      </w:r>
    </w:p>
    <w:p>
      <w:pPr>
        <w:spacing w:line="560" w:lineRule="exact"/>
        <w:ind w:firstLine="640" w:firstLineChars="200"/>
        <w:rPr>
          <w:rFonts w:ascii="黑体" w:hAnsi="黑体" w:eastAsia="黑体" w:cs="宋体"/>
          <w:bCs/>
          <w:kern w:val="0"/>
          <w:sz w:val="32"/>
          <w:szCs w:val="32"/>
          <w:highlight w:val="none"/>
        </w:rPr>
      </w:pPr>
      <w:r>
        <w:rPr>
          <w:rFonts w:hint="eastAsia" w:ascii="黑体" w:hAnsi="黑体" w:eastAsia="黑体" w:cs="宋体"/>
          <w:bCs/>
          <w:kern w:val="0"/>
          <w:sz w:val="32"/>
          <w:szCs w:val="32"/>
          <w:highlight w:val="none"/>
        </w:rPr>
        <w:t>四、关于克孜勒苏柯尔克孜自治州驻昌吉干休所2021年财政拨款收支预算情况的总体说明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2021年财政拨款收支总预算152.66万元。</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收入全部为一般公共预算拨款，无政府性基金预算拨款和</w:t>
      </w:r>
      <w:r>
        <w:rPr>
          <w:rFonts w:ascii="仿宋_GB2312" w:hAnsi="宋体" w:eastAsia="仿宋_GB2312" w:cs="宋体"/>
          <w:spacing w:val="-6"/>
          <w:kern w:val="0"/>
          <w:sz w:val="32"/>
          <w:szCs w:val="32"/>
          <w:highlight w:val="none"/>
        </w:rPr>
        <w:t>国有资本经营预算</w:t>
      </w:r>
      <w:r>
        <w:rPr>
          <w:rFonts w:hint="eastAsia" w:ascii="仿宋_GB2312" w:hAnsi="宋体" w:eastAsia="仿宋_GB2312" w:cs="宋体"/>
          <w:spacing w:val="-6"/>
          <w:kern w:val="0"/>
          <w:sz w:val="32"/>
          <w:szCs w:val="32"/>
          <w:highlight w:val="none"/>
        </w:rPr>
        <w:t>。</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收入预算</w:t>
      </w:r>
      <w:r>
        <w:rPr>
          <w:rFonts w:ascii="仿宋_GB2312" w:hAnsi="宋体" w:eastAsia="仿宋_GB2312" w:cs="宋体"/>
          <w:spacing w:val="-6"/>
          <w:kern w:val="0"/>
          <w:sz w:val="32"/>
          <w:szCs w:val="32"/>
          <w:highlight w:val="none"/>
        </w:rPr>
        <w:t>包括：一般公共预算拨款</w:t>
      </w:r>
      <w:r>
        <w:rPr>
          <w:rFonts w:hint="eastAsia" w:ascii="仿宋_GB2312" w:hAnsi="宋体" w:eastAsia="仿宋_GB2312" w:cs="宋体"/>
          <w:kern w:val="0"/>
          <w:sz w:val="32"/>
          <w:szCs w:val="32"/>
          <w:highlight w:val="none"/>
        </w:rPr>
        <w:t>152.66</w:t>
      </w:r>
      <w:r>
        <w:rPr>
          <w:rFonts w:hint="eastAsia" w:ascii="仿宋_GB2312" w:hAnsi="宋体" w:eastAsia="仿宋_GB2312" w:cs="宋体"/>
          <w:spacing w:val="-6"/>
          <w:kern w:val="0"/>
          <w:sz w:val="32"/>
          <w:szCs w:val="32"/>
          <w:highlight w:val="none"/>
        </w:rPr>
        <w:t>万元</w:t>
      </w:r>
      <w:r>
        <w:rPr>
          <w:rFonts w:ascii="仿宋_GB2312" w:hAnsi="宋体" w:eastAsia="仿宋_GB2312" w:cs="宋体"/>
          <w:spacing w:val="-6"/>
          <w:kern w:val="0"/>
          <w:sz w:val="32"/>
          <w:szCs w:val="32"/>
          <w:highlight w:val="none"/>
        </w:rPr>
        <w:t>。</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一般</w:t>
      </w:r>
      <w:r>
        <w:rPr>
          <w:rFonts w:ascii="仿宋_GB2312" w:hAnsi="宋体" w:eastAsia="仿宋_GB2312" w:cs="宋体"/>
          <w:spacing w:val="-6"/>
          <w:kern w:val="0"/>
          <w:sz w:val="32"/>
          <w:szCs w:val="32"/>
          <w:highlight w:val="none"/>
        </w:rPr>
        <w:t>公共预算支出包括：</w:t>
      </w:r>
      <w:r>
        <w:rPr>
          <w:rFonts w:hint="eastAsia" w:ascii="仿宋_GB2312" w:hAnsi="宋体" w:eastAsia="仿宋_GB2312" w:cs="宋体"/>
          <w:kern w:val="0"/>
          <w:sz w:val="32"/>
          <w:szCs w:val="32"/>
          <w:highlight w:val="none"/>
        </w:rPr>
        <w:t>社会保障和就业支出152.66，</w:t>
      </w:r>
      <w:r>
        <w:rPr>
          <w:rFonts w:hint="eastAsia" w:ascii="仿宋_GB2312" w:hAnsi="宋体" w:eastAsia="仿宋_GB2312" w:cs="宋体"/>
          <w:spacing w:val="-6"/>
          <w:kern w:val="0"/>
          <w:sz w:val="32"/>
          <w:szCs w:val="32"/>
          <w:highlight w:val="none"/>
        </w:rPr>
        <w:t>主要用于人员经费116.86万元；公用经费11.47万元；离退休人员管理及聘用人员工资24.32万元。</w:t>
      </w:r>
    </w:p>
    <w:p>
      <w:pPr>
        <w:spacing w:line="56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五、关于克孜勒苏柯尔克孜自治州驻昌吉干休所2021年一般公共预算当年拨款情况说明</w:t>
      </w:r>
    </w:p>
    <w:p>
      <w:pPr>
        <w:spacing w:line="56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（一）一般公共预算当年拨款规模变化情况</w:t>
      </w:r>
    </w:p>
    <w:p>
      <w:pPr>
        <w:spacing w:line="560" w:lineRule="exact"/>
        <w:ind w:firstLine="616" w:firstLineChars="200"/>
        <w:rPr>
          <w:rFonts w:ascii="仿宋_GB2312" w:hAnsi="宋体" w:eastAsia="仿宋_GB2312" w:cs="宋体"/>
          <w:kern w:val="0"/>
          <w:sz w:val="32"/>
          <w:szCs w:val="32"/>
          <w:highlight w:val="none"/>
        </w:rPr>
      </w:pPr>
      <w:r>
        <w:rPr>
          <w:rFonts w:hint="eastAsia" w:ascii="仿宋_GB2312" w:hAnsi="宋体" w:eastAsia="仿宋_GB2312" w:cs="宋体"/>
          <w:spacing w:val="-6"/>
          <w:kern w:val="0"/>
          <w:sz w:val="32"/>
          <w:szCs w:val="32"/>
          <w:highlight w:val="none"/>
        </w:rPr>
        <w:t>克孜勒苏柯尔克孜自治州驻昌吉干休所2021年一般公共预算拨款合计152.66万元，其中：基本支出128.33万元，比上年预算增加3.54万元，增长0.28%。主要原因是：1</w:t>
      </w:r>
      <w:r>
        <w:rPr>
          <w:rFonts w:hint="eastAsia" w:ascii="仿宋_GB2312" w:hAnsi="宋体" w:eastAsia="仿宋_GB2312" w:cs="宋体"/>
          <w:spacing w:val="-6"/>
          <w:kern w:val="0"/>
          <w:sz w:val="32"/>
          <w:szCs w:val="32"/>
          <w:highlight w:val="none"/>
          <w:lang w:val="en-US" w:eastAsia="zh-CN"/>
        </w:rPr>
        <w:t>.</w:t>
      </w:r>
      <w:r>
        <w:rPr>
          <w:rFonts w:hint="eastAsia" w:ascii="仿宋_GB2312" w:hAnsi="宋体" w:eastAsia="仿宋_GB2312" w:cs="宋体"/>
          <w:spacing w:val="-6"/>
          <w:kern w:val="0"/>
          <w:sz w:val="32"/>
          <w:szCs w:val="32"/>
          <w:highlight w:val="none"/>
        </w:rPr>
        <w:t>基本工资、津贴补贴增加；2</w:t>
      </w:r>
      <w:r>
        <w:rPr>
          <w:rFonts w:hint="eastAsia" w:ascii="仿宋_GB2312" w:hAnsi="宋体" w:eastAsia="仿宋_GB2312" w:cs="宋体"/>
          <w:spacing w:val="-6"/>
          <w:kern w:val="0"/>
          <w:sz w:val="32"/>
          <w:szCs w:val="32"/>
          <w:highlight w:val="none"/>
          <w:lang w:val="en-US" w:eastAsia="zh-CN"/>
        </w:rPr>
        <w:t>.</w:t>
      </w:r>
      <w:r>
        <w:rPr>
          <w:rFonts w:hint="eastAsia" w:ascii="仿宋_GB2312" w:hAnsi="宋体" w:eastAsia="仿宋_GB2312" w:cs="宋体"/>
          <w:spacing w:val="-6"/>
          <w:kern w:val="0"/>
          <w:sz w:val="32"/>
          <w:szCs w:val="32"/>
          <w:highlight w:val="none"/>
        </w:rPr>
        <w:t>在职人员及退休职工社会保障费缴费增加；3</w:t>
      </w:r>
      <w:r>
        <w:rPr>
          <w:rFonts w:hint="eastAsia" w:ascii="仿宋_GB2312" w:hAnsi="宋体" w:eastAsia="仿宋_GB2312" w:cs="宋体"/>
          <w:spacing w:val="-6"/>
          <w:kern w:val="0"/>
          <w:sz w:val="32"/>
          <w:szCs w:val="32"/>
          <w:highlight w:val="none"/>
          <w:lang w:val="en-US" w:eastAsia="zh-CN"/>
        </w:rPr>
        <w:t>.</w:t>
      </w:r>
      <w:r>
        <w:rPr>
          <w:rFonts w:hint="eastAsia" w:ascii="仿宋_GB2312" w:hAnsi="宋体" w:eastAsia="仿宋_GB2312" w:cs="宋体"/>
          <w:spacing w:val="-6"/>
          <w:kern w:val="0"/>
          <w:sz w:val="32"/>
          <w:szCs w:val="32"/>
          <w:highlight w:val="none"/>
        </w:rPr>
        <w:t>在职人员</w:t>
      </w:r>
      <w:r>
        <w:rPr>
          <w:rFonts w:hint="eastAsia" w:ascii="仿宋_GB2312" w:hAnsi="宋体" w:eastAsia="仿宋_GB2312" w:cs="宋体"/>
          <w:kern w:val="0"/>
          <w:sz w:val="32"/>
          <w:szCs w:val="32"/>
          <w:highlight w:val="none"/>
        </w:rPr>
        <w:t>住房公积金缴费增加。项目支出 24.33</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比上年预算减少0.12万元，降低0.01%，主要原因是离退休党组织书记工作补贴减少。</w:t>
      </w:r>
    </w:p>
    <w:p>
      <w:pPr>
        <w:spacing w:line="56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（二）一般公共预算当年拨款结构情况</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社会保障和就业支出（类</w:t>
      </w:r>
      <w:r>
        <w:rPr>
          <w:rFonts w:hint="eastAsia" w:ascii="仿宋_GB2312" w:hAnsi="宋体" w:eastAsia="仿宋_GB2312" w:cs="宋体"/>
          <w:spacing w:val="-6"/>
          <w:kern w:val="0"/>
          <w:sz w:val="32"/>
          <w:szCs w:val="32"/>
          <w:highlight w:val="none"/>
          <w:lang w:val="en-US" w:eastAsia="zh-CN"/>
        </w:rPr>
        <w:t>:</w:t>
      </w:r>
      <w:r>
        <w:rPr>
          <w:rFonts w:hint="eastAsia" w:ascii="仿宋_GB2312" w:hAnsi="宋体" w:eastAsia="仿宋_GB2312" w:cs="宋体"/>
          <w:spacing w:val="-6"/>
          <w:kern w:val="0"/>
          <w:sz w:val="32"/>
          <w:szCs w:val="32"/>
          <w:highlight w:val="none"/>
        </w:rPr>
        <w:t>208）152.66万元，占100 %。</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其中：基本支出128.33万元，占84%，主要用于人员经费；项目支出24.33万元，占16%，主要用于聘用人员工资和场馆运行费。</w:t>
      </w:r>
    </w:p>
    <w:p>
      <w:pPr>
        <w:spacing w:line="56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（三）一般公共预算当年拨款具体使用情况</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1.社会保障与就业支出（</w:t>
      </w:r>
      <w:r>
        <w:rPr>
          <w:rFonts w:hint="eastAsia" w:ascii="仿宋_GB2312" w:hAnsi="宋体" w:eastAsia="仿宋_GB2312" w:cs="宋体"/>
          <w:spacing w:val="-6"/>
          <w:kern w:val="0"/>
          <w:sz w:val="32"/>
          <w:szCs w:val="32"/>
          <w:highlight w:val="none"/>
          <w:lang w:eastAsia="zh-CN"/>
        </w:rPr>
        <w:t>类：</w:t>
      </w:r>
      <w:r>
        <w:rPr>
          <w:rFonts w:hint="eastAsia" w:ascii="仿宋_GB2312" w:hAnsi="宋体" w:eastAsia="仿宋_GB2312" w:cs="宋体"/>
          <w:spacing w:val="-6"/>
          <w:kern w:val="0"/>
          <w:sz w:val="32"/>
          <w:szCs w:val="32"/>
          <w:highlight w:val="none"/>
        </w:rPr>
        <w:t>208）行政事业单位离退休（</w:t>
      </w:r>
      <w:r>
        <w:rPr>
          <w:rFonts w:hint="eastAsia" w:ascii="仿宋_GB2312" w:hAnsi="宋体" w:eastAsia="仿宋_GB2312" w:cs="宋体"/>
          <w:spacing w:val="-6"/>
          <w:kern w:val="0"/>
          <w:sz w:val="32"/>
          <w:szCs w:val="32"/>
          <w:highlight w:val="none"/>
          <w:lang w:eastAsia="zh-CN"/>
        </w:rPr>
        <w:t>款：</w:t>
      </w:r>
      <w:r>
        <w:rPr>
          <w:rFonts w:hint="eastAsia" w:ascii="仿宋_GB2312" w:hAnsi="宋体" w:eastAsia="仿宋_GB2312" w:cs="宋体"/>
          <w:spacing w:val="-6"/>
          <w:kern w:val="0"/>
          <w:sz w:val="32"/>
          <w:szCs w:val="32"/>
          <w:highlight w:val="none"/>
        </w:rPr>
        <w:t>05）其他行政事业单位养老支出（</w:t>
      </w:r>
      <w:r>
        <w:rPr>
          <w:rFonts w:hint="eastAsia" w:ascii="仿宋_GB2312" w:hAnsi="宋体" w:eastAsia="仿宋_GB2312" w:cs="宋体"/>
          <w:spacing w:val="-6"/>
          <w:kern w:val="0"/>
          <w:sz w:val="32"/>
          <w:szCs w:val="32"/>
          <w:highlight w:val="none"/>
          <w:lang w:eastAsia="zh-CN"/>
        </w:rPr>
        <w:t>项：</w:t>
      </w:r>
      <w:r>
        <w:rPr>
          <w:rFonts w:hint="eastAsia" w:ascii="仿宋_GB2312" w:hAnsi="宋体" w:eastAsia="仿宋_GB2312" w:cs="宋体"/>
          <w:spacing w:val="-6"/>
          <w:kern w:val="0"/>
          <w:sz w:val="32"/>
          <w:szCs w:val="32"/>
          <w:highlight w:val="none"/>
        </w:rPr>
        <w:t>99）：2021年预算数为128.33万元，比上年</w:t>
      </w:r>
      <w:r>
        <w:rPr>
          <w:rFonts w:hint="eastAsia" w:ascii="仿宋_GB2312" w:hAnsi="宋体" w:eastAsia="仿宋_GB2312" w:cs="宋体"/>
          <w:spacing w:val="-6"/>
          <w:kern w:val="0"/>
          <w:sz w:val="32"/>
          <w:szCs w:val="32"/>
          <w:highlight w:val="none"/>
          <w:lang w:eastAsia="zh-CN"/>
        </w:rPr>
        <w:t>预算</w:t>
      </w:r>
      <w:r>
        <w:rPr>
          <w:rFonts w:hint="eastAsia" w:ascii="仿宋_GB2312" w:hAnsi="宋体" w:eastAsia="仿宋_GB2312" w:cs="宋体"/>
          <w:spacing w:val="-6"/>
          <w:kern w:val="0"/>
          <w:sz w:val="32"/>
          <w:szCs w:val="32"/>
          <w:highlight w:val="none"/>
        </w:rPr>
        <w:t>增加3.21 万元，增长0.22%，主要原因是：1</w:t>
      </w:r>
      <w:r>
        <w:rPr>
          <w:rFonts w:hint="eastAsia" w:ascii="仿宋_GB2312" w:hAnsi="宋体" w:eastAsia="仿宋_GB2312" w:cs="宋体"/>
          <w:spacing w:val="-6"/>
          <w:kern w:val="0"/>
          <w:sz w:val="32"/>
          <w:szCs w:val="32"/>
          <w:highlight w:val="none"/>
          <w:lang w:val="en-US" w:eastAsia="zh-CN"/>
        </w:rPr>
        <w:t>.</w:t>
      </w:r>
      <w:r>
        <w:rPr>
          <w:rFonts w:hint="eastAsia" w:ascii="仿宋_GB2312" w:hAnsi="宋体" w:eastAsia="仿宋_GB2312" w:cs="宋体"/>
          <w:spacing w:val="-6"/>
          <w:kern w:val="0"/>
          <w:sz w:val="32"/>
          <w:szCs w:val="32"/>
          <w:highlight w:val="none"/>
        </w:rPr>
        <w:t>基本工资、津贴补贴增加；2</w:t>
      </w:r>
      <w:r>
        <w:rPr>
          <w:rFonts w:hint="eastAsia" w:ascii="仿宋_GB2312" w:hAnsi="宋体" w:eastAsia="仿宋_GB2312" w:cs="宋体"/>
          <w:spacing w:val="-6"/>
          <w:kern w:val="0"/>
          <w:sz w:val="32"/>
          <w:szCs w:val="32"/>
          <w:highlight w:val="none"/>
          <w:lang w:val="en-US" w:eastAsia="zh-CN"/>
        </w:rPr>
        <w:t>.</w:t>
      </w:r>
      <w:r>
        <w:rPr>
          <w:rFonts w:hint="eastAsia" w:ascii="仿宋_GB2312" w:hAnsi="宋体" w:eastAsia="仿宋_GB2312" w:cs="宋体"/>
          <w:spacing w:val="-6"/>
          <w:kern w:val="0"/>
          <w:sz w:val="32"/>
          <w:szCs w:val="32"/>
          <w:highlight w:val="none"/>
        </w:rPr>
        <w:t>在职人员及退休职工社会保障费缴费增加；3</w:t>
      </w:r>
      <w:r>
        <w:rPr>
          <w:rFonts w:hint="eastAsia" w:ascii="仿宋_GB2312" w:hAnsi="宋体" w:eastAsia="仿宋_GB2312" w:cs="宋体"/>
          <w:spacing w:val="-6"/>
          <w:kern w:val="0"/>
          <w:sz w:val="32"/>
          <w:szCs w:val="32"/>
          <w:highlight w:val="none"/>
          <w:lang w:val="en-US" w:eastAsia="zh-CN"/>
        </w:rPr>
        <w:t>.</w:t>
      </w:r>
      <w:r>
        <w:rPr>
          <w:rFonts w:hint="eastAsia" w:ascii="仿宋_GB2312" w:hAnsi="宋体" w:eastAsia="仿宋_GB2312" w:cs="宋体"/>
          <w:spacing w:val="-6"/>
          <w:kern w:val="0"/>
          <w:sz w:val="32"/>
          <w:szCs w:val="32"/>
          <w:highlight w:val="none"/>
        </w:rPr>
        <w:t xml:space="preserve">在职人员住房公积金缴费增加。   </w:t>
      </w:r>
    </w:p>
    <w:p>
      <w:pPr>
        <w:spacing w:line="560" w:lineRule="exact"/>
        <w:ind w:firstLine="616" w:firstLineChars="200"/>
        <w:rPr>
          <w:rFonts w:ascii="仿宋_GB2312" w:hAnsi="宋体" w:eastAsia="仿宋_GB2312" w:cs="宋体"/>
          <w:kern w:val="0"/>
          <w:sz w:val="32"/>
          <w:szCs w:val="32"/>
          <w:highlight w:val="none"/>
        </w:rPr>
      </w:pPr>
      <w:r>
        <w:rPr>
          <w:rFonts w:hint="eastAsia" w:ascii="仿宋_GB2312" w:hAnsi="宋体" w:eastAsia="仿宋_GB2312" w:cs="宋体"/>
          <w:spacing w:val="-6"/>
          <w:kern w:val="0"/>
          <w:sz w:val="32"/>
          <w:szCs w:val="32"/>
          <w:highlight w:val="none"/>
        </w:rPr>
        <w:t>2.社会保障与就业支出（</w:t>
      </w:r>
      <w:r>
        <w:rPr>
          <w:rFonts w:hint="eastAsia" w:ascii="仿宋_GB2312" w:hAnsi="宋体" w:eastAsia="仿宋_GB2312" w:cs="宋体"/>
          <w:spacing w:val="-6"/>
          <w:kern w:val="0"/>
          <w:sz w:val="32"/>
          <w:szCs w:val="32"/>
          <w:highlight w:val="none"/>
          <w:lang w:eastAsia="zh-CN"/>
        </w:rPr>
        <w:t>类：</w:t>
      </w:r>
      <w:r>
        <w:rPr>
          <w:rFonts w:hint="eastAsia" w:ascii="仿宋_GB2312" w:hAnsi="宋体" w:eastAsia="仿宋_GB2312" w:cs="宋体"/>
          <w:spacing w:val="-6"/>
          <w:kern w:val="0"/>
          <w:sz w:val="32"/>
          <w:szCs w:val="32"/>
          <w:highlight w:val="none"/>
        </w:rPr>
        <w:t>208）行政事业单位离退休（</w:t>
      </w:r>
      <w:r>
        <w:rPr>
          <w:rFonts w:hint="eastAsia" w:ascii="仿宋_GB2312" w:hAnsi="宋体" w:eastAsia="仿宋_GB2312" w:cs="宋体"/>
          <w:spacing w:val="-6"/>
          <w:kern w:val="0"/>
          <w:sz w:val="32"/>
          <w:szCs w:val="32"/>
          <w:highlight w:val="none"/>
          <w:lang w:eastAsia="zh-CN"/>
        </w:rPr>
        <w:t>款：</w:t>
      </w:r>
      <w:r>
        <w:rPr>
          <w:rFonts w:hint="eastAsia" w:ascii="仿宋_GB2312" w:hAnsi="宋体" w:eastAsia="仿宋_GB2312" w:cs="宋体"/>
          <w:spacing w:val="-6"/>
          <w:kern w:val="0"/>
          <w:sz w:val="32"/>
          <w:szCs w:val="32"/>
          <w:highlight w:val="none"/>
        </w:rPr>
        <w:t>05）离退休人员管理机构（项</w:t>
      </w:r>
      <w:r>
        <w:rPr>
          <w:rFonts w:hint="eastAsia" w:ascii="仿宋_GB2312" w:hAnsi="宋体" w:eastAsia="仿宋_GB2312" w:cs="宋体"/>
          <w:spacing w:val="-6"/>
          <w:kern w:val="0"/>
          <w:sz w:val="32"/>
          <w:szCs w:val="32"/>
          <w:highlight w:val="none"/>
          <w:lang w:val="en-US" w:eastAsia="zh-CN"/>
        </w:rPr>
        <w:t>:</w:t>
      </w:r>
      <w:r>
        <w:rPr>
          <w:rFonts w:hint="eastAsia" w:ascii="仿宋_GB2312" w:hAnsi="宋体" w:eastAsia="仿宋_GB2312" w:cs="宋体"/>
          <w:spacing w:val="-6"/>
          <w:kern w:val="0"/>
          <w:sz w:val="32"/>
          <w:szCs w:val="32"/>
          <w:highlight w:val="none"/>
        </w:rPr>
        <w:t>03）:2021年预算数为24.33万元，比上年预算减少0.12万元，降低0.01%，主要原因是：离退休党组织</w:t>
      </w:r>
      <w:r>
        <w:rPr>
          <w:rFonts w:hint="eastAsia" w:ascii="仿宋_GB2312" w:hAnsi="宋体" w:eastAsia="仿宋_GB2312" w:cs="宋体"/>
          <w:kern w:val="0"/>
          <w:sz w:val="32"/>
          <w:szCs w:val="32"/>
          <w:highlight w:val="none"/>
        </w:rPr>
        <w:t>书记工作补贴减少。</w:t>
      </w:r>
    </w:p>
    <w:p>
      <w:pPr>
        <w:spacing w:line="56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六、关于克孜勒苏柯尔克孜自治州驻昌吉干休所2021年一般公共预算基本支出情况说明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克孜勒苏柯尔克孜自治州驻昌吉干休所年一般公共预算基本支出128.33万元， 其中：</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人员经费116.86万元，主要包括：基本工资36万元、津贴补贴42.77万元、奖金3万元、机关事业单位基本养老保险缴费11.51万元、其他社会保障缴费9.64万元、住房公积金8.27万元、退休费4.99万元、奖励金0.67万元。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公用经费11.47万元，主要包括：办公费1万元、水费0.5万元、电费1.25万元、取暖费2.51万元、差旅费1万元、维修（护）费0.38万元、公务接待费0.38万元、工会经费0.5万元、福利费0.9万元、公务用车运行维护费2.2万元、办公设备购置0.85万元。</w:t>
      </w:r>
    </w:p>
    <w:p>
      <w:pPr>
        <w:spacing w:line="56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七、关于克孜勒苏柯尔克孜自治州驻昌吉干休所2021年一般公共预算项目支出情况说明</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情况一：（按项目支出、专项业务费按下列内容说明）</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项目名称：场馆运行费</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设立的政策依据：根据干休所工作性质，为更好服务于老干部需要。</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预算安排规模：4.05万元</w:t>
      </w:r>
    </w:p>
    <w:p>
      <w:pPr>
        <w:spacing w:line="560" w:lineRule="exact"/>
        <w:ind w:firstLine="616" w:firstLineChars="200"/>
        <w:rPr>
          <w:rFonts w:hint="eastAsia" w:ascii="仿宋_GB2312" w:hAnsi="宋体" w:eastAsia="仿宋_GB2312" w:cs="宋体"/>
          <w:spacing w:val="-6"/>
          <w:kern w:val="0"/>
          <w:sz w:val="32"/>
          <w:szCs w:val="32"/>
          <w:highlight w:val="none"/>
          <w:lang w:eastAsia="zh-CN"/>
        </w:rPr>
      </w:pPr>
      <w:r>
        <w:rPr>
          <w:rFonts w:hint="eastAsia" w:ascii="仿宋_GB2312" w:hAnsi="宋体" w:eastAsia="仿宋_GB2312" w:cs="宋体"/>
          <w:spacing w:val="-6"/>
          <w:kern w:val="0"/>
          <w:sz w:val="32"/>
          <w:szCs w:val="32"/>
          <w:highlight w:val="none"/>
        </w:rPr>
        <w:t>项目承担单位：</w:t>
      </w:r>
      <w:r>
        <w:rPr>
          <w:rFonts w:hint="eastAsia" w:ascii="仿宋_GB2312" w:hAnsi="宋体" w:eastAsia="仿宋_GB2312" w:cs="宋体"/>
          <w:spacing w:val="-6"/>
          <w:kern w:val="0"/>
          <w:sz w:val="32"/>
          <w:szCs w:val="32"/>
          <w:highlight w:val="none"/>
          <w:lang w:eastAsia="zh-CN"/>
        </w:rPr>
        <w:t>克孜勒苏柯尔克孜自治州驻昌吉干休所</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资金分配情况：根据活动场馆具体需求进行分配。</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资金执行时间：202</w:t>
      </w:r>
      <w:r>
        <w:rPr>
          <w:rFonts w:hint="eastAsia" w:ascii="仿宋_GB2312" w:hAnsi="宋体" w:eastAsia="仿宋_GB2312" w:cs="宋体"/>
          <w:spacing w:val="-6"/>
          <w:kern w:val="0"/>
          <w:sz w:val="32"/>
          <w:szCs w:val="32"/>
          <w:highlight w:val="none"/>
          <w:lang w:val="en-US" w:eastAsia="zh-CN"/>
        </w:rPr>
        <w:t>1</w:t>
      </w:r>
      <w:r>
        <w:rPr>
          <w:rFonts w:hint="eastAsia" w:ascii="仿宋_GB2312" w:hAnsi="宋体" w:eastAsia="仿宋_GB2312" w:cs="宋体"/>
          <w:spacing w:val="-6"/>
          <w:kern w:val="0"/>
          <w:sz w:val="32"/>
          <w:szCs w:val="32"/>
          <w:highlight w:val="none"/>
        </w:rPr>
        <w:t>年1-12月</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情况二：（属于对个人补贴的项目支出按下列内容说明）</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1、项目名称：聘用人员工资</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设立的政策依据：根据公共安全工作要求及单位为老干部服务工作需求，聘用保安人员及大车司机。</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预算安排规模：19.2万元</w:t>
      </w:r>
    </w:p>
    <w:p>
      <w:pPr>
        <w:spacing w:line="560" w:lineRule="exact"/>
        <w:ind w:firstLine="616" w:firstLineChars="200"/>
        <w:rPr>
          <w:rFonts w:hint="eastAsia" w:ascii="仿宋_GB2312" w:hAnsi="宋体" w:eastAsia="仿宋_GB2312" w:cs="宋体"/>
          <w:spacing w:val="-6"/>
          <w:kern w:val="0"/>
          <w:sz w:val="32"/>
          <w:szCs w:val="32"/>
          <w:highlight w:val="none"/>
          <w:lang w:eastAsia="zh-CN"/>
        </w:rPr>
      </w:pPr>
      <w:r>
        <w:rPr>
          <w:rFonts w:hint="eastAsia" w:ascii="仿宋_GB2312" w:hAnsi="宋体" w:eastAsia="仿宋_GB2312" w:cs="宋体"/>
          <w:spacing w:val="-6"/>
          <w:kern w:val="0"/>
          <w:sz w:val="32"/>
          <w:szCs w:val="32"/>
          <w:highlight w:val="none"/>
        </w:rPr>
        <w:t>项目承担单位：</w:t>
      </w:r>
      <w:r>
        <w:rPr>
          <w:rFonts w:hint="eastAsia" w:ascii="仿宋_GB2312" w:hAnsi="宋体" w:eastAsia="仿宋_GB2312" w:cs="宋体"/>
          <w:spacing w:val="-6"/>
          <w:kern w:val="0"/>
          <w:sz w:val="32"/>
          <w:szCs w:val="32"/>
          <w:highlight w:val="none"/>
          <w:lang w:eastAsia="zh-CN"/>
        </w:rPr>
        <w:t>克孜勒苏柯尔克孜自治州驻昌吉干休所</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资金分配情况：聘用人员4名，每人每月工资4000元。</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资金执行时间：202</w:t>
      </w:r>
      <w:r>
        <w:rPr>
          <w:rFonts w:hint="eastAsia" w:ascii="仿宋_GB2312" w:hAnsi="宋体" w:eastAsia="仿宋_GB2312" w:cs="宋体"/>
          <w:spacing w:val="-6"/>
          <w:kern w:val="0"/>
          <w:sz w:val="32"/>
          <w:szCs w:val="32"/>
          <w:highlight w:val="none"/>
          <w:lang w:val="en-US" w:eastAsia="zh-CN"/>
        </w:rPr>
        <w:t>1</w:t>
      </w:r>
      <w:r>
        <w:rPr>
          <w:rFonts w:hint="eastAsia" w:ascii="仿宋_GB2312" w:hAnsi="宋体" w:eastAsia="仿宋_GB2312" w:cs="宋体"/>
          <w:spacing w:val="-6"/>
          <w:kern w:val="0"/>
          <w:sz w:val="32"/>
          <w:szCs w:val="32"/>
          <w:highlight w:val="none"/>
        </w:rPr>
        <w:t>年1-12月</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资金来源：财政拨款</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补贴人数：4人</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补贴标准：每人每月4000元</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补贴范围：干休所聘用保安人员及大车司机</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补贴方式：每月现金发放</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发放程序：每月底工作完成即发放</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受益人群和社会效益：解决无工作人员就业及家庭困难</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2、项目名称：离退休党组织书记工作补贴</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设立的政策依据：根据自治区党委、组织部要求，对离退休党组织书记、委员进行工作补贴。</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预算安排规模：1.08万元</w:t>
      </w:r>
    </w:p>
    <w:p>
      <w:pPr>
        <w:spacing w:line="560" w:lineRule="exact"/>
        <w:ind w:firstLine="616" w:firstLineChars="200"/>
        <w:rPr>
          <w:rFonts w:hint="eastAsia" w:ascii="仿宋_GB2312" w:hAnsi="宋体" w:eastAsia="仿宋_GB2312" w:cs="宋体"/>
          <w:spacing w:val="-6"/>
          <w:kern w:val="0"/>
          <w:sz w:val="32"/>
          <w:szCs w:val="32"/>
          <w:highlight w:val="none"/>
          <w:lang w:eastAsia="zh-CN"/>
        </w:rPr>
      </w:pPr>
      <w:r>
        <w:rPr>
          <w:rFonts w:hint="eastAsia" w:ascii="仿宋_GB2312" w:hAnsi="宋体" w:eastAsia="仿宋_GB2312" w:cs="宋体"/>
          <w:spacing w:val="-6"/>
          <w:kern w:val="0"/>
          <w:sz w:val="32"/>
          <w:szCs w:val="32"/>
          <w:highlight w:val="none"/>
        </w:rPr>
        <w:t>项目承担单位：</w:t>
      </w:r>
      <w:r>
        <w:rPr>
          <w:rFonts w:hint="eastAsia" w:ascii="仿宋_GB2312" w:hAnsi="宋体" w:eastAsia="仿宋_GB2312" w:cs="宋体"/>
          <w:spacing w:val="-6"/>
          <w:kern w:val="0"/>
          <w:sz w:val="32"/>
          <w:szCs w:val="32"/>
          <w:highlight w:val="none"/>
          <w:lang w:eastAsia="zh-CN"/>
        </w:rPr>
        <w:t>克孜勒苏柯尔克孜自治州驻昌吉干休所</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资金分配情况：离退休党组织书记2人，每人每月300元；委员3人，每人每月100元。</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资金执行时间：202</w:t>
      </w:r>
      <w:r>
        <w:rPr>
          <w:rFonts w:hint="eastAsia" w:ascii="仿宋_GB2312" w:hAnsi="宋体" w:eastAsia="仿宋_GB2312" w:cs="宋体"/>
          <w:spacing w:val="-6"/>
          <w:kern w:val="0"/>
          <w:sz w:val="32"/>
          <w:szCs w:val="32"/>
          <w:highlight w:val="none"/>
          <w:lang w:val="en-US" w:eastAsia="zh-CN"/>
        </w:rPr>
        <w:t>1</w:t>
      </w:r>
      <w:bookmarkStart w:id="2" w:name="_GoBack"/>
      <w:bookmarkEnd w:id="2"/>
      <w:r>
        <w:rPr>
          <w:rFonts w:hint="eastAsia" w:ascii="仿宋_GB2312" w:hAnsi="宋体" w:eastAsia="仿宋_GB2312" w:cs="宋体"/>
          <w:spacing w:val="-6"/>
          <w:kern w:val="0"/>
          <w:sz w:val="32"/>
          <w:szCs w:val="32"/>
          <w:highlight w:val="none"/>
        </w:rPr>
        <w:t>年1-12月</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资金来源：财政拨款</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补贴人数：5人</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补贴标准：离退休党组织书记每人每月300元，委员每人每月100元。</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补贴范围：干休所党总支</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补贴方式：按月现金发放</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发放程序：督促开展每月党支部活动学习</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受益人群和社会效益：加强对老干部党组织的重视，提高老干部工作的积极性。</w:t>
      </w:r>
    </w:p>
    <w:p>
      <w:pPr>
        <w:spacing w:line="56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八、关于克孜勒苏柯尔克孜自治州驻昌吉干休所2021年一般公共预算“三公”经费预算情况说明</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克孜勒苏柯尔克孜自治州驻昌吉干休所2021年一般公共预算“三公”经费数为2.58万元，其中：因公出国（境）费0万元，公务用车购置0万元，公务用车运行费2.2万元，公务接待费0.38万元。</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年一般公共预算“三公”经费比</w:t>
      </w:r>
      <w:r>
        <w:rPr>
          <w:rFonts w:hint="eastAsia" w:ascii="仿宋_GB2312" w:hAnsi="宋体" w:eastAsia="仿宋_GB2312" w:cs="宋体"/>
          <w:kern w:val="0"/>
          <w:sz w:val="32"/>
          <w:szCs w:val="32"/>
          <w:lang w:eastAsia="zh-CN"/>
        </w:rPr>
        <w:t>上年</w:t>
      </w:r>
      <w:r>
        <w:rPr>
          <w:rFonts w:hint="eastAsia" w:ascii="仿宋_GB2312" w:hAnsi="宋体" w:eastAsia="仿宋_GB2312" w:cs="宋体"/>
          <w:kern w:val="0"/>
          <w:sz w:val="32"/>
          <w:szCs w:val="32"/>
        </w:rPr>
        <w:t>增加0万元，其中：因公出国（境）费减少0万元，主要原因是未安排预算；公务用车购置费为0万元，未安排预算</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公务用车运行费增加0万元，主要原因是</w:t>
      </w:r>
      <w:r>
        <w:rPr>
          <w:rFonts w:hint="eastAsia" w:ascii="仿宋_GB2312" w:hAnsi="宋体" w:eastAsia="仿宋_GB2312" w:cs="宋体"/>
          <w:kern w:val="0"/>
          <w:sz w:val="32"/>
          <w:szCs w:val="32"/>
          <w:lang w:eastAsia="zh-CN"/>
        </w:rPr>
        <w:t>无</w:t>
      </w:r>
      <w:r>
        <w:rPr>
          <w:rFonts w:hint="eastAsia" w:ascii="仿宋_GB2312" w:hAnsi="宋体" w:eastAsia="仿宋_GB2312" w:cs="宋体"/>
          <w:kern w:val="0"/>
          <w:sz w:val="32"/>
          <w:szCs w:val="32"/>
        </w:rPr>
        <w:t>；公务接待费增加0</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无</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九、关于克孜勒苏柯尔克孜自治州驻昌吉干休所2021年政府性基金预算拨款情况说明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克孜勒苏柯尔克孜自治州驻昌吉干休所2021年没有使用政府性基金预算拨款安排的支出，政府性基金预算支出情况表为空表。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十、其他重要事项的情况说明</w:t>
      </w:r>
    </w:p>
    <w:p>
      <w:pPr>
        <w:spacing w:line="56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（一）机关运行经费情况</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2021年，克孜勒苏柯尔克孜自治州驻昌吉干休所本级及下属0家行政单位和0家事业单位的机关运行经费财政拨款预算11.47万元，比上年预算增加0.05万元，增长0 .56%。主要原因是主要原因是福利费、工会费增加。</w:t>
      </w:r>
    </w:p>
    <w:p>
      <w:pPr>
        <w:spacing w:line="56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（二）政府采购情况</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2021年，克孜勒苏柯尔克孜自治州驻昌吉干休所政府采购预算3.05万元，其中：政府采购货物预算 1.35万元，政府采购工程预算0万元，政府采购服务预算1.7万元。</w:t>
      </w:r>
    </w:p>
    <w:p>
      <w:pPr>
        <w:spacing w:line="560" w:lineRule="exact"/>
        <w:ind w:firstLine="640" w:firstLineChars="200"/>
        <w:rPr>
          <w:rFonts w:ascii="仿宋_GB2312" w:hAnsi="仿宋_GB2312" w:eastAsia="仿宋_GB2312"/>
          <w:sz w:val="32"/>
          <w:highlight w:val="none"/>
        </w:rPr>
      </w:pPr>
      <w:r>
        <w:rPr>
          <w:rFonts w:hint="eastAsia" w:ascii="仿宋_GB2312" w:hAnsi="仿宋_GB2312" w:eastAsia="仿宋_GB2312"/>
          <w:sz w:val="32"/>
          <w:highlight w:val="none"/>
        </w:rPr>
        <w:t>2021年度本部门（单位）面向中小企业预留政府采购项目预算金额3.05 万元，其中：面向小微企业预留政府采购项目预算金额 3.05 万元。</w:t>
      </w:r>
    </w:p>
    <w:p>
      <w:pPr>
        <w:spacing w:line="56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（三）国有资产占用使用情况</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截至2020年底，克孜勒苏柯尔克孜自治州驻昌吉干休所及下属各预算单位占用使用国有资产总体情况为</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1.房屋1054.24平方米，价值39.93万元。</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 车辆1辆，价值28.76万元；其中：一般公务用车1辆，价值28.76万元；执法执勤用车0辆，价值0万元；其他车辆0辆，价值0万元。。</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3.办公家具价值0.52万元。</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4.其他资产价值7.56万元。</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单位价值50万元以上大型设备0台（套），单位价值100万元以上大型设备0台（套）。</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2021年部门预算未安排购置车辆经费（或安排购置车辆经费0万元），安排购置50万元以上大型设备0台（套），单位价值100万元以上大型设备0台（套）。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（四）预算绩效情况</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2021年度，本年度实行绩效管理的一般公共预算项目3个，涉及预算金额24.33万元。具体情况见下表（按项目分别填报）：</w:t>
      </w:r>
    </w:p>
    <w:p>
      <w:pPr>
        <w:spacing w:line="560" w:lineRule="exact"/>
        <w:rPr>
          <w:rFonts w:ascii="仿宋_GB2312" w:hAnsi="宋体" w:eastAsia="仿宋_GB2312" w:cs="宋体"/>
          <w:kern w:val="0"/>
          <w:sz w:val="32"/>
          <w:szCs w:val="32"/>
          <w:highlight w:val="none"/>
        </w:rPr>
      </w:pPr>
    </w:p>
    <w:p>
      <w:pPr>
        <w:spacing w:line="560" w:lineRule="exact"/>
        <w:rPr>
          <w:rFonts w:hint="eastAsia" w:ascii="仿宋_GB2312" w:hAnsi="宋体" w:eastAsia="仿宋_GB2312" w:cs="宋体"/>
          <w:kern w:val="0"/>
          <w:sz w:val="32"/>
          <w:szCs w:val="32"/>
          <w:highlight w:val="none"/>
        </w:rPr>
      </w:pPr>
    </w:p>
    <w:p>
      <w:pPr>
        <w:spacing w:line="560" w:lineRule="exact"/>
        <w:rPr>
          <w:rFonts w:hint="eastAsia" w:ascii="仿宋_GB2312" w:hAnsi="宋体" w:eastAsia="仿宋_GB2312" w:cs="宋体"/>
          <w:kern w:val="0"/>
          <w:sz w:val="32"/>
          <w:szCs w:val="32"/>
          <w:highlight w:val="none"/>
        </w:rPr>
      </w:pPr>
    </w:p>
    <w:p>
      <w:pPr>
        <w:spacing w:line="560" w:lineRule="exact"/>
        <w:rPr>
          <w:rFonts w:hint="eastAsia" w:ascii="仿宋_GB2312" w:hAnsi="宋体" w:eastAsia="仿宋_GB2312" w:cs="宋体"/>
          <w:kern w:val="0"/>
          <w:sz w:val="32"/>
          <w:szCs w:val="32"/>
          <w:highlight w:val="none"/>
        </w:rPr>
      </w:pPr>
    </w:p>
    <w:p>
      <w:pPr>
        <w:spacing w:line="560" w:lineRule="exact"/>
        <w:rPr>
          <w:rFonts w:hint="eastAsia" w:ascii="仿宋_GB2312" w:hAnsi="宋体" w:eastAsia="仿宋_GB2312" w:cs="宋体"/>
          <w:kern w:val="0"/>
          <w:sz w:val="32"/>
          <w:szCs w:val="32"/>
          <w:highlight w:val="none"/>
        </w:rPr>
      </w:pPr>
    </w:p>
    <w:p>
      <w:pPr>
        <w:spacing w:line="560" w:lineRule="exact"/>
        <w:rPr>
          <w:rFonts w:hint="eastAsia" w:ascii="仿宋_GB2312" w:hAnsi="宋体" w:eastAsia="仿宋_GB2312" w:cs="宋体"/>
          <w:kern w:val="0"/>
          <w:sz w:val="32"/>
          <w:szCs w:val="32"/>
          <w:highlight w:val="none"/>
        </w:rPr>
      </w:pPr>
    </w:p>
    <w:p>
      <w:pPr>
        <w:spacing w:line="560" w:lineRule="exact"/>
        <w:rPr>
          <w:rFonts w:hint="eastAsia" w:ascii="仿宋_GB2312" w:hAnsi="宋体" w:eastAsia="仿宋_GB2312" w:cs="宋体"/>
          <w:kern w:val="0"/>
          <w:sz w:val="32"/>
          <w:szCs w:val="32"/>
          <w:highlight w:val="none"/>
        </w:rPr>
      </w:pPr>
    </w:p>
    <w:p>
      <w:pPr>
        <w:spacing w:line="560" w:lineRule="exact"/>
        <w:rPr>
          <w:rFonts w:hint="eastAsia" w:ascii="仿宋_GB2312" w:hAnsi="宋体" w:eastAsia="仿宋_GB2312" w:cs="宋体"/>
          <w:kern w:val="0"/>
          <w:sz w:val="32"/>
          <w:szCs w:val="32"/>
          <w:highlight w:val="none"/>
        </w:rPr>
      </w:pPr>
    </w:p>
    <w:p>
      <w:pPr>
        <w:spacing w:line="560" w:lineRule="exact"/>
        <w:rPr>
          <w:rFonts w:hint="eastAsia" w:ascii="仿宋_GB2312" w:hAnsi="宋体" w:eastAsia="仿宋_GB2312" w:cs="宋体"/>
          <w:kern w:val="0"/>
          <w:sz w:val="32"/>
          <w:szCs w:val="32"/>
          <w:highlight w:val="none"/>
        </w:rPr>
      </w:pPr>
    </w:p>
    <w:p>
      <w:pPr>
        <w:spacing w:line="560" w:lineRule="exact"/>
        <w:rPr>
          <w:rFonts w:hint="eastAsia" w:ascii="仿宋_GB2312" w:hAnsi="宋体" w:eastAsia="仿宋_GB2312" w:cs="宋体"/>
          <w:kern w:val="0"/>
          <w:sz w:val="32"/>
          <w:szCs w:val="32"/>
          <w:highlight w:val="none"/>
        </w:rPr>
      </w:pPr>
    </w:p>
    <w:p>
      <w:pPr>
        <w:spacing w:line="560" w:lineRule="exact"/>
        <w:rPr>
          <w:rFonts w:ascii="仿宋_GB2312" w:hAnsi="宋体" w:eastAsia="仿宋_GB2312" w:cs="宋体"/>
          <w:kern w:val="0"/>
          <w:sz w:val="32"/>
          <w:szCs w:val="32"/>
          <w:highlight w:val="none"/>
        </w:rPr>
      </w:pPr>
    </w:p>
    <w:tbl>
      <w:tblPr>
        <w:tblStyle w:val="7"/>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highlight w:val="none"/>
              </w:rPr>
            </w:pPr>
            <w:r>
              <w:rPr>
                <w:rFonts w:hint="eastAsia" w:ascii="仿宋_GB2312" w:hAnsi="宋体" w:eastAsia="仿宋_GB2312" w:cs="仿宋_GB2312"/>
                <w:b/>
                <w:color w:val="000000"/>
                <w:kern w:val="0"/>
                <w:sz w:val="32"/>
                <w:szCs w:val="32"/>
                <w:highlight w:val="none"/>
              </w:rPr>
              <w:t>项  目  支  出  绩  效  目  标  表</w:t>
            </w:r>
          </w:p>
        </w:tc>
      </w:tr>
      <w:tr>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highlight w:val="none"/>
              </w:rPr>
            </w:pPr>
            <w:r>
              <w:rPr>
                <w:rFonts w:hint="eastAsia" w:ascii="宋体" w:hAnsi="宋体" w:cs="宋体"/>
                <w:color w:val="000000"/>
                <w:kern w:val="0"/>
                <w:sz w:val="22"/>
                <w:szCs w:val="22"/>
                <w:highlight w:val="none"/>
              </w:rPr>
              <w:t>（2021年）</w:t>
            </w:r>
          </w:p>
        </w:tc>
      </w:tr>
      <w:tr>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克孜勒苏柯尔克孜自治州驻昌吉干休所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场馆运行费</w:t>
            </w:r>
          </w:p>
        </w:tc>
      </w:tr>
      <w:tr>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4.05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highlight w:val="none"/>
              </w:rPr>
            </w:pPr>
            <w:r>
              <w:rPr>
                <w:rFonts w:hint="eastAsia" w:ascii="宋体" w:hAnsi="宋体" w:cs="宋体"/>
                <w:color w:val="000000"/>
                <w:sz w:val="18"/>
                <w:szCs w:val="18"/>
                <w:highlight w:val="none"/>
              </w:rPr>
              <w:t>4.05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highlight w:val="none"/>
              </w:rPr>
            </w:pPr>
          </w:p>
        </w:tc>
      </w:tr>
      <w:tr>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该项目资金用于2021年维修维护老干部活动场所设施。通过该项目的实施，对活动室及其他活动场地的维修与改善、对使用坏的及破旧的活动器械进行更换及维修、添置活动所需的用品，以此提升老干部活动场所环境条件.</w:t>
            </w:r>
          </w:p>
        </w:tc>
      </w:tr>
      <w:tr>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rPr>
              <w:t>指标值（包含数字及文字描述）</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改造硬化路面（平方米）</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500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水电暖维护次数（次）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1</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维修完成质量合格率（%）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≥95%</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购买完成验收合格率（%）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≥95%</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2021年12月</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场地运行费拨付及时率（%）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维修、维护费（万元）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4.05</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改善老干部活动场所环境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有效改善</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提高为老干部服务的质量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有效提高</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提升老干部幸福感</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有效提升</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受益群众满意度（%）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≥95%</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r>
    </w:tbl>
    <w:p>
      <w:pPr>
        <w:widowControl/>
        <w:spacing w:line="480" w:lineRule="exact"/>
        <w:rPr>
          <w:rFonts w:ascii="仿宋_GB2312" w:hAnsi="宋体" w:eastAsia="仿宋_GB2312" w:cs="宋体"/>
          <w:kern w:val="0"/>
          <w:sz w:val="32"/>
          <w:szCs w:val="32"/>
          <w:highlight w:val="none"/>
        </w:rPr>
        <w:sectPr>
          <w:footerReference r:id="rId5" w:type="default"/>
          <w:pgSz w:w="11906" w:h="16838"/>
          <w:pgMar w:top="1440" w:right="1800" w:bottom="1440" w:left="1800" w:header="851" w:footer="992" w:gutter="0"/>
          <w:pgNumType w:fmt="numberInDash" w:start="14"/>
          <w:cols w:space="720" w:num="1"/>
          <w:docGrid w:type="lines" w:linePitch="312" w:charSpace="0"/>
        </w:sectPr>
      </w:pPr>
    </w:p>
    <w:tbl>
      <w:tblPr>
        <w:tblStyle w:val="7"/>
        <w:tblW w:w="8800" w:type="dxa"/>
        <w:tblInd w:w="0" w:type="dxa"/>
        <w:tblLayout w:type="fixed"/>
        <w:tblCellMar>
          <w:top w:w="0" w:type="dxa"/>
          <w:left w:w="0" w:type="dxa"/>
          <w:bottom w:w="0" w:type="dxa"/>
          <w:right w:w="0" w:type="dxa"/>
        </w:tblCellMar>
      </w:tblPr>
      <w:tblGrid>
        <w:gridCol w:w="1143"/>
        <w:gridCol w:w="284"/>
        <w:gridCol w:w="980"/>
        <w:gridCol w:w="294"/>
        <w:gridCol w:w="928"/>
        <w:gridCol w:w="1473"/>
        <w:gridCol w:w="1038"/>
        <w:gridCol w:w="1479"/>
        <w:gridCol w:w="1181"/>
      </w:tblGrid>
      <w:tr>
        <w:tblPrEx>
          <w:tblCellMar>
            <w:top w:w="0" w:type="dxa"/>
            <w:left w:w="0" w:type="dxa"/>
            <w:bottom w:w="0" w:type="dxa"/>
            <w:right w:w="0" w:type="dxa"/>
          </w:tblCellMar>
        </w:tblPrEx>
        <w:trPr>
          <w:trHeight w:val="296" w:hRule="atLeast"/>
        </w:trPr>
        <w:tc>
          <w:tcPr>
            <w:tcW w:w="8800" w:type="dxa"/>
            <w:gridSpan w:val="9"/>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highlight w:val="none"/>
              </w:rPr>
            </w:pPr>
            <w:r>
              <w:rPr>
                <w:rFonts w:hint="eastAsia" w:ascii="仿宋_GB2312" w:hAnsi="宋体" w:eastAsia="仿宋_GB2312" w:cs="仿宋_GB2312"/>
                <w:b/>
                <w:color w:val="000000"/>
                <w:kern w:val="0"/>
                <w:sz w:val="32"/>
                <w:szCs w:val="32"/>
                <w:highlight w:val="none"/>
              </w:rPr>
              <w:t>项  目  支  出  绩  效  目  标  表</w:t>
            </w:r>
          </w:p>
        </w:tc>
      </w:tr>
      <w:tr>
        <w:tblPrEx>
          <w:tblCellMar>
            <w:top w:w="0" w:type="dxa"/>
            <w:left w:w="0" w:type="dxa"/>
            <w:bottom w:w="0" w:type="dxa"/>
            <w:right w:w="0" w:type="dxa"/>
          </w:tblCellMar>
        </w:tblPrEx>
        <w:trPr>
          <w:trHeight w:val="296" w:hRule="atLeast"/>
        </w:trPr>
        <w:tc>
          <w:tcPr>
            <w:tcW w:w="8800" w:type="dxa"/>
            <w:gridSpan w:val="9"/>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highlight w:val="none"/>
              </w:rPr>
            </w:pPr>
            <w:r>
              <w:rPr>
                <w:rFonts w:hint="eastAsia" w:ascii="宋体" w:hAnsi="宋体" w:cs="宋体"/>
                <w:color w:val="000000"/>
                <w:kern w:val="0"/>
                <w:sz w:val="22"/>
                <w:szCs w:val="22"/>
                <w:highlight w:val="none"/>
              </w:rPr>
              <w:t>（2021年）</w:t>
            </w:r>
          </w:p>
        </w:tc>
      </w:tr>
      <w:tr>
        <w:tblPrEx>
          <w:tblCellMar>
            <w:top w:w="0" w:type="dxa"/>
            <w:left w:w="0" w:type="dxa"/>
            <w:bottom w:w="0" w:type="dxa"/>
            <w:right w:w="0" w:type="dxa"/>
          </w:tblCellMar>
        </w:tblPrEx>
        <w:trPr>
          <w:trHeight w:val="313" w:hRule="atLeast"/>
        </w:trPr>
        <w:tc>
          <w:tcPr>
            <w:tcW w:w="142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rPr>
              <w:t>预算单位</w:t>
            </w:r>
          </w:p>
        </w:tc>
        <w:tc>
          <w:tcPr>
            <w:tcW w:w="3675"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克孜勒苏柯尔克孜自治州驻昌吉干休所</w:t>
            </w:r>
          </w:p>
        </w:tc>
        <w:tc>
          <w:tcPr>
            <w:tcW w:w="103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rPr>
              <w:t>项目名称</w:t>
            </w:r>
          </w:p>
        </w:tc>
        <w:tc>
          <w:tcPr>
            <w:tcW w:w="26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highlight w:val="none"/>
              </w:rPr>
            </w:pPr>
            <w:r>
              <w:rPr>
                <w:rFonts w:hint="eastAsia" w:ascii="仿宋" w:hAnsi="仿宋" w:eastAsia="仿宋" w:cs="宋体"/>
                <w:kern w:val="0"/>
                <w:sz w:val="24"/>
                <w:highlight w:val="none"/>
              </w:rPr>
              <w:t>聘用人员工资</w:t>
            </w:r>
          </w:p>
        </w:tc>
      </w:tr>
      <w:tr>
        <w:tblPrEx>
          <w:tblCellMar>
            <w:top w:w="0" w:type="dxa"/>
            <w:left w:w="0" w:type="dxa"/>
            <w:bottom w:w="0" w:type="dxa"/>
            <w:right w:w="0" w:type="dxa"/>
          </w:tblCellMar>
        </w:tblPrEx>
        <w:trPr>
          <w:trHeight w:val="337" w:hRule="atLeast"/>
        </w:trPr>
        <w:tc>
          <w:tcPr>
            <w:tcW w:w="142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rPr>
              <w:t>项目资金（万元）</w:t>
            </w:r>
          </w:p>
        </w:tc>
        <w:tc>
          <w:tcPr>
            <w:tcW w:w="127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年度资金总额：</w:t>
            </w:r>
          </w:p>
        </w:tc>
        <w:tc>
          <w:tcPr>
            <w:tcW w:w="92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19.2</w:t>
            </w:r>
          </w:p>
        </w:tc>
        <w:tc>
          <w:tcPr>
            <w:tcW w:w="147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其中：财政拨款</w:t>
            </w:r>
          </w:p>
        </w:tc>
        <w:tc>
          <w:tcPr>
            <w:tcW w:w="103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highlight w:val="none"/>
              </w:rPr>
            </w:pPr>
            <w:r>
              <w:rPr>
                <w:rFonts w:hint="eastAsia" w:ascii="宋体" w:hAnsi="宋体" w:cs="宋体"/>
                <w:color w:val="000000"/>
                <w:sz w:val="18"/>
                <w:szCs w:val="18"/>
                <w:highlight w:val="none"/>
              </w:rPr>
              <w:t>19.2</w:t>
            </w:r>
          </w:p>
        </w:tc>
        <w:tc>
          <w:tcPr>
            <w:tcW w:w="1479"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其他资金</w:t>
            </w:r>
          </w:p>
        </w:tc>
        <w:tc>
          <w:tcPr>
            <w:tcW w:w="11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highlight w:val="none"/>
              </w:rPr>
            </w:pPr>
          </w:p>
        </w:tc>
      </w:tr>
      <w:tr>
        <w:tblPrEx>
          <w:tblCellMar>
            <w:top w:w="0" w:type="dxa"/>
            <w:left w:w="0" w:type="dxa"/>
            <w:bottom w:w="0" w:type="dxa"/>
            <w:right w:w="0" w:type="dxa"/>
          </w:tblCellMar>
        </w:tblPrEx>
        <w:trPr>
          <w:trHeight w:val="589" w:hRule="atLeast"/>
        </w:trPr>
        <w:tc>
          <w:tcPr>
            <w:tcW w:w="142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rPr>
              <w:t>项目总体目标</w:t>
            </w:r>
          </w:p>
        </w:tc>
        <w:tc>
          <w:tcPr>
            <w:tcW w:w="7373"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highlight w:val="none"/>
              </w:rPr>
            </w:pPr>
            <w:r>
              <w:rPr>
                <w:rFonts w:hint="eastAsia" w:ascii="仿宋" w:hAnsi="仿宋" w:eastAsia="仿宋" w:cs="宋体"/>
                <w:kern w:val="0"/>
                <w:sz w:val="18"/>
                <w:szCs w:val="18"/>
                <w:highlight w:val="none"/>
              </w:rPr>
              <w:t>为让老干部居住有一个治安良好的环境，并出行方便，特聘用保安3名和大车司机1名，按月足额发放聘用人员工资。</w:t>
            </w:r>
          </w:p>
        </w:tc>
      </w:tr>
      <w:tr>
        <w:tblPrEx>
          <w:tblCellMar>
            <w:top w:w="0" w:type="dxa"/>
            <w:left w:w="0" w:type="dxa"/>
            <w:bottom w:w="0" w:type="dxa"/>
            <w:right w:w="0" w:type="dxa"/>
          </w:tblCellMar>
        </w:tblPrEx>
        <w:trPr>
          <w:trHeight w:val="302" w:hRule="atLeast"/>
        </w:trPr>
        <w:tc>
          <w:tcPr>
            <w:tcW w:w="142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rPr>
              <w:t>一级指标</w:t>
            </w:r>
          </w:p>
        </w:tc>
        <w:tc>
          <w:tcPr>
            <w:tcW w:w="9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rPr>
              <w:t>二级指标</w:t>
            </w:r>
          </w:p>
        </w:tc>
        <w:tc>
          <w:tcPr>
            <w:tcW w:w="3733"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rPr>
              <w:t>三级指标</w:t>
            </w:r>
          </w:p>
        </w:tc>
        <w:tc>
          <w:tcPr>
            <w:tcW w:w="26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rPr>
              <w:t>指标值（包含数字及文字描述）</w:t>
            </w:r>
          </w:p>
        </w:tc>
      </w:tr>
      <w:tr>
        <w:tblPrEx>
          <w:tblCellMar>
            <w:top w:w="0" w:type="dxa"/>
            <w:left w:w="0" w:type="dxa"/>
            <w:bottom w:w="0" w:type="dxa"/>
            <w:right w:w="0" w:type="dxa"/>
          </w:tblCellMar>
        </w:tblPrEx>
        <w:trPr>
          <w:trHeight w:val="302" w:hRule="atLeast"/>
        </w:trPr>
        <w:tc>
          <w:tcPr>
            <w:tcW w:w="1427"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产出指标</w:t>
            </w:r>
          </w:p>
        </w:tc>
        <w:tc>
          <w:tcPr>
            <w:tcW w:w="98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数量指标</w:t>
            </w:r>
          </w:p>
        </w:tc>
        <w:tc>
          <w:tcPr>
            <w:tcW w:w="3733"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仿宋" w:hAnsi="仿宋" w:eastAsia="仿宋" w:cs="宋体"/>
                <w:kern w:val="0"/>
                <w:sz w:val="20"/>
                <w:szCs w:val="20"/>
                <w:highlight w:val="none"/>
              </w:rPr>
              <w:t>发放个人数量（人）</w:t>
            </w:r>
          </w:p>
        </w:tc>
        <w:tc>
          <w:tcPr>
            <w:tcW w:w="26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4</w:t>
            </w:r>
          </w:p>
        </w:tc>
      </w:tr>
      <w:tr>
        <w:tblPrEx>
          <w:tblCellMar>
            <w:top w:w="0" w:type="dxa"/>
            <w:left w:w="0" w:type="dxa"/>
            <w:bottom w:w="0" w:type="dxa"/>
            <w:right w:w="0" w:type="dxa"/>
          </w:tblCellMar>
        </w:tblPrEx>
        <w:trPr>
          <w:trHeight w:val="302" w:hRule="atLeast"/>
        </w:trPr>
        <w:tc>
          <w:tcPr>
            <w:tcW w:w="1427"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98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3733"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26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r>
      <w:tr>
        <w:tblPrEx>
          <w:tblCellMar>
            <w:top w:w="0" w:type="dxa"/>
            <w:left w:w="0" w:type="dxa"/>
            <w:bottom w:w="0" w:type="dxa"/>
            <w:right w:w="0" w:type="dxa"/>
          </w:tblCellMar>
        </w:tblPrEx>
        <w:trPr>
          <w:trHeight w:val="302" w:hRule="atLeast"/>
        </w:trPr>
        <w:tc>
          <w:tcPr>
            <w:tcW w:w="1427"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98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质量指标</w:t>
            </w:r>
          </w:p>
        </w:tc>
        <w:tc>
          <w:tcPr>
            <w:tcW w:w="3733"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仿宋" w:hAnsi="仿宋" w:eastAsia="仿宋" w:cs="宋体"/>
                <w:kern w:val="0"/>
                <w:sz w:val="20"/>
                <w:szCs w:val="20"/>
                <w:highlight w:val="none"/>
              </w:rPr>
              <w:t>发放工资覆盖率（%）</w:t>
            </w:r>
          </w:p>
        </w:tc>
        <w:tc>
          <w:tcPr>
            <w:tcW w:w="26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100%</w:t>
            </w:r>
          </w:p>
        </w:tc>
      </w:tr>
      <w:tr>
        <w:tblPrEx>
          <w:tblCellMar>
            <w:top w:w="0" w:type="dxa"/>
            <w:left w:w="0" w:type="dxa"/>
            <w:bottom w:w="0" w:type="dxa"/>
            <w:right w:w="0" w:type="dxa"/>
          </w:tblCellMar>
        </w:tblPrEx>
        <w:trPr>
          <w:trHeight w:val="302" w:hRule="atLeast"/>
        </w:trPr>
        <w:tc>
          <w:tcPr>
            <w:tcW w:w="1427"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98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3733"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26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r>
      <w:tr>
        <w:tblPrEx>
          <w:tblCellMar>
            <w:top w:w="0" w:type="dxa"/>
            <w:left w:w="0" w:type="dxa"/>
            <w:bottom w:w="0" w:type="dxa"/>
            <w:right w:w="0" w:type="dxa"/>
          </w:tblCellMar>
        </w:tblPrEx>
        <w:trPr>
          <w:trHeight w:val="302" w:hRule="atLeast"/>
        </w:trPr>
        <w:tc>
          <w:tcPr>
            <w:tcW w:w="1427"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98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时效指标</w:t>
            </w:r>
          </w:p>
        </w:tc>
        <w:tc>
          <w:tcPr>
            <w:tcW w:w="3733"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仿宋" w:hAnsi="仿宋" w:eastAsia="仿宋" w:cs="宋体"/>
                <w:kern w:val="0"/>
                <w:sz w:val="20"/>
                <w:szCs w:val="20"/>
                <w:highlight w:val="none"/>
              </w:rPr>
              <w:t>工资发放及时率（%）</w:t>
            </w:r>
          </w:p>
        </w:tc>
        <w:tc>
          <w:tcPr>
            <w:tcW w:w="26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100%</w:t>
            </w:r>
          </w:p>
        </w:tc>
      </w:tr>
      <w:tr>
        <w:tblPrEx>
          <w:tblCellMar>
            <w:top w:w="0" w:type="dxa"/>
            <w:left w:w="0" w:type="dxa"/>
            <w:bottom w:w="0" w:type="dxa"/>
            <w:right w:w="0" w:type="dxa"/>
          </w:tblCellMar>
        </w:tblPrEx>
        <w:trPr>
          <w:trHeight w:val="302" w:hRule="atLeast"/>
        </w:trPr>
        <w:tc>
          <w:tcPr>
            <w:tcW w:w="1427"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98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3733"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26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r>
      <w:tr>
        <w:tblPrEx>
          <w:tblCellMar>
            <w:top w:w="0" w:type="dxa"/>
            <w:left w:w="0" w:type="dxa"/>
            <w:bottom w:w="0" w:type="dxa"/>
            <w:right w:w="0" w:type="dxa"/>
          </w:tblCellMar>
        </w:tblPrEx>
        <w:trPr>
          <w:trHeight w:val="302" w:hRule="atLeast"/>
        </w:trPr>
        <w:tc>
          <w:tcPr>
            <w:tcW w:w="1427"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98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成本指标</w:t>
            </w:r>
          </w:p>
        </w:tc>
        <w:tc>
          <w:tcPr>
            <w:tcW w:w="3733"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仿宋" w:hAnsi="仿宋" w:eastAsia="仿宋" w:cs="宋体"/>
                <w:kern w:val="0"/>
                <w:sz w:val="20"/>
                <w:szCs w:val="20"/>
                <w:highlight w:val="none"/>
              </w:rPr>
              <w:t>聘用人员工资（万元）</w:t>
            </w:r>
          </w:p>
        </w:tc>
        <w:tc>
          <w:tcPr>
            <w:tcW w:w="26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19.2</w:t>
            </w:r>
          </w:p>
        </w:tc>
      </w:tr>
      <w:tr>
        <w:tblPrEx>
          <w:tblCellMar>
            <w:top w:w="0" w:type="dxa"/>
            <w:left w:w="0" w:type="dxa"/>
            <w:bottom w:w="0" w:type="dxa"/>
            <w:right w:w="0" w:type="dxa"/>
          </w:tblCellMar>
        </w:tblPrEx>
        <w:trPr>
          <w:trHeight w:val="302" w:hRule="atLeast"/>
        </w:trPr>
        <w:tc>
          <w:tcPr>
            <w:tcW w:w="1427"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98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3733"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26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r>
      <w:tr>
        <w:tblPrEx>
          <w:tblCellMar>
            <w:top w:w="0" w:type="dxa"/>
            <w:left w:w="0" w:type="dxa"/>
            <w:bottom w:w="0" w:type="dxa"/>
            <w:right w:w="0" w:type="dxa"/>
          </w:tblCellMar>
        </w:tblPrEx>
        <w:trPr>
          <w:trHeight w:val="302" w:hRule="atLeast"/>
        </w:trPr>
        <w:tc>
          <w:tcPr>
            <w:tcW w:w="1427"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效益指标</w:t>
            </w:r>
          </w:p>
        </w:tc>
        <w:tc>
          <w:tcPr>
            <w:tcW w:w="98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经济效益指标</w:t>
            </w:r>
          </w:p>
        </w:tc>
        <w:tc>
          <w:tcPr>
            <w:tcW w:w="3733"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26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r>
      <w:tr>
        <w:tblPrEx>
          <w:tblCellMar>
            <w:top w:w="0" w:type="dxa"/>
            <w:left w:w="0" w:type="dxa"/>
            <w:bottom w:w="0" w:type="dxa"/>
            <w:right w:w="0" w:type="dxa"/>
          </w:tblCellMar>
        </w:tblPrEx>
        <w:trPr>
          <w:trHeight w:val="302" w:hRule="atLeast"/>
        </w:trPr>
        <w:tc>
          <w:tcPr>
            <w:tcW w:w="1427"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98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3733"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26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r>
      <w:tr>
        <w:tblPrEx>
          <w:tblCellMar>
            <w:top w:w="0" w:type="dxa"/>
            <w:left w:w="0" w:type="dxa"/>
            <w:bottom w:w="0" w:type="dxa"/>
            <w:right w:w="0" w:type="dxa"/>
          </w:tblCellMar>
        </w:tblPrEx>
        <w:trPr>
          <w:trHeight w:val="302" w:hRule="atLeast"/>
        </w:trPr>
        <w:tc>
          <w:tcPr>
            <w:tcW w:w="1427"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98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社会效益指标</w:t>
            </w:r>
          </w:p>
        </w:tc>
        <w:tc>
          <w:tcPr>
            <w:tcW w:w="3733"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仿宋" w:hAnsi="仿宋" w:eastAsia="仿宋" w:cs="宋体"/>
                <w:kern w:val="0"/>
                <w:sz w:val="20"/>
                <w:szCs w:val="20"/>
                <w:highlight w:val="none"/>
              </w:rPr>
              <w:t>保障安全居住环境</w:t>
            </w:r>
          </w:p>
        </w:tc>
        <w:tc>
          <w:tcPr>
            <w:tcW w:w="26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有效保障</w:t>
            </w:r>
          </w:p>
        </w:tc>
      </w:tr>
      <w:tr>
        <w:tblPrEx>
          <w:tblCellMar>
            <w:top w:w="0" w:type="dxa"/>
            <w:left w:w="0" w:type="dxa"/>
            <w:bottom w:w="0" w:type="dxa"/>
            <w:right w:w="0" w:type="dxa"/>
          </w:tblCellMar>
        </w:tblPrEx>
        <w:trPr>
          <w:trHeight w:val="302" w:hRule="atLeast"/>
        </w:trPr>
        <w:tc>
          <w:tcPr>
            <w:tcW w:w="1427"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98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3733"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26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r>
      <w:tr>
        <w:tblPrEx>
          <w:tblCellMar>
            <w:top w:w="0" w:type="dxa"/>
            <w:left w:w="0" w:type="dxa"/>
            <w:bottom w:w="0" w:type="dxa"/>
            <w:right w:w="0" w:type="dxa"/>
          </w:tblCellMar>
        </w:tblPrEx>
        <w:trPr>
          <w:trHeight w:val="302" w:hRule="atLeast"/>
        </w:trPr>
        <w:tc>
          <w:tcPr>
            <w:tcW w:w="1427"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98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生态效益指标</w:t>
            </w:r>
          </w:p>
        </w:tc>
        <w:tc>
          <w:tcPr>
            <w:tcW w:w="3733"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26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r>
      <w:tr>
        <w:tblPrEx>
          <w:tblCellMar>
            <w:top w:w="0" w:type="dxa"/>
            <w:left w:w="0" w:type="dxa"/>
            <w:bottom w:w="0" w:type="dxa"/>
            <w:right w:w="0" w:type="dxa"/>
          </w:tblCellMar>
        </w:tblPrEx>
        <w:trPr>
          <w:trHeight w:val="302" w:hRule="atLeast"/>
        </w:trPr>
        <w:tc>
          <w:tcPr>
            <w:tcW w:w="1427"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98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3733"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26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r>
      <w:tr>
        <w:tblPrEx>
          <w:tblCellMar>
            <w:top w:w="0" w:type="dxa"/>
            <w:left w:w="0" w:type="dxa"/>
            <w:bottom w:w="0" w:type="dxa"/>
            <w:right w:w="0" w:type="dxa"/>
          </w:tblCellMar>
        </w:tblPrEx>
        <w:trPr>
          <w:trHeight w:val="302" w:hRule="atLeast"/>
        </w:trPr>
        <w:tc>
          <w:tcPr>
            <w:tcW w:w="1427"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98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可持续影响指标</w:t>
            </w:r>
          </w:p>
        </w:tc>
        <w:tc>
          <w:tcPr>
            <w:tcW w:w="3733"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仿宋" w:hAnsi="仿宋" w:eastAsia="仿宋" w:cs="宋体"/>
                <w:kern w:val="0"/>
                <w:sz w:val="20"/>
                <w:szCs w:val="20"/>
                <w:highlight w:val="none"/>
              </w:rPr>
              <w:t>提高聘用人员的工作能力</w:t>
            </w:r>
          </w:p>
        </w:tc>
        <w:tc>
          <w:tcPr>
            <w:tcW w:w="26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有效提高</w:t>
            </w:r>
          </w:p>
        </w:tc>
      </w:tr>
      <w:tr>
        <w:tblPrEx>
          <w:tblCellMar>
            <w:top w:w="0" w:type="dxa"/>
            <w:left w:w="0" w:type="dxa"/>
            <w:bottom w:w="0" w:type="dxa"/>
            <w:right w:w="0" w:type="dxa"/>
          </w:tblCellMar>
        </w:tblPrEx>
        <w:trPr>
          <w:trHeight w:val="302" w:hRule="atLeast"/>
        </w:trPr>
        <w:tc>
          <w:tcPr>
            <w:tcW w:w="1427"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98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3733"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26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r>
      <w:tr>
        <w:tblPrEx>
          <w:tblCellMar>
            <w:top w:w="0" w:type="dxa"/>
            <w:left w:w="0" w:type="dxa"/>
            <w:bottom w:w="0" w:type="dxa"/>
            <w:right w:w="0" w:type="dxa"/>
          </w:tblCellMar>
        </w:tblPrEx>
        <w:trPr>
          <w:trHeight w:val="302" w:hRule="atLeast"/>
        </w:trPr>
        <w:tc>
          <w:tcPr>
            <w:tcW w:w="1427"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满意度指标</w:t>
            </w:r>
          </w:p>
        </w:tc>
        <w:tc>
          <w:tcPr>
            <w:tcW w:w="98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满意度指标</w:t>
            </w:r>
          </w:p>
        </w:tc>
        <w:tc>
          <w:tcPr>
            <w:tcW w:w="3733"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仿宋" w:hAnsi="仿宋" w:eastAsia="仿宋" w:cs="宋体"/>
                <w:kern w:val="0"/>
                <w:sz w:val="20"/>
                <w:szCs w:val="20"/>
                <w:highlight w:val="none"/>
              </w:rPr>
              <w:t>受益群众的满意度（%）</w:t>
            </w:r>
          </w:p>
        </w:tc>
        <w:tc>
          <w:tcPr>
            <w:tcW w:w="26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≥95%</w:t>
            </w:r>
          </w:p>
        </w:tc>
      </w:tr>
      <w:tr>
        <w:tblPrEx>
          <w:tblCellMar>
            <w:top w:w="0" w:type="dxa"/>
            <w:left w:w="0" w:type="dxa"/>
            <w:bottom w:w="0" w:type="dxa"/>
            <w:right w:w="0" w:type="dxa"/>
          </w:tblCellMar>
        </w:tblPrEx>
        <w:trPr>
          <w:trHeight w:val="302" w:hRule="atLeast"/>
        </w:trPr>
        <w:tc>
          <w:tcPr>
            <w:tcW w:w="1427"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98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3733"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26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r>
      <w:tr>
        <w:tblPrEx>
          <w:tblCellMar>
            <w:top w:w="0" w:type="dxa"/>
            <w:left w:w="0" w:type="dxa"/>
            <w:bottom w:w="0" w:type="dxa"/>
            <w:right w:w="0" w:type="dxa"/>
          </w:tblCellMar>
        </w:tblPrEx>
        <w:trPr>
          <w:trHeight w:val="302" w:hRule="atLeast"/>
        </w:trPr>
        <w:tc>
          <w:tcPr>
            <w:tcW w:w="8800" w:type="dxa"/>
            <w:gridSpan w:val="9"/>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highlight w:val="none"/>
              </w:rPr>
            </w:pPr>
            <w:r>
              <w:rPr>
                <w:rFonts w:hint="eastAsia" w:ascii="仿宋_GB2312" w:hAnsi="宋体" w:eastAsia="仿宋_GB2312" w:cs="仿宋_GB2312"/>
                <w:b/>
                <w:color w:val="000000"/>
                <w:kern w:val="0"/>
                <w:sz w:val="32"/>
                <w:szCs w:val="32"/>
                <w:highlight w:val="none"/>
              </w:rPr>
              <w:t>项  目  支  出  绩  效  目  标  表</w:t>
            </w:r>
          </w:p>
        </w:tc>
      </w:tr>
      <w:tr>
        <w:tblPrEx>
          <w:tblCellMar>
            <w:top w:w="0" w:type="dxa"/>
            <w:left w:w="0" w:type="dxa"/>
            <w:bottom w:w="0" w:type="dxa"/>
            <w:right w:w="0" w:type="dxa"/>
          </w:tblCellMar>
        </w:tblPrEx>
        <w:trPr>
          <w:trHeight w:val="296" w:hRule="atLeast"/>
        </w:trPr>
        <w:tc>
          <w:tcPr>
            <w:tcW w:w="8800" w:type="dxa"/>
            <w:gridSpan w:val="9"/>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highlight w:val="none"/>
              </w:rPr>
            </w:pPr>
            <w:r>
              <w:rPr>
                <w:rFonts w:hint="eastAsia" w:ascii="宋体" w:hAnsi="宋体" w:cs="宋体"/>
                <w:color w:val="000000"/>
                <w:kern w:val="0"/>
                <w:sz w:val="22"/>
                <w:szCs w:val="22"/>
                <w:highlight w:val="none"/>
              </w:rPr>
              <w:t>（2021年）</w:t>
            </w:r>
          </w:p>
        </w:tc>
      </w:tr>
      <w:tr>
        <w:tblPrEx>
          <w:tblCellMar>
            <w:top w:w="0" w:type="dxa"/>
            <w:left w:w="0" w:type="dxa"/>
            <w:bottom w:w="0" w:type="dxa"/>
            <w:right w:w="0" w:type="dxa"/>
          </w:tblCellMar>
        </w:tblPrEx>
        <w:trPr>
          <w:trHeight w:val="313" w:hRule="atLeast"/>
        </w:trPr>
        <w:tc>
          <w:tcPr>
            <w:tcW w:w="11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rPr>
              <w:t>预算单位</w:t>
            </w:r>
          </w:p>
        </w:tc>
        <w:tc>
          <w:tcPr>
            <w:tcW w:w="3959" w:type="dxa"/>
            <w:gridSpan w:val="5"/>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克孜勒苏柯尔克孜自治州驻昌吉干休所</w:t>
            </w:r>
          </w:p>
        </w:tc>
        <w:tc>
          <w:tcPr>
            <w:tcW w:w="103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rPr>
              <w:t>项目名称</w:t>
            </w:r>
          </w:p>
        </w:tc>
        <w:tc>
          <w:tcPr>
            <w:tcW w:w="26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highlight w:val="none"/>
              </w:rPr>
            </w:pPr>
            <w:r>
              <w:rPr>
                <w:rFonts w:hint="eastAsia" w:ascii="仿宋" w:hAnsi="仿宋" w:eastAsia="仿宋" w:cs="宋体"/>
                <w:kern w:val="0"/>
                <w:szCs w:val="21"/>
                <w:highlight w:val="none"/>
              </w:rPr>
              <w:t>离退休党组织书记工作补贴</w:t>
            </w:r>
          </w:p>
        </w:tc>
      </w:tr>
      <w:tr>
        <w:tblPrEx>
          <w:tblCellMar>
            <w:top w:w="0" w:type="dxa"/>
            <w:left w:w="0" w:type="dxa"/>
            <w:bottom w:w="0" w:type="dxa"/>
            <w:right w:w="0" w:type="dxa"/>
          </w:tblCellMar>
        </w:tblPrEx>
        <w:trPr>
          <w:trHeight w:val="589" w:hRule="atLeast"/>
        </w:trPr>
        <w:tc>
          <w:tcPr>
            <w:tcW w:w="11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rPr>
              <w:t>项目资金（万元）</w:t>
            </w:r>
          </w:p>
        </w:tc>
        <w:tc>
          <w:tcPr>
            <w:tcW w:w="12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年度资金总额：</w:t>
            </w:r>
          </w:p>
        </w:tc>
        <w:tc>
          <w:tcPr>
            <w:tcW w:w="122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1.08</w:t>
            </w:r>
          </w:p>
        </w:tc>
        <w:tc>
          <w:tcPr>
            <w:tcW w:w="147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其中：财政拨款</w:t>
            </w:r>
          </w:p>
        </w:tc>
        <w:tc>
          <w:tcPr>
            <w:tcW w:w="103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highlight w:val="none"/>
              </w:rPr>
            </w:pPr>
            <w:r>
              <w:rPr>
                <w:rFonts w:hint="eastAsia" w:ascii="宋体" w:hAnsi="宋体" w:cs="宋体"/>
                <w:color w:val="000000"/>
                <w:sz w:val="18"/>
                <w:szCs w:val="18"/>
                <w:highlight w:val="none"/>
              </w:rPr>
              <w:t>1.08</w:t>
            </w:r>
          </w:p>
        </w:tc>
        <w:tc>
          <w:tcPr>
            <w:tcW w:w="1479"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其他资金</w:t>
            </w:r>
          </w:p>
        </w:tc>
        <w:tc>
          <w:tcPr>
            <w:tcW w:w="11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highlight w:val="none"/>
              </w:rPr>
            </w:pPr>
          </w:p>
        </w:tc>
      </w:tr>
      <w:tr>
        <w:tblPrEx>
          <w:tblCellMar>
            <w:top w:w="0" w:type="dxa"/>
            <w:left w:w="0" w:type="dxa"/>
            <w:bottom w:w="0" w:type="dxa"/>
            <w:right w:w="0" w:type="dxa"/>
          </w:tblCellMar>
        </w:tblPrEx>
        <w:trPr>
          <w:trHeight w:val="378" w:hRule="atLeast"/>
        </w:trPr>
        <w:tc>
          <w:tcPr>
            <w:tcW w:w="11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rPr>
              <w:t>项目总体目标</w:t>
            </w:r>
          </w:p>
        </w:tc>
        <w:tc>
          <w:tcPr>
            <w:tcW w:w="7657" w:type="dxa"/>
            <w:gridSpan w:val="8"/>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highlight w:val="none"/>
              </w:rPr>
            </w:pPr>
          </w:p>
        </w:tc>
      </w:tr>
      <w:tr>
        <w:tblPrEx>
          <w:tblCellMar>
            <w:top w:w="0" w:type="dxa"/>
            <w:left w:w="0" w:type="dxa"/>
            <w:bottom w:w="0" w:type="dxa"/>
            <w:right w:w="0" w:type="dxa"/>
          </w:tblCellMar>
        </w:tblPrEx>
        <w:trPr>
          <w:trHeight w:val="302" w:hRule="atLeast"/>
        </w:trPr>
        <w:tc>
          <w:tcPr>
            <w:tcW w:w="11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highlight w:val="none"/>
              </w:rPr>
            </w:pPr>
            <w:r>
              <w:rPr>
                <w:rFonts w:hint="eastAsia" w:ascii="宋体" w:hAnsi="宋体" w:cs="宋体"/>
                <w:b/>
                <w:color w:val="000000"/>
                <w:kern w:val="0"/>
                <w:sz w:val="18"/>
                <w:szCs w:val="18"/>
                <w:highlight w:val="none"/>
              </w:rPr>
              <w:t>一级指标</w:t>
            </w:r>
          </w:p>
        </w:tc>
        <w:tc>
          <w:tcPr>
            <w:tcW w:w="12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highlight w:val="none"/>
              </w:rPr>
            </w:pPr>
            <w:r>
              <w:rPr>
                <w:rFonts w:hint="eastAsia" w:ascii="宋体" w:hAnsi="宋体" w:cs="宋体"/>
                <w:b/>
                <w:color w:val="000000"/>
                <w:kern w:val="0"/>
                <w:sz w:val="18"/>
                <w:szCs w:val="18"/>
                <w:highlight w:val="none"/>
              </w:rPr>
              <w:t>二级指标</w:t>
            </w:r>
          </w:p>
        </w:tc>
        <w:tc>
          <w:tcPr>
            <w:tcW w:w="3733"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highlight w:val="none"/>
              </w:rPr>
            </w:pPr>
            <w:r>
              <w:rPr>
                <w:rFonts w:hint="eastAsia" w:ascii="宋体" w:hAnsi="宋体" w:cs="宋体"/>
                <w:b/>
                <w:color w:val="000000"/>
                <w:kern w:val="0"/>
                <w:sz w:val="18"/>
                <w:szCs w:val="18"/>
                <w:highlight w:val="none"/>
              </w:rPr>
              <w:t>三级指标</w:t>
            </w:r>
          </w:p>
        </w:tc>
        <w:tc>
          <w:tcPr>
            <w:tcW w:w="26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tbl>
            <w:tblPr>
              <w:tblStyle w:val="7"/>
              <w:tblW w:w="2659" w:type="dxa"/>
              <w:tblInd w:w="0" w:type="dxa"/>
              <w:tblLayout w:type="fixed"/>
              <w:tblCellMar>
                <w:top w:w="0" w:type="dxa"/>
                <w:left w:w="0" w:type="dxa"/>
                <w:bottom w:w="0" w:type="dxa"/>
                <w:right w:w="0" w:type="dxa"/>
              </w:tblCellMar>
            </w:tblPr>
            <w:tblGrid>
              <w:gridCol w:w="2659"/>
            </w:tblGrid>
            <w:tr>
              <w:tblPrEx>
                <w:tblCellMar>
                  <w:top w:w="0" w:type="dxa"/>
                  <w:left w:w="0" w:type="dxa"/>
                  <w:bottom w:w="0" w:type="dxa"/>
                  <w:right w:w="0" w:type="dxa"/>
                </w:tblCellMar>
              </w:tblPrEx>
              <w:trPr>
                <w:trHeight w:val="302" w:hRule="atLeast"/>
              </w:trPr>
              <w:tc>
                <w:tcPr>
                  <w:tcW w:w="26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rPr>
                    <w:t>指标值（包含数字及文字描述）</w:t>
                  </w:r>
                </w:p>
              </w:tc>
            </w:tr>
          </w:tbl>
          <w:p>
            <w:pPr>
              <w:widowControl/>
              <w:spacing w:line="480" w:lineRule="exact"/>
              <w:jc w:val="center"/>
              <w:textAlignment w:val="center"/>
              <w:rPr>
                <w:rFonts w:ascii="宋体" w:hAnsi="宋体" w:cs="宋体"/>
                <w:b/>
                <w:color w:val="000000"/>
                <w:kern w:val="0"/>
                <w:sz w:val="18"/>
                <w:szCs w:val="18"/>
                <w:highlight w:val="none"/>
              </w:rPr>
            </w:pPr>
          </w:p>
        </w:tc>
      </w:tr>
      <w:tr>
        <w:tblPrEx>
          <w:tblCellMar>
            <w:top w:w="0" w:type="dxa"/>
            <w:left w:w="0" w:type="dxa"/>
            <w:bottom w:w="0" w:type="dxa"/>
            <w:right w:w="0" w:type="dxa"/>
          </w:tblCellMar>
        </w:tblPrEx>
        <w:trPr>
          <w:trHeight w:val="302" w:hRule="atLeast"/>
        </w:trPr>
        <w:tc>
          <w:tcPr>
            <w:tcW w:w="114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highlight w:val="none"/>
              </w:rPr>
            </w:pPr>
            <w:r>
              <w:rPr>
                <w:rFonts w:hint="eastAsia" w:ascii="宋体" w:hAnsi="宋体" w:cs="宋体"/>
                <w:b/>
                <w:color w:val="000000"/>
                <w:kern w:val="0"/>
                <w:sz w:val="18"/>
                <w:szCs w:val="18"/>
                <w:highlight w:val="none"/>
              </w:rPr>
              <w:t>产出指标</w:t>
            </w:r>
          </w:p>
        </w:tc>
        <w:tc>
          <w:tcPr>
            <w:tcW w:w="1264"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数量指标</w:t>
            </w:r>
          </w:p>
        </w:tc>
        <w:tc>
          <w:tcPr>
            <w:tcW w:w="3733"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补助个人数量（人）</w:t>
            </w:r>
          </w:p>
        </w:tc>
        <w:tc>
          <w:tcPr>
            <w:tcW w:w="26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6</w:t>
            </w:r>
          </w:p>
        </w:tc>
      </w:tr>
      <w:tr>
        <w:tblPrEx>
          <w:tblCellMar>
            <w:top w:w="0" w:type="dxa"/>
            <w:left w:w="0" w:type="dxa"/>
            <w:bottom w:w="0" w:type="dxa"/>
            <w:right w:w="0" w:type="dxa"/>
          </w:tblCellMar>
        </w:tblPrEx>
        <w:trPr>
          <w:trHeight w:val="302" w:hRule="atLeast"/>
        </w:trPr>
        <w:tc>
          <w:tcPr>
            <w:tcW w:w="11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b/>
                <w:color w:val="000000"/>
                <w:kern w:val="0"/>
                <w:sz w:val="18"/>
                <w:szCs w:val="18"/>
                <w:highlight w:val="none"/>
              </w:rPr>
            </w:pPr>
          </w:p>
        </w:tc>
        <w:tc>
          <w:tcPr>
            <w:tcW w:w="1264"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highlight w:val="none"/>
              </w:rPr>
            </w:pPr>
          </w:p>
        </w:tc>
        <w:tc>
          <w:tcPr>
            <w:tcW w:w="3733"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发放金额次数（次）</w:t>
            </w:r>
          </w:p>
        </w:tc>
        <w:tc>
          <w:tcPr>
            <w:tcW w:w="26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12</w:t>
            </w:r>
          </w:p>
        </w:tc>
      </w:tr>
      <w:tr>
        <w:tblPrEx>
          <w:tblCellMar>
            <w:top w:w="0" w:type="dxa"/>
            <w:left w:w="0" w:type="dxa"/>
            <w:bottom w:w="0" w:type="dxa"/>
            <w:right w:w="0" w:type="dxa"/>
          </w:tblCellMar>
        </w:tblPrEx>
        <w:trPr>
          <w:trHeight w:val="302" w:hRule="atLeast"/>
        </w:trPr>
        <w:tc>
          <w:tcPr>
            <w:tcW w:w="11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b/>
                <w:color w:val="000000"/>
                <w:kern w:val="0"/>
                <w:sz w:val="18"/>
                <w:szCs w:val="18"/>
                <w:highlight w:val="none"/>
              </w:rPr>
            </w:pPr>
          </w:p>
        </w:tc>
        <w:tc>
          <w:tcPr>
            <w:tcW w:w="12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质量指标</w:t>
            </w:r>
          </w:p>
        </w:tc>
        <w:tc>
          <w:tcPr>
            <w:tcW w:w="3733"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发放工作补助覆盖率（%）</w:t>
            </w:r>
          </w:p>
        </w:tc>
        <w:tc>
          <w:tcPr>
            <w:tcW w:w="26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100%</w:t>
            </w:r>
          </w:p>
        </w:tc>
      </w:tr>
      <w:tr>
        <w:tblPrEx>
          <w:tblCellMar>
            <w:top w:w="0" w:type="dxa"/>
            <w:left w:w="0" w:type="dxa"/>
            <w:bottom w:w="0" w:type="dxa"/>
            <w:right w:w="0" w:type="dxa"/>
          </w:tblCellMar>
        </w:tblPrEx>
        <w:trPr>
          <w:trHeight w:val="302" w:hRule="atLeast"/>
        </w:trPr>
        <w:tc>
          <w:tcPr>
            <w:tcW w:w="11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b/>
                <w:color w:val="000000"/>
                <w:kern w:val="0"/>
                <w:sz w:val="18"/>
                <w:szCs w:val="18"/>
                <w:highlight w:val="none"/>
              </w:rPr>
            </w:pPr>
          </w:p>
        </w:tc>
        <w:tc>
          <w:tcPr>
            <w:tcW w:w="12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时效指标</w:t>
            </w:r>
          </w:p>
        </w:tc>
        <w:tc>
          <w:tcPr>
            <w:tcW w:w="3733"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补贴补助发放及时率（%）</w:t>
            </w:r>
          </w:p>
        </w:tc>
        <w:tc>
          <w:tcPr>
            <w:tcW w:w="26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100%</w:t>
            </w:r>
          </w:p>
        </w:tc>
      </w:tr>
      <w:tr>
        <w:tblPrEx>
          <w:tblCellMar>
            <w:top w:w="0" w:type="dxa"/>
            <w:left w:w="0" w:type="dxa"/>
            <w:bottom w:w="0" w:type="dxa"/>
            <w:right w:w="0" w:type="dxa"/>
          </w:tblCellMar>
        </w:tblPrEx>
        <w:trPr>
          <w:trHeight w:val="302" w:hRule="atLeast"/>
        </w:trPr>
        <w:tc>
          <w:tcPr>
            <w:tcW w:w="11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b/>
                <w:color w:val="000000"/>
                <w:kern w:val="0"/>
                <w:sz w:val="18"/>
                <w:szCs w:val="18"/>
                <w:highlight w:val="none"/>
              </w:rPr>
            </w:pPr>
          </w:p>
        </w:tc>
        <w:tc>
          <w:tcPr>
            <w:tcW w:w="12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成本指标</w:t>
            </w:r>
          </w:p>
        </w:tc>
        <w:tc>
          <w:tcPr>
            <w:tcW w:w="3733"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工作补贴费用（万元）</w:t>
            </w:r>
          </w:p>
        </w:tc>
        <w:tc>
          <w:tcPr>
            <w:tcW w:w="26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1.08</w:t>
            </w:r>
          </w:p>
        </w:tc>
      </w:tr>
      <w:tr>
        <w:tblPrEx>
          <w:tblCellMar>
            <w:top w:w="0" w:type="dxa"/>
            <w:left w:w="0" w:type="dxa"/>
            <w:bottom w:w="0" w:type="dxa"/>
            <w:right w:w="0" w:type="dxa"/>
          </w:tblCellMar>
        </w:tblPrEx>
        <w:trPr>
          <w:trHeight w:val="302" w:hRule="atLeast"/>
        </w:trPr>
        <w:tc>
          <w:tcPr>
            <w:tcW w:w="114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highlight w:val="none"/>
              </w:rPr>
            </w:pPr>
            <w:r>
              <w:rPr>
                <w:rFonts w:hint="eastAsia" w:ascii="宋体" w:hAnsi="宋体" w:cs="宋体"/>
                <w:b/>
                <w:color w:val="000000"/>
                <w:kern w:val="0"/>
                <w:sz w:val="18"/>
                <w:szCs w:val="18"/>
                <w:highlight w:val="none"/>
              </w:rPr>
              <w:t>效益指标</w:t>
            </w:r>
          </w:p>
        </w:tc>
        <w:tc>
          <w:tcPr>
            <w:tcW w:w="12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经济效益指标</w:t>
            </w:r>
          </w:p>
        </w:tc>
        <w:tc>
          <w:tcPr>
            <w:tcW w:w="3733"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ascii="宋体" w:hAnsi="宋体" w:cs="宋体"/>
                <w:color w:val="000000"/>
                <w:sz w:val="18"/>
                <w:szCs w:val="18"/>
                <w:highlight w:val="none"/>
              </w:rPr>
            </w:pPr>
          </w:p>
        </w:tc>
        <w:tc>
          <w:tcPr>
            <w:tcW w:w="26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highlight w:val="none"/>
              </w:rPr>
            </w:pPr>
          </w:p>
        </w:tc>
      </w:tr>
      <w:tr>
        <w:tblPrEx>
          <w:tblCellMar>
            <w:top w:w="0" w:type="dxa"/>
            <w:left w:w="0" w:type="dxa"/>
            <w:bottom w:w="0" w:type="dxa"/>
            <w:right w:w="0" w:type="dxa"/>
          </w:tblCellMar>
        </w:tblPrEx>
        <w:trPr>
          <w:trHeight w:val="302" w:hRule="atLeast"/>
        </w:trPr>
        <w:tc>
          <w:tcPr>
            <w:tcW w:w="11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b/>
                <w:color w:val="000000"/>
                <w:kern w:val="0"/>
                <w:sz w:val="18"/>
                <w:szCs w:val="18"/>
                <w:highlight w:val="none"/>
              </w:rPr>
            </w:pPr>
          </w:p>
        </w:tc>
        <w:tc>
          <w:tcPr>
            <w:tcW w:w="12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社会效益指标</w:t>
            </w:r>
          </w:p>
        </w:tc>
        <w:tc>
          <w:tcPr>
            <w:tcW w:w="3733"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改善补助人员生活水平</w:t>
            </w:r>
          </w:p>
        </w:tc>
        <w:tc>
          <w:tcPr>
            <w:tcW w:w="26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有效改善</w:t>
            </w:r>
          </w:p>
        </w:tc>
      </w:tr>
      <w:tr>
        <w:tblPrEx>
          <w:tblCellMar>
            <w:top w:w="0" w:type="dxa"/>
            <w:left w:w="0" w:type="dxa"/>
            <w:bottom w:w="0" w:type="dxa"/>
            <w:right w:w="0" w:type="dxa"/>
          </w:tblCellMar>
        </w:tblPrEx>
        <w:trPr>
          <w:trHeight w:val="302" w:hRule="atLeast"/>
        </w:trPr>
        <w:tc>
          <w:tcPr>
            <w:tcW w:w="11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b/>
                <w:color w:val="000000"/>
                <w:kern w:val="0"/>
                <w:sz w:val="18"/>
                <w:szCs w:val="18"/>
                <w:highlight w:val="none"/>
              </w:rPr>
            </w:pPr>
          </w:p>
        </w:tc>
        <w:tc>
          <w:tcPr>
            <w:tcW w:w="12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生态效益指标</w:t>
            </w:r>
          </w:p>
        </w:tc>
        <w:tc>
          <w:tcPr>
            <w:tcW w:w="3733"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ascii="宋体" w:hAnsi="宋体" w:cs="宋体"/>
                <w:color w:val="000000"/>
                <w:sz w:val="18"/>
                <w:szCs w:val="18"/>
                <w:highlight w:val="none"/>
              </w:rPr>
            </w:pPr>
          </w:p>
        </w:tc>
        <w:tc>
          <w:tcPr>
            <w:tcW w:w="26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highlight w:val="none"/>
              </w:rPr>
            </w:pPr>
          </w:p>
        </w:tc>
      </w:tr>
      <w:tr>
        <w:tblPrEx>
          <w:tblCellMar>
            <w:top w:w="0" w:type="dxa"/>
            <w:left w:w="0" w:type="dxa"/>
            <w:bottom w:w="0" w:type="dxa"/>
            <w:right w:w="0" w:type="dxa"/>
          </w:tblCellMar>
        </w:tblPrEx>
        <w:trPr>
          <w:trHeight w:val="302" w:hRule="atLeast"/>
        </w:trPr>
        <w:tc>
          <w:tcPr>
            <w:tcW w:w="114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b/>
                <w:color w:val="000000"/>
                <w:kern w:val="0"/>
                <w:sz w:val="18"/>
                <w:szCs w:val="18"/>
                <w:highlight w:val="none"/>
              </w:rPr>
            </w:pPr>
          </w:p>
        </w:tc>
        <w:tc>
          <w:tcPr>
            <w:tcW w:w="12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可持续影响指标</w:t>
            </w:r>
          </w:p>
        </w:tc>
        <w:tc>
          <w:tcPr>
            <w:tcW w:w="3733"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提升离退休老干部生活幸福指数</w:t>
            </w:r>
          </w:p>
        </w:tc>
        <w:tc>
          <w:tcPr>
            <w:tcW w:w="26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有效提升</w:t>
            </w:r>
          </w:p>
        </w:tc>
      </w:tr>
      <w:tr>
        <w:tblPrEx>
          <w:tblCellMar>
            <w:top w:w="0" w:type="dxa"/>
            <w:left w:w="0" w:type="dxa"/>
            <w:bottom w:w="0" w:type="dxa"/>
            <w:right w:w="0" w:type="dxa"/>
          </w:tblCellMar>
        </w:tblPrEx>
        <w:trPr>
          <w:trHeight w:val="302" w:hRule="atLeast"/>
        </w:trPr>
        <w:tc>
          <w:tcPr>
            <w:tcW w:w="11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highlight w:val="none"/>
              </w:rPr>
            </w:pPr>
            <w:r>
              <w:rPr>
                <w:rFonts w:hint="eastAsia" w:ascii="宋体" w:hAnsi="宋体" w:cs="宋体"/>
                <w:b/>
                <w:color w:val="000000"/>
                <w:kern w:val="0"/>
                <w:sz w:val="18"/>
                <w:szCs w:val="18"/>
                <w:highlight w:val="none"/>
              </w:rPr>
              <w:t>满意度指标</w:t>
            </w:r>
          </w:p>
        </w:tc>
        <w:tc>
          <w:tcPr>
            <w:tcW w:w="12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满意度指标</w:t>
            </w:r>
          </w:p>
        </w:tc>
        <w:tc>
          <w:tcPr>
            <w:tcW w:w="3733"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受益群众满意度（%）</w:t>
            </w:r>
          </w:p>
        </w:tc>
        <w:tc>
          <w:tcPr>
            <w:tcW w:w="266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rPr>
              <w:t>≥95%</w:t>
            </w:r>
          </w:p>
        </w:tc>
      </w:tr>
    </w:tbl>
    <w:p>
      <w:pPr>
        <w:widowControl/>
        <w:spacing w:line="480" w:lineRule="exact"/>
        <w:ind w:firstLine="630" w:firstLineChars="196"/>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（五）其他需说明的事项</w:t>
      </w:r>
    </w:p>
    <w:p>
      <w:pPr>
        <w:widowControl/>
        <w:spacing w:line="520" w:lineRule="exact"/>
        <w:ind w:firstLine="640" w:firstLineChars="200"/>
        <w:jc w:val="left"/>
        <w:rPr>
          <w:rFonts w:hint="eastAsia" w:ascii="黑体" w:hAnsi="黑体" w:eastAsia="仿宋_GB2312"/>
          <w:kern w:val="0"/>
          <w:sz w:val="32"/>
          <w:szCs w:val="32"/>
          <w:highlight w:val="none"/>
          <w:lang w:eastAsia="zh-CN"/>
        </w:rPr>
      </w:pPr>
      <w:r>
        <w:rPr>
          <w:rFonts w:hint="eastAsia" w:ascii="仿宋_GB2312" w:hAnsi="宋体" w:eastAsia="仿宋_GB2312" w:cs="宋体"/>
          <w:kern w:val="0"/>
          <w:sz w:val="32"/>
          <w:szCs w:val="32"/>
          <w:highlight w:val="none"/>
        </w:rPr>
        <w:t>克孜勒苏柯尔克孜自治州驻昌吉干休所无其他说明事项</w:t>
      </w:r>
      <w:r>
        <w:rPr>
          <w:rFonts w:hint="eastAsia" w:ascii="仿宋_GB2312" w:hAnsi="宋体" w:eastAsia="仿宋_GB2312" w:cs="宋体"/>
          <w:kern w:val="0"/>
          <w:sz w:val="32"/>
          <w:szCs w:val="32"/>
          <w:highlight w:val="none"/>
          <w:lang w:eastAsia="zh-CN"/>
        </w:rPr>
        <w:t>。</w:t>
      </w:r>
    </w:p>
    <w:p>
      <w:pPr>
        <w:widowControl/>
        <w:spacing w:beforeLines="50" w:line="520" w:lineRule="exact"/>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第四部分  名词解释</w:t>
      </w:r>
    </w:p>
    <w:p>
      <w:pPr>
        <w:widowControl/>
        <w:spacing w:beforeLines="50" w:line="520" w:lineRule="exact"/>
        <w:jc w:val="center"/>
        <w:outlineLvl w:val="1"/>
        <w:rPr>
          <w:rFonts w:ascii="黑体" w:hAnsi="黑体" w:eastAsia="黑体"/>
          <w:kern w:val="0"/>
          <w:sz w:val="32"/>
          <w:szCs w:val="32"/>
          <w:highlight w:val="none"/>
        </w:rPr>
      </w:pPr>
    </w:p>
    <w:p>
      <w:pPr>
        <w:widowControl/>
        <w:spacing w:line="52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名词解释：</w:t>
      </w:r>
    </w:p>
    <w:p>
      <w:pPr>
        <w:spacing w:line="520" w:lineRule="exact"/>
        <w:ind w:firstLine="642"/>
        <w:rPr>
          <w:rFonts w:ascii="仿宋_GB2312" w:eastAsia="仿宋_GB2312"/>
          <w:sz w:val="32"/>
          <w:szCs w:val="32"/>
          <w:highlight w:val="none"/>
        </w:rPr>
      </w:pPr>
      <w:r>
        <w:rPr>
          <w:rFonts w:hint="eastAsia" w:ascii="黑体" w:hAnsi="黑体" w:eastAsia="黑体"/>
          <w:sz w:val="32"/>
          <w:szCs w:val="32"/>
          <w:highlight w:val="none"/>
        </w:rPr>
        <w:t>一、财政拨款：</w:t>
      </w:r>
      <w:r>
        <w:rPr>
          <w:rFonts w:hint="eastAsia" w:ascii="仿宋_GB2312" w:eastAsia="仿宋_GB2312"/>
          <w:sz w:val="32"/>
          <w:szCs w:val="32"/>
          <w:highlight w:val="none"/>
        </w:rPr>
        <w:t>指由一般公共预算、政府性基金预算、</w:t>
      </w:r>
      <w:r>
        <w:rPr>
          <w:rFonts w:ascii="仿宋_GB2312" w:eastAsia="仿宋_GB2312"/>
          <w:sz w:val="32"/>
          <w:szCs w:val="32"/>
          <w:highlight w:val="none"/>
        </w:rPr>
        <w:t>国有资本经营预算</w:t>
      </w:r>
      <w:r>
        <w:rPr>
          <w:rFonts w:hint="eastAsia" w:ascii="仿宋_GB2312" w:eastAsia="仿宋_GB2312"/>
          <w:sz w:val="32"/>
          <w:szCs w:val="32"/>
          <w:highlight w:val="none"/>
        </w:rPr>
        <w:t>安排的财政拨款数。</w:t>
      </w:r>
    </w:p>
    <w:p>
      <w:pPr>
        <w:spacing w:line="520" w:lineRule="exact"/>
        <w:ind w:firstLine="642"/>
        <w:rPr>
          <w:rFonts w:ascii="仿宋_GB2312" w:eastAsia="仿宋_GB2312"/>
          <w:sz w:val="32"/>
          <w:szCs w:val="32"/>
          <w:highlight w:val="none"/>
        </w:rPr>
      </w:pPr>
      <w:r>
        <w:rPr>
          <w:rFonts w:hint="eastAsia" w:ascii="黑体" w:hAnsi="黑体" w:eastAsia="黑体"/>
          <w:sz w:val="32"/>
          <w:szCs w:val="32"/>
          <w:highlight w:val="none"/>
        </w:rPr>
        <w:t>二、一般公共预算：</w:t>
      </w:r>
      <w:r>
        <w:rPr>
          <w:rFonts w:hint="eastAsia" w:ascii="仿宋_GB2312" w:eastAsia="仿宋_GB2312"/>
          <w:spacing w:val="-6"/>
          <w:sz w:val="32"/>
          <w:szCs w:val="32"/>
          <w:highlight w:val="none"/>
        </w:rPr>
        <w:t>包括公共财政拨款（补助）资金、专项收入。</w:t>
      </w:r>
    </w:p>
    <w:p>
      <w:pPr>
        <w:spacing w:line="520" w:lineRule="exact"/>
        <w:ind w:firstLine="642"/>
        <w:rPr>
          <w:rFonts w:ascii="仿宋_GB2312" w:eastAsia="仿宋_GB2312"/>
          <w:sz w:val="32"/>
          <w:szCs w:val="32"/>
          <w:highlight w:val="none"/>
        </w:rPr>
      </w:pPr>
      <w:r>
        <w:rPr>
          <w:rFonts w:hint="eastAsia" w:ascii="黑体" w:hAnsi="黑体" w:eastAsia="黑体"/>
          <w:sz w:val="32"/>
          <w:szCs w:val="32"/>
          <w:highlight w:val="none"/>
          <w:lang w:eastAsia="zh-CN"/>
        </w:rPr>
        <w:t>三</w:t>
      </w:r>
      <w:r>
        <w:rPr>
          <w:rFonts w:hint="eastAsia" w:ascii="黑体" w:hAnsi="黑体" w:eastAsia="黑体"/>
          <w:sz w:val="32"/>
          <w:szCs w:val="32"/>
          <w:highlight w:val="none"/>
        </w:rPr>
        <w:t>、其他资金：</w:t>
      </w:r>
      <w:r>
        <w:rPr>
          <w:rFonts w:hint="eastAsia" w:ascii="仿宋_GB2312" w:eastAsia="仿宋_GB2312"/>
          <w:sz w:val="32"/>
          <w:szCs w:val="32"/>
          <w:highlight w:val="none"/>
        </w:rPr>
        <w:t>包括事业收入、事业经营收入、其他收入等。</w:t>
      </w:r>
    </w:p>
    <w:p>
      <w:pPr>
        <w:spacing w:line="520" w:lineRule="exact"/>
        <w:ind w:firstLine="642"/>
        <w:rPr>
          <w:rFonts w:ascii="仿宋_GB2312" w:eastAsia="仿宋_GB2312"/>
          <w:sz w:val="32"/>
          <w:szCs w:val="32"/>
          <w:highlight w:val="none"/>
        </w:rPr>
      </w:pPr>
      <w:r>
        <w:rPr>
          <w:rFonts w:hint="eastAsia" w:ascii="黑体" w:hAnsi="黑体" w:eastAsia="黑体"/>
          <w:sz w:val="32"/>
          <w:szCs w:val="32"/>
          <w:highlight w:val="none"/>
          <w:lang w:eastAsia="zh-CN"/>
        </w:rPr>
        <w:t>四</w:t>
      </w:r>
      <w:r>
        <w:rPr>
          <w:rFonts w:hint="eastAsia" w:ascii="黑体" w:hAnsi="黑体" w:eastAsia="黑体"/>
          <w:sz w:val="32"/>
          <w:szCs w:val="32"/>
          <w:highlight w:val="none"/>
        </w:rPr>
        <w:t>、基本支出：</w:t>
      </w:r>
      <w:r>
        <w:rPr>
          <w:rFonts w:hint="eastAsia" w:ascii="仿宋_GB2312" w:eastAsia="仿宋_GB2312"/>
          <w:sz w:val="32"/>
          <w:szCs w:val="32"/>
          <w:highlight w:val="none"/>
        </w:rPr>
        <w:t>包括人员经费、商品和服务支出（定额）。其中，人员经费包括工资福利支出、对个人和家庭的补助。</w:t>
      </w:r>
    </w:p>
    <w:p>
      <w:pPr>
        <w:spacing w:line="520" w:lineRule="exact"/>
        <w:ind w:firstLine="642"/>
        <w:rPr>
          <w:rFonts w:ascii="仿宋_GB2312" w:eastAsia="仿宋_GB2312"/>
          <w:sz w:val="32"/>
          <w:szCs w:val="32"/>
          <w:highlight w:val="none"/>
        </w:rPr>
      </w:pPr>
      <w:r>
        <w:rPr>
          <w:rFonts w:hint="eastAsia" w:ascii="黑体" w:hAnsi="黑体" w:eastAsia="黑体"/>
          <w:sz w:val="32"/>
          <w:szCs w:val="32"/>
          <w:highlight w:val="none"/>
          <w:lang w:eastAsia="zh-CN"/>
        </w:rPr>
        <w:t>五</w:t>
      </w:r>
      <w:r>
        <w:rPr>
          <w:rFonts w:hint="eastAsia" w:ascii="黑体" w:hAnsi="黑体" w:eastAsia="黑体"/>
          <w:sz w:val="32"/>
          <w:szCs w:val="32"/>
          <w:highlight w:val="none"/>
        </w:rPr>
        <w:t>、项目支出：</w:t>
      </w:r>
      <w:r>
        <w:rPr>
          <w:rFonts w:hint="eastAsia" w:ascii="仿宋_GB2312" w:eastAsia="仿宋_GB2312"/>
          <w:sz w:val="32"/>
          <w:szCs w:val="32"/>
          <w:highlight w:val="none"/>
        </w:rPr>
        <w:t>部门（单位）支出预算的组成部分，是自治区本级部门（单位）为完成其特定的行政任务或事业发展目标，在基本支出预算之外编制的年度项目支出计划。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highlight w:val="none"/>
        </w:rPr>
      </w:pPr>
      <w:r>
        <w:rPr>
          <w:rFonts w:hint="eastAsia" w:ascii="黑体" w:hAnsi="黑体" w:eastAsia="黑体"/>
          <w:sz w:val="32"/>
          <w:szCs w:val="32"/>
          <w:highlight w:val="none"/>
          <w:lang w:eastAsia="zh-CN"/>
        </w:rPr>
        <w:t>六</w:t>
      </w:r>
      <w:r>
        <w:rPr>
          <w:rFonts w:hint="eastAsia" w:ascii="黑体" w:hAnsi="黑体" w:eastAsia="黑体"/>
          <w:sz w:val="32"/>
          <w:szCs w:val="32"/>
          <w:highlight w:val="none"/>
        </w:rPr>
        <w:t>、“三公”经费：</w:t>
      </w:r>
      <w:r>
        <w:rPr>
          <w:rFonts w:hint="eastAsia" w:ascii="仿宋_GB2312" w:eastAsia="仿宋_GB2312"/>
          <w:sz w:val="32"/>
          <w:szCs w:val="32"/>
          <w:highlight w:val="none"/>
        </w:rPr>
        <w:t>指自治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highlight w:val="none"/>
        </w:rPr>
      </w:pPr>
      <w:r>
        <w:rPr>
          <w:rFonts w:hint="eastAsia" w:ascii="黑体" w:hAnsi="黑体" w:eastAsia="黑体"/>
          <w:sz w:val="32"/>
          <w:szCs w:val="32"/>
          <w:highlight w:val="none"/>
          <w:lang w:eastAsia="zh-CN"/>
        </w:rPr>
        <w:t>七</w:t>
      </w:r>
      <w:r>
        <w:rPr>
          <w:rFonts w:hint="eastAsia" w:ascii="黑体" w:hAnsi="黑体" w:eastAsia="黑体"/>
          <w:sz w:val="32"/>
          <w:szCs w:val="32"/>
          <w:highlight w:val="none"/>
        </w:rPr>
        <w:t>、机关运行经费：</w:t>
      </w:r>
      <w:r>
        <w:rPr>
          <w:rFonts w:hint="eastAsia" w:ascii="仿宋_GB2312" w:eastAsia="仿宋_GB2312"/>
          <w:sz w:val="32"/>
          <w:szCs w:val="32"/>
          <w:highlight w:val="none"/>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spacing w:line="520" w:lineRule="exact"/>
        <w:ind w:firstLine="640"/>
        <w:rPr>
          <w:rFonts w:ascii="仿宋_GB2312" w:eastAsia="仿宋_GB2312"/>
          <w:b/>
          <w:szCs w:val="20"/>
          <w:highlight w:val="none"/>
        </w:rPr>
      </w:pPr>
    </w:p>
    <w:p>
      <w:pPr>
        <w:widowControl/>
        <w:spacing w:line="520" w:lineRule="exact"/>
        <w:ind w:left="1915" w:leftChars="912" w:firstLine="1440" w:firstLineChars="45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                                 </w:t>
      </w:r>
    </w:p>
    <w:p>
      <w:pPr>
        <w:widowControl/>
        <w:spacing w:line="520" w:lineRule="exact"/>
        <w:ind w:left="1915" w:leftChars="912" w:firstLine="1440" w:firstLineChars="45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克孜勒苏柯尔克孜自治州驻昌吉干休所</w:t>
      </w:r>
    </w:p>
    <w:p>
      <w:pPr>
        <w:widowControl/>
        <w:spacing w:line="520" w:lineRule="exact"/>
        <w:jc w:val="left"/>
        <w:rPr>
          <w:rFonts w:ascii="仿宋_GB2312" w:eastAsia="仿宋_GB2312"/>
          <w:sz w:val="32"/>
          <w:szCs w:val="32"/>
          <w:highlight w:val="none"/>
        </w:rPr>
      </w:pPr>
      <w:r>
        <w:rPr>
          <w:rFonts w:hint="eastAsia" w:ascii="仿宋_GB2312" w:hAnsi="宋体" w:eastAsia="仿宋_GB2312" w:cs="宋体"/>
          <w:kern w:val="0"/>
          <w:sz w:val="32"/>
          <w:szCs w:val="32"/>
          <w:highlight w:val="none"/>
        </w:rPr>
        <w:t xml:space="preserve">                              2021</w:t>
      </w:r>
      <w:r>
        <w:rPr>
          <w:rFonts w:ascii="仿宋_GB2312" w:hAnsi="宋体" w:eastAsia="仿宋_GB2312" w:cs="宋体"/>
          <w:kern w:val="0"/>
          <w:sz w:val="32"/>
          <w:szCs w:val="32"/>
          <w:highlight w:val="none"/>
        </w:rPr>
        <w:t>年</w:t>
      </w:r>
      <w:r>
        <w:rPr>
          <w:rFonts w:hint="eastAsia" w:ascii="仿宋_GB2312" w:hAnsi="宋体" w:eastAsia="仿宋_GB2312" w:cs="宋体"/>
          <w:kern w:val="0"/>
          <w:sz w:val="32"/>
          <w:szCs w:val="32"/>
          <w:highlight w:val="none"/>
        </w:rPr>
        <w:t>2</w:t>
      </w:r>
      <w:r>
        <w:rPr>
          <w:rFonts w:ascii="仿宋_GB2312" w:hAnsi="宋体" w:eastAsia="仿宋_GB2312" w:cs="宋体"/>
          <w:kern w:val="0"/>
          <w:sz w:val="32"/>
          <w:szCs w:val="32"/>
          <w:highlight w:val="none"/>
        </w:rPr>
        <w:t>月</w:t>
      </w:r>
      <w:r>
        <w:rPr>
          <w:rFonts w:hint="eastAsia" w:ascii="仿宋_GB2312" w:hAnsi="宋体" w:eastAsia="仿宋_GB2312" w:cs="宋体"/>
          <w:kern w:val="0"/>
          <w:sz w:val="32"/>
          <w:szCs w:val="32"/>
          <w:highlight w:val="none"/>
        </w:rPr>
        <w:t>5</w:t>
      </w:r>
      <w:r>
        <w:rPr>
          <w:rFonts w:ascii="仿宋_GB2312" w:hAnsi="宋体" w:eastAsia="仿宋_GB2312" w:cs="宋体"/>
          <w:kern w:val="0"/>
          <w:sz w:val="32"/>
          <w:szCs w:val="32"/>
          <w:highlight w:val="none"/>
        </w:rPr>
        <w:t>日</w:t>
      </w:r>
    </w:p>
    <w:p>
      <w:pPr>
        <w:spacing w:line="560" w:lineRule="exact"/>
        <w:ind w:left="3150" w:leftChars="1500"/>
        <w:jc w:val="center"/>
        <w:rPr>
          <w:rFonts w:ascii="仿宋_GB2312" w:eastAsia="仿宋_GB2312"/>
          <w:sz w:val="32"/>
          <w:szCs w:val="32"/>
          <w:highlight w:val="none"/>
        </w:rPr>
      </w:pPr>
    </w:p>
    <w:p>
      <w:pPr>
        <w:spacing w:line="600" w:lineRule="exact"/>
        <w:jc w:val="both"/>
        <w:rPr>
          <w:rFonts w:ascii="仿宋_GB2312" w:eastAsia="仿宋_GB2312"/>
          <w:sz w:val="32"/>
          <w:szCs w:val="32"/>
          <w:highlight w:val="none"/>
        </w:rPr>
      </w:pPr>
    </w:p>
    <w:sectPr>
      <w:footerReference r:id="rId6" w:type="default"/>
      <w:footerReference r:id="rId7"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微软雅黑"/>
    <w:panose1 w:val="00000000000000000000"/>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仿宋">
    <w:altName w:val="微软雅黑"/>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1A0F3C52" w:usb2="00000010"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12 -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12 -</w:t>
    </w:r>
    <w:r>
      <w:rPr>
        <w:rFonts w:ascii="宋体" w:hAnsi="宋体" w:eastAsia="宋体"/>
        <w:sz w:val="28"/>
        <w:szCs w:val="28"/>
      </w:rPr>
      <w:fldChar w:fldCharType="end"/>
    </w:r>
  </w:p>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631" w:y="37"/>
      <w:jc w:val="right"/>
      <w:rPr>
        <w:rStyle w:val="11"/>
        <w:rFonts w:ascii="宋体" w:hAnsi="宋体" w:eastAsia="宋体"/>
        <w:sz w:val="28"/>
      </w:rPr>
    </w:pPr>
    <w:r>
      <w:rPr>
        <w:rFonts w:ascii="宋体" w:hAnsi="宋体" w:eastAsia="宋体"/>
        <w:sz w:val="28"/>
      </w:rPr>
      <w:fldChar w:fldCharType="begin"/>
    </w:r>
    <w:r>
      <w:rPr>
        <w:rStyle w:val="11"/>
        <w:rFonts w:ascii="宋体" w:hAnsi="宋体" w:eastAsia="宋体"/>
        <w:sz w:val="28"/>
      </w:rPr>
      <w:instrText xml:space="preserve"> PAGE </w:instrText>
    </w:r>
    <w:r>
      <w:rPr>
        <w:rFonts w:ascii="宋体" w:hAnsi="宋体" w:eastAsia="宋体"/>
        <w:sz w:val="28"/>
      </w:rPr>
      <w:fldChar w:fldCharType="separate"/>
    </w:r>
    <w:r>
      <w:rPr>
        <w:rStyle w:val="11"/>
        <w:rFonts w:ascii="宋体" w:hAnsi="宋体" w:eastAsia="宋体"/>
        <w:sz w:val="28"/>
      </w:rPr>
      <w:t>- 32 -</w:t>
    </w:r>
    <w:r>
      <w:rPr>
        <w:rFonts w:ascii="宋体" w:hAnsi="宋体" w:eastAsia="宋体"/>
        <w:sz w:val="28"/>
      </w:rPr>
      <w:fldChar w:fldCharType="end"/>
    </w:r>
  </w:p>
  <w:p>
    <w:pPr>
      <w:pStyle w:val="3"/>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1756" w:y="37"/>
      <w:rPr>
        <w:rStyle w:val="11"/>
        <w:rFonts w:ascii="宋体" w:hAnsi="宋体" w:eastAsia="宋体"/>
        <w:sz w:val="28"/>
        <w:szCs w:val="28"/>
      </w:rPr>
    </w:pPr>
    <w:r>
      <w:rPr>
        <w:rFonts w:ascii="宋体" w:hAnsi="宋体" w:eastAsia="宋体"/>
        <w:sz w:val="28"/>
        <w:szCs w:val="28"/>
      </w:rPr>
      <w:fldChar w:fldCharType="begin"/>
    </w:r>
    <w:r>
      <w:rPr>
        <w:rStyle w:val="11"/>
        <w:rFonts w:ascii="宋体" w:hAnsi="宋体" w:eastAsia="宋体"/>
        <w:sz w:val="28"/>
        <w:szCs w:val="28"/>
      </w:rPr>
      <w:instrText xml:space="preserve">PAGE  </w:instrText>
    </w:r>
    <w:r>
      <w:rPr>
        <w:rFonts w:ascii="宋体" w:hAnsi="宋体" w:eastAsia="宋体"/>
        <w:sz w:val="28"/>
        <w:szCs w:val="28"/>
      </w:rPr>
      <w:fldChar w:fldCharType="separate"/>
    </w:r>
    <w:r>
      <w:rPr>
        <w:rStyle w:val="11"/>
        <w:rFonts w:ascii="宋体" w:hAnsi="宋体" w:eastAsia="宋体"/>
        <w:sz w:val="28"/>
        <w:szCs w:val="28"/>
      </w:rPr>
      <w:t>- 34 -</w:t>
    </w:r>
    <w:r>
      <w:rPr>
        <w:rFonts w:ascii="宋体" w:hAnsi="宋体" w:eastAsia="宋体"/>
        <w:sz w:val="28"/>
        <w:szCs w:val="28"/>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213"/>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C05BF"/>
    <w:rsid w:val="00001EBD"/>
    <w:rsid w:val="00054ABF"/>
    <w:rsid w:val="0009522A"/>
    <w:rsid w:val="000C2AA9"/>
    <w:rsid w:val="00121764"/>
    <w:rsid w:val="001662FE"/>
    <w:rsid w:val="00172C01"/>
    <w:rsid w:val="00186398"/>
    <w:rsid w:val="001D3009"/>
    <w:rsid w:val="002166BA"/>
    <w:rsid w:val="00324290"/>
    <w:rsid w:val="003347DE"/>
    <w:rsid w:val="00396814"/>
    <w:rsid w:val="003B4B5F"/>
    <w:rsid w:val="003C61E3"/>
    <w:rsid w:val="003D560B"/>
    <w:rsid w:val="00432267"/>
    <w:rsid w:val="004422D6"/>
    <w:rsid w:val="0049103D"/>
    <w:rsid w:val="00493EEC"/>
    <w:rsid w:val="004B01C1"/>
    <w:rsid w:val="004C06DA"/>
    <w:rsid w:val="004F62F9"/>
    <w:rsid w:val="00520D5A"/>
    <w:rsid w:val="00576DB5"/>
    <w:rsid w:val="00577DA9"/>
    <w:rsid w:val="006A3660"/>
    <w:rsid w:val="006B6A8C"/>
    <w:rsid w:val="006F3635"/>
    <w:rsid w:val="007219F8"/>
    <w:rsid w:val="007E2CEA"/>
    <w:rsid w:val="0087570D"/>
    <w:rsid w:val="009035BA"/>
    <w:rsid w:val="00912984"/>
    <w:rsid w:val="00950B98"/>
    <w:rsid w:val="0096028F"/>
    <w:rsid w:val="0099744C"/>
    <w:rsid w:val="009C6198"/>
    <w:rsid w:val="00A666B2"/>
    <w:rsid w:val="00A9706D"/>
    <w:rsid w:val="00BA582F"/>
    <w:rsid w:val="00C117E5"/>
    <w:rsid w:val="00CA4E1E"/>
    <w:rsid w:val="00CC3B88"/>
    <w:rsid w:val="00CE5389"/>
    <w:rsid w:val="00CF342D"/>
    <w:rsid w:val="00D36549"/>
    <w:rsid w:val="00DC05BF"/>
    <w:rsid w:val="00E24368"/>
    <w:rsid w:val="00E569BC"/>
    <w:rsid w:val="00EF4090"/>
    <w:rsid w:val="00F23808"/>
    <w:rsid w:val="00F54FE8"/>
    <w:rsid w:val="00F652C4"/>
    <w:rsid w:val="00F830A1"/>
    <w:rsid w:val="00F83503"/>
    <w:rsid w:val="00F90952"/>
    <w:rsid w:val="085D1151"/>
    <w:rsid w:val="124A0C31"/>
    <w:rsid w:val="1DE720BE"/>
    <w:rsid w:val="28E74FAE"/>
    <w:rsid w:val="35CB359C"/>
    <w:rsid w:val="455B53BC"/>
    <w:rsid w:val="517B5A77"/>
    <w:rsid w:val="6007047D"/>
    <w:rsid w:val="70A06FA0"/>
    <w:rsid w:val="7FAE680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qFormat/>
    <w:uiPriority w:val="0"/>
    <w:rPr>
      <w:rFonts w:asciiTheme="minorHAnsi" w:hAnsiTheme="minorHAnsi" w:eastAsiaTheme="minorEastAsia" w:cstheme="minorBidi"/>
      <w:sz w:val="18"/>
      <w:szCs w:val="18"/>
    </w:rPr>
  </w:style>
  <w:style w:type="paragraph" w:styleId="3">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15"/>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Char"/>
    <w:basedOn w:val="9"/>
    <w:link w:val="4"/>
    <w:qFormat/>
    <w:uiPriority w:val="0"/>
    <w:rPr>
      <w:sz w:val="18"/>
      <w:szCs w:val="18"/>
    </w:rPr>
  </w:style>
  <w:style w:type="character" w:customStyle="1" w:styleId="13">
    <w:name w:val="页脚 Char"/>
    <w:basedOn w:val="9"/>
    <w:link w:val="3"/>
    <w:qFormat/>
    <w:uiPriority w:val="99"/>
    <w:rPr>
      <w:sz w:val="18"/>
      <w:szCs w:val="18"/>
    </w:rPr>
  </w:style>
  <w:style w:type="character" w:customStyle="1" w:styleId="14">
    <w:name w:val="批注框文本 Char"/>
    <w:link w:val="2"/>
    <w:semiHidden/>
    <w:qFormat/>
    <w:uiPriority w:val="0"/>
    <w:rPr>
      <w:sz w:val="18"/>
      <w:szCs w:val="18"/>
    </w:rPr>
  </w:style>
  <w:style w:type="character" w:customStyle="1" w:styleId="15">
    <w:name w:val="正文文本缩进 3 Char"/>
    <w:link w:val="5"/>
    <w:qFormat/>
    <w:uiPriority w:val="0"/>
    <w:rPr>
      <w:rFonts w:eastAsia="仿宋_GB2312"/>
      <w:sz w:val="32"/>
      <w:szCs w:val="24"/>
    </w:rPr>
  </w:style>
  <w:style w:type="paragraph" w:customStyle="1" w:styleId="16">
    <w:name w:val="普通(网站)2"/>
    <w:basedOn w:val="1"/>
    <w:qFormat/>
    <w:uiPriority w:val="0"/>
    <w:rPr>
      <w:rFonts w:ascii="Calibri" w:hAnsi="Calibri" w:cs="黑体"/>
      <w:sz w:val="24"/>
    </w:rPr>
  </w:style>
  <w:style w:type="character" w:customStyle="1" w:styleId="17">
    <w:name w:val="正文文本缩进 3 字符1"/>
    <w:basedOn w:val="9"/>
    <w:semiHidden/>
    <w:qFormat/>
    <w:uiPriority w:val="99"/>
    <w:rPr>
      <w:rFonts w:ascii="Times New Roman" w:hAnsi="Times New Roman" w:eastAsia="宋体" w:cs="Times New Roman"/>
      <w:sz w:val="16"/>
      <w:szCs w:val="16"/>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普通(网站)3"/>
    <w:basedOn w:val="1"/>
    <w:qFormat/>
    <w:uiPriority w:val="0"/>
    <w:rPr>
      <w:rFonts w:ascii="Calibri" w:hAnsi="Calibri" w:cs="黑体"/>
      <w:sz w:val="24"/>
    </w:rPr>
  </w:style>
  <w:style w:type="character" w:customStyle="1" w:styleId="20">
    <w:name w:val="批注框文本 字符1"/>
    <w:basedOn w:val="9"/>
    <w:semiHidden/>
    <w:qFormat/>
    <w:uiPriority w:val="99"/>
    <w:rPr>
      <w:rFonts w:ascii="Times New Roman" w:hAnsi="Times New Roman" w:eastAsia="宋体" w:cs="Times New Roman"/>
      <w:sz w:val="18"/>
      <w:szCs w:val="18"/>
    </w:rPr>
  </w:style>
  <w:style w:type="paragraph" w:customStyle="1" w:styleId="21">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2">
    <w:name w:val="普通(网站)1"/>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3B7759-D128-4F8F-8E0E-C7686D1B36B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25</Pages>
  <Words>1801</Words>
  <Characters>10271</Characters>
  <Lines>85</Lines>
  <Paragraphs>24</Paragraphs>
  <TotalTime>23</TotalTime>
  <ScaleCrop>false</ScaleCrop>
  <LinksUpToDate>false</LinksUpToDate>
  <CharactersWithSpaces>12048</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2021-02-10T08:43:00Z</dcterms:created>
  <dc:creator>薛理升</dc:creator>
  <cp:lastModifiedBy>Administrator</cp:lastModifiedBy>
  <cp:lastPrinted>2021-08-17T11:01:00Z</cp:lastPrinted>
  <dcterms:modified xsi:type="dcterms:W3CDTF">2021-08-18T02:03:56Z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