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仿宋_GB2312" w:hAnsi="仿宋" w:eastAsia="仿宋_GB2312"/>
          <w:sz w:val="32"/>
          <w:szCs w:val="32"/>
        </w:rPr>
      </w:pPr>
    </w:p>
    <w:p>
      <w:pPr>
        <w:rPr>
          <w:rFonts w:ascii="宋体" w:hAnsi="宋体" w:cs="宋体"/>
          <w:b/>
          <w:bCs/>
          <w:kern w:val="0"/>
          <w:sz w:val="44"/>
          <w:szCs w:val="44"/>
        </w:rPr>
      </w:pPr>
      <w:r>
        <w:rPr>
          <w:rFonts w:hint="eastAsia" w:ascii="黑体" w:hAnsi="黑体" w:eastAsia="黑体"/>
          <w:sz w:val="32"/>
          <w:szCs w:val="32"/>
        </w:rPr>
        <w:t>附件：</w:t>
      </w:r>
    </w:p>
    <w:p>
      <w:pPr>
        <w:rPr>
          <w:rFonts w:ascii="宋体" w:hAnsi="宋体" w:cs="宋体"/>
          <w:b/>
          <w:bCs/>
          <w:kern w:val="0"/>
          <w:sz w:val="44"/>
          <w:szCs w:val="44"/>
        </w:rPr>
      </w:pP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克孜勒苏柯尔克孜自治州</w:t>
      </w:r>
      <w:r>
        <w:rPr>
          <w:rFonts w:hint="eastAsia" w:ascii="方正小标宋_GBK" w:hAnsi="宋体" w:eastAsia="方正小标宋_GBK"/>
          <w:kern w:val="0"/>
          <w:sz w:val="44"/>
          <w:szCs w:val="44"/>
          <w:lang w:eastAsia="zh-CN"/>
        </w:rPr>
        <w:t>政务服务和公共资源交易中心</w:t>
      </w:r>
      <w:r>
        <w:rPr>
          <w:rFonts w:hint="eastAsia" w:ascii="方正小标宋_GBK" w:hAnsi="宋体" w:eastAsia="方正小标宋_GBK"/>
          <w:kern w:val="0"/>
          <w:sz w:val="44"/>
          <w:szCs w:val="44"/>
          <w:lang w:val="en-US" w:eastAsia="zh-CN"/>
        </w:rPr>
        <w:t>2021</w:t>
      </w:r>
      <w:r>
        <w:rPr>
          <w:rFonts w:hint="eastAsia" w:ascii="方正小标宋_GBK" w:hAnsi="宋体" w:eastAsia="方正小标宋_GBK"/>
          <w:kern w:val="0"/>
          <w:sz w:val="44"/>
          <w:szCs w:val="44"/>
        </w:rPr>
        <w:t>年</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both"/>
        <w:outlineLvl w:val="1"/>
        <w:rPr>
          <w:rFonts w:ascii="宋体" w:hAnsi="宋体"/>
          <w:b/>
          <w:kern w:val="0"/>
          <w:sz w:val="44"/>
          <w:szCs w:val="44"/>
        </w:rPr>
      </w:pPr>
    </w:p>
    <w:p>
      <w:pPr>
        <w:widowControl/>
        <w:spacing w:before="100" w:beforeAutospacing="1" w:after="100" w:afterAutospacing="1"/>
        <w:jc w:val="both"/>
        <w:outlineLvl w:val="1"/>
        <w:rPr>
          <w:rFonts w:ascii="宋体" w:hAnsi="宋体"/>
          <w:b/>
          <w:kern w:val="0"/>
          <w:sz w:val="44"/>
          <w:szCs w:val="44"/>
        </w:rPr>
      </w:pPr>
    </w:p>
    <w:p>
      <w:pPr>
        <w:widowControl/>
        <w:spacing w:line="440" w:lineRule="exact"/>
        <w:jc w:val="center"/>
        <w:outlineLvl w:val="1"/>
        <w:rPr>
          <w:rFonts w:ascii="宋体" w:hAnsi="宋体"/>
          <w:b/>
          <w:kern w:val="0"/>
          <w:sz w:val="44"/>
          <w:szCs w:val="44"/>
        </w:rPr>
      </w:pPr>
    </w:p>
    <w:p>
      <w:pPr>
        <w:widowControl/>
        <w:spacing w:line="44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40" w:lineRule="exact"/>
        <w:ind w:firstLine="883" w:firstLineChars="200"/>
        <w:outlineLvl w:val="1"/>
        <w:rPr>
          <w:rFonts w:ascii="宋体" w:hAnsi="宋体"/>
          <w:b/>
          <w:kern w:val="0"/>
          <w:sz w:val="44"/>
          <w:szCs w:val="44"/>
        </w:rPr>
      </w:pP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第一部分  </w:t>
      </w:r>
      <w:r>
        <w:rPr>
          <w:rFonts w:hint="eastAsia" w:ascii="仿宋_GB2312" w:hAnsi="宋体" w:eastAsia="仿宋_GB2312"/>
          <w:b/>
          <w:kern w:val="0"/>
          <w:sz w:val="32"/>
          <w:szCs w:val="32"/>
          <w:lang w:eastAsia="zh-CN"/>
        </w:rPr>
        <w:t>克州政务服务和公共资源交易中心</w:t>
      </w:r>
      <w:r>
        <w:rPr>
          <w:rFonts w:hint="eastAsia" w:ascii="仿宋_GB2312" w:hAnsi="宋体" w:eastAsia="仿宋_GB2312"/>
          <w:b/>
          <w:kern w:val="0"/>
          <w:sz w:val="32"/>
          <w:szCs w:val="32"/>
        </w:rPr>
        <w:t>概况</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仿宋_GB2312" w:hAnsi="宋体" w:eastAsia="仿宋_GB2312"/>
          <w:b/>
          <w:kern w:val="0"/>
          <w:sz w:val="32"/>
          <w:szCs w:val="32"/>
          <w:lang w:val="en-US" w:eastAsia="zh-CN"/>
        </w:rPr>
        <w:t>2021</w:t>
      </w:r>
      <w:r>
        <w:rPr>
          <w:rFonts w:hint="eastAsia" w:ascii="仿宋_GB2312" w:hAnsi="宋体" w:eastAsia="仿宋_GB2312"/>
          <w:b/>
          <w:kern w:val="0"/>
          <w:sz w:val="32"/>
          <w:szCs w:val="32"/>
        </w:rPr>
        <w:t>年部门（单位）预算公开表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w:t>
      </w:r>
      <w:r>
        <w:rPr>
          <w:rFonts w:hint="eastAsia" w:ascii="仿宋_GB2312" w:hAnsi="宋体" w:eastAsia="仿宋_GB2312"/>
          <w:kern w:val="0"/>
          <w:sz w:val="32"/>
          <w:szCs w:val="32"/>
          <w:lang w:eastAsia="zh-CN"/>
        </w:rPr>
        <w:t>部门</w:t>
      </w:r>
      <w:r>
        <w:rPr>
          <w:rFonts w:hint="eastAsia" w:ascii="仿宋_GB2312" w:hAnsi="宋体" w:eastAsia="仿宋_GB2312"/>
          <w:kern w:val="0"/>
          <w:sz w:val="32"/>
          <w:szCs w:val="32"/>
        </w:rPr>
        <w:t>（单位）收支总体情况表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w:t>
      </w:r>
      <w:r>
        <w:rPr>
          <w:rFonts w:hint="eastAsia" w:ascii="仿宋_GB2312" w:hAnsi="宋体" w:eastAsia="仿宋_GB2312"/>
          <w:kern w:val="0"/>
          <w:sz w:val="32"/>
          <w:szCs w:val="32"/>
          <w:lang w:eastAsia="zh-CN"/>
        </w:rPr>
        <w:t>部门</w:t>
      </w:r>
      <w:r>
        <w:rPr>
          <w:rFonts w:hint="eastAsia" w:ascii="仿宋_GB2312" w:hAnsi="宋体" w:eastAsia="仿宋_GB2312"/>
          <w:kern w:val="0"/>
          <w:sz w:val="32"/>
          <w:szCs w:val="32"/>
        </w:rPr>
        <w:t>（单位）收入总体情况表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w:t>
      </w:r>
      <w:r>
        <w:rPr>
          <w:rFonts w:hint="eastAsia" w:ascii="仿宋_GB2312" w:hAnsi="宋体" w:eastAsia="仿宋_GB2312"/>
          <w:kern w:val="0"/>
          <w:sz w:val="32"/>
          <w:szCs w:val="32"/>
          <w:lang w:eastAsia="zh-CN"/>
        </w:rPr>
        <w:t>部门</w:t>
      </w:r>
      <w:r>
        <w:rPr>
          <w:rFonts w:hint="eastAsia" w:ascii="仿宋_GB2312" w:hAnsi="宋体" w:eastAsia="仿宋_GB2312"/>
          <w:kern w:val="0"/>
          <w:sz w:val="32"/>
          <w:szCs w:val="32"/>
        </w:rPr>
        <w:t>（单位）支出总体情况表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仿宋_GB2312" w:hAnsi="宋体" w:eastAsia="仿宋_GB2312"/>
          <w:b/>
          <w:kern w:val="0"/>
          <w:sz w:val="32"/>
          <w:szCs w:val="32"/>
          <w:lang w:val="en-US" w:eastAsia="zh-CN"/>
        </w:rPr>
        <w:t>2021</w:t>
      </w:r>
      <w:r>
        <w:rPr>
          <w:rFonts w:hint="eastAsia" w:ascii="仿宋_GB2312" w:hAnsi="宋体" w:eastAsia="仿宋_GB2312"/>
          <w:b/>
          <w:kern w:val="0"/>
          <w:sz w:val="32"/>
          <w:szCs w:val="32"/>
        </w:rPr>
        <w:t>年部门（单位）预算情况说明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w:t>
      </w:r>
      <w:r>
        <w:rPr>
          <w:rFonts w:hint="eastAsia" w:ascii="仿宋_GB2312" w:hAnsi="宋体" w:eastAsia="仿宋_GB2312"/>
          <w:kern w:val="0"/>
          <w:sz w:val="32"/>
          <w:szCs w:val="32"/>
          <w:lang w:eastAsia="zh-CN"/>
        </w:rPr>
        <w:t>克州政务服务和公共资源交易中心</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w:t>
      </w:r>
      <w:r>
        <w:rPr>
          <w:rFonts w:hint="eastAsia" w:ascii="仿宋_GB2312" w:hAnsi="宋体" w:eastAsia="仿宋_GB2312"/>
          <w:kern w:val="0"/>
          <w:sz w:val="32"/>
          <w:szCs w:val="32"/>
          <w:lang w:eastAsia="zh-CN"/>
        </w:rPr>
        <w:t>克州政务服务和公共资源交易中心</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年收入预算情况说明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w:t>
      </w:r>
      <w:r>
        <w:rPr>
          <w:rFonts w:hint="eastAsia" w:ascii="仿宋_GB2312" w:hAnsi="宋体" w:eastAsia="仿宋_GB2312"/>
          <w:kern w:val="0"/>
          <w:sz w:val="32"/>
          <w:szCs w:val="32"/>
          <w:lang w:eastAsia="zh-CN"/>
        </w:rPr>
        <w:t>克州政务服务和公共资源交易中心</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年支出预算情况说明</w:t>
      </w:r>
    </w:p>
    <w:p>
      <w:pPr>
        <w:widowControl/>
        <w:spacing w:line="44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lang w:eastAsia="zh-CN"/>
        </w:rPr>
        <w:t>克州政务服务和公共资源交易中心</w:t>
      </w:r>
      <w:r>
        <w:rPr>
          <w:rFonts w:hint="eastAsia" w:ascii="仿宋_GB2312" w:hAnsi="宋体" w:eastAsia="仿宋_GB2312"/>
          <w:kern w:val="0"/>
          <w:sz w:val="32"/>
          <w:szCs w:val="32"/>
          <w:lang w:val="en-US" w:eastAsia="zh-CN"/>
        </w:rPr>
        <w:t>2021</w:t>
      </w:r>
      <w:r>
        <w:rPr>
          <w:rFonts w:hint="eastAsia" w:ascii="仿宋_GB2312" w:hAnsi="宋体" w:eastAsia="仿宋_GB2312"/>
          <w:bCs/>
          <w:kern w:val="0"/>
          <w:sz w:val="32"/>
          <w:szCs w:val="32"/>
        </w:rPr>
        <w:t>年财政拨款收支预算情况的总体说明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w:t>
      </w:r>
      <w:r>
        <w:rPr>
          <w:rFonts w:hint="eastAsia" w:ascii="仿宋_GB2312" w:hAnsi="宋体" w:eastAsia="仿宋_GB2312"/>
          <w:kern w:val="0"/>
          <w:sz w:val="32"/>
          <w:szCs w:val="32"/>
          <w:lang w:eastAsia="zh-CN"/>
        </w:rPr>
        <w:t>克州政务服务和公共资源交易中心</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年一般公共预算当年拨款情况说明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w:t>
      </w:r>
      <w:r>
        <w:rPr>
          <w:rFonts w:hint="eastAsia" w:ascii="仿宋_GB2312" w:hAnsi="宋体" w:eastAsia="仿宋_GB2312"/>
          <w:kern w:val="0"/>
          <w:sz w:val="32"/>
          <w:szCs w:val="32"/>
          <w:lang w:eastAsia="zh-CN"/>
        </w:rPr>
        <w:t>克州政务服务和公共资源交易中心</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年一般公共预算基本支出情况说明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w:t>
      </w:r>
      <w:r>
        <w:rPr>
          <w:rFonts w:hint="eastAsia" w:ascii="仿宋_GB2312" w:hAnsi="宋体" w:eastAsia="仿宋_GB2312"/>
          <w:kern w:val="0"/>
          <w:sz w:val="32"/>
          <w:szCs w:val="32"/>
          <w:lang w:eastAsia="zh-CN"/>
        </w:rPr>
        <w:t>克州政务服务和公共资源交易中心</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年一般公共预算项目支出情况说明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w:t>
      </w:r>
      <w:r>
        <w:rPr>
          <w:rFonts w:hint="eastAsia" w:ascii="仿宋_GB2312" w:hAnsi="宋体" w:eastAsia="仿宋_GB2312"/>
          <w:kern w:val="0"/>
          <w:sz w:val="32"/>
          <w:szCs w:val="32"/>
          <w:lang w:eastAsia="zh-CN"/>
        </w:rPr>
        <w:t>克州政务服务和公共资源交易中心</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年一般公共预算“三公”经费预算情况说明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w:t>
      </w:r>
      <w:r>
        <w:rPr>
          <w:rFonts w:hint="eastAsia" w:ascii="仿宋_GB2312" w:hAnsi="宋体" w:eastAsia="仿宋_GB2312"/>
          <w:kern w:val="0"/>
          <w:sz w:val="32"/>
          <w:szCs w:val="32"/>
          <w:lang w:eastAsia="zh-CN"/>
        </w:rPr>
        <w:t>克州政务服务和公共资源交易中心</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年政府性基金预算拨款情况说明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kern w:val="0"/>
          <w:sz w:val="32"/>
          <w:szCs w:val="32"/>
          <w:lang w:eastAsia="zh-CN"/>
        </w:rPr>
        <w:t>克州政务服务和公共资源交易中心</w:t>
      </w:r>
      <w:r>
        <w:rPr>
          <w:rFonts w:hint="eastAsia" w:ascii="黑体" w:hAnsi="黑体" w:eastAsia="黑体"/>
          <w:kern w:val="0"/>
          <w:sz w:val="32"/>
          <w:szCs w:val="32"/>
        </w:rPr>
        <w:t>概况</w:t>
      </w:r>
    </w:p>
    <w:p>
      <w:pPr>
        <w:widowControl/>
        <w:jc w:val="center"/>
        <w:outlineLvl w:val="1"/>
        <w:rPr>
          <w:rFonts w:ascii="宋体" w:hAnsi="宋体"/>
          <w:b/>
          <w:kern w:val="0"/>
          <w:sz w:val="32"/>
          <w:szCs w:val="32"/>
        </w:rPr>
      </w:pPr>
    </w:p>
    <w:p>
      <w:pPr>
        <w:widowControl/>
        <w:numPr>
          <w:ilvl w:val="0"/>
          <w:numId w:val="1"/>
        </w:numPr>
        <w:spacing w:line="560" w:lineRule="exact"/>
        <w:ind w:left="640" w:leftChars="0" w:firstLine="0" w:firstLineChars="0"/>
        <w:jc w:val="left"/>
        <w:rPr>
          <w:rFonts w:hint="eastAsia" w:ascii="仿宋_GB2312" w:hAnsi="仿宋" w:eastAsia="仿宋_GB2312"/>
          <w:sz w:val="32"/>
          <w:szCs w:val="32"/>
          <w:lang w:val="en-US" w:eastAsia="zh-CN"/>
        </w:rPr>
      </w:pPr>
      <w:r>
        <w:rPr>
          <w:rFonts w:hint="eastAsia" w:ascii="黑体" w:hAnsi="黑体" w:eastAsia="黑体" w:cs="宋体"/>
          <w:bCs/>
          <w:kern w:val="0"/>
          <w:sz w:val="32"/>
          <w:szCs w:val="32"/>
        </w:rPr>
        <w:t>主要职能</w:t>
      </w:r>
    </w:p>
    <w:p>
      <w:pPr>
        <w:widowControl/>
        <w:numPr>
          <w:ilvl w:val="0"/>
          <w:numId w:val="0"/>
        </w:numPr>
        <w:spacing w:line="560" w:lineRule="exact"/>
        <w:ind w:firstLine="640" w:firstLineChars="200"/>
        <w:jc w:val="left"/>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(一）贯彻执行党和国家、自治区政务服务和公共资源交易的法律法规和方针政策。</w:t>
      </w:r>
    </w:p>
    <w:p>
      <w:pPr>
        <w:widowControl/>
        <w:numPr>
          <w:ilvl w:val="0"/>
          <w:numId w:val="0"/>
        </w:numPr>
        <w:spacing w:line="560" w:lineRule="exact"/>
        <w:ind w:firstLine="640" w:firstLineChars="200"/>
        <w:jc w:val="left"/>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（二）组织、协调有关部门（单位）政务服务事项进驻政务服务大厅，负责政务服务和公共资源交易平台的信息化建设，为政务服务和公共资源交易活动提供服务场所和平台。</w:t>
      </w:r>
    </w:p>
    <w:p>
      <w:pPr>
        <w:widowControl/>
        <w:snapToGrid/>
        <w:spacing w:line="560" w:lineRule="exact"/>
        <w:ind w:firstLine="640" w:firstLineChars="200"/>
        <w:jc w:val="left"/>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（三）负责对自治州本级工程建设项目招标投标、矿业权出让、国有产权交易、政府采购、及以市场化配置的自然资源、资产股权等各类公共资源交易，提供见证、场所、信息、档案等管理和服务。</w:t>
      </w:r>
    </w:p>
    <w:p>
      <w:pPr>
        <w:widowControl/>
        <w:snapToGrid/>
        <w:spacing w:line="560" w:lineRule="exact"/>
        <w:ind w:firstLine="627" w:firstLineChars="196"/>
        <w:jc w:val="left"/>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（四）承担自治州政务服务大厅和公共资源交易大厅的日常管理及规范化建设工作，为“放管服”改革落地提供支撑。</w:t>
      </w:r>
    </w:p>
    <w:p>
      <w:pPr>
        <w:widowControl/>
        <w:snapToGrid/>
        <w:spacing w:line="560" w:lineRule="exact"/>
        <w:ind w:firstLine="627" w:firstLineChars="196"/>
        <w:jc w:val="left"/>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（五）对各县（市）政务服务和公共资源交易中心工作进行业务指导。</w:t>
      </w:r>
    </w:p>
    <w:p>
      <w:pPr>
        <w:widowControl/>
        <w:snapToGrid/>
        <w:spacing w:line="560" w:lineRule="exact"/>
        <w:ind w:firstLine="627" w:firstLineChars="196"/>
        <w:jc w:val="left"/>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（六）承担自治区一体化在线政务服务平台自治州业务系统对接、建设、管理和公共资源交易平台建设、运行维护等工作，承担“12345”在线服务平台相关工作。</w:t>
      </w:r>
    </w:p>
    <w:p>
      <w:pPr>
        <w:widowControl/>
        <w:snapToGrid/>
        <w:spacing w:line="560" w:lineRule="exact"/>
        <w:ind w:firstLine="627" w:firstLineChars="196"/>
        <w:jc w:val="left"/>
        <w:rPr>
          <w:rFonts w:hint="eastAsia" w:ascii="仿宋_GB2312" w:hAnsi="宋体" w:eastAsia="仿宋_GB2312" w:cs="宋体"/>
          <w:bCs/>
          <w:kern w:val="0"/>
          <w:sz w:val="32"/>
          <w:szCs w:val="32"/>
        </w:rPr>
      </w:pPr>
      <w:r>
        <w:rPr>
          <w:rFonts w:hint="eastAsia" w:ascii="仿宋_GB2312" w:hAnsi="仿宋" w:eastAsia="仿宋_GB2312"/>
          <w:sz w:val="32"/>
          <w:szCs w:val="32"/>
          <w:lang w:val="en-US" w:eastAsia="zh-CN"/>
        </w:rPr>
        <w:t>（七）完成自治州党委、自治州人民政府交办的其他事项。</w:t>
      </w:r>
    </w:p>
    <w:p>
      <w:pPr>
        <w:widowControl/>
        <w:spacing w:line="560" w:lineRule="exact"/>
        <w:jc w:val="left"/>
        <w:rPr>
          <w:rFonts w:ascii="仿宋_GB2312" w:hAnsi="黑体" w:eastAsia="仿宋_GB2312" w:cs="宋体"/>
          <w:b/>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napToGrid/>
        <w:spacing w:line="560" w:lineRule="exact"/>
        <w:ind w:firstLine="645" w:firstLineChars="0"/>
        <w:jc w:val="left"/>
        <w:rPr>
          <w:rFonts w:hint="eastAsia" w:ascii="仿宋_GB2312" w:hAnsi="仿宋" w:eastAsia="仿宋_GB2312"/>
          <w:sz w:val="32"/>
          <w:szCs w:val="32"/>
        </w:rPr>
      </w:pPr>
      <w:r>
        <w:rPr>
          <w:rFonts w:hint="eastAsia" w:ascii="仿宋_GB2312" w:hAnsi="黑体" w:eastAsia="仿宋_GB2312" w:cs="宋体"/>
          <w:bCs/>
          <w:kern w:val="0"/>
          <w:sz w:val="32"/>
          <w:szCs w:val="32"/>
          <w:lang w:eastAsia="zh-CN"/>
        </w:rPr>
        <w:t>克州政务服务和公共资源交易中心</w:t>
      </w:r>
      <w:r>
        <w:rPr>
          <w:rFonts w:hint="eastAsia" w:ascii="仿宋_GB2312" w:hAnsi="黑体" w:eastAsia="仿宋_GB2312" w:cs="宋体"/>
          <w:bCs/>
          <w:kern w:val="0"/>
          <w:sz w:val="32"/>
          <w:szCs w:val="32"/>
        </w:rPr>
        <w:t xml:space="preserve">无下属预算单位，下设   </w:t>
      </w:r>
      <w:r>
        <w:rPr>
          <w:rFonts w:hint="eastAsia" w:ascii="仿宋_GB2312" w:hAnsi="黑体" w:eastAsia="仿宋_GB2312" w:cs="宋体"/>
          <w:bCs/>
          <w:kern w:val="0"/>
          <w:sz w:val="32"/>
          <w:szCs w:val="32"/>
          <w:lang w:val="en-US" w:eastAsia="zh-CN"/>
        </w:rPr>
        <w:t>7</w:t>
      </w:r>
      <w:r>
        <w:rPr>
          <w:rFonts w:hint="eastAsia" w:ascii="仿宋_GB2312" w:hAnsi="黑体" w:eastAsia="仿宋_GB2312" w:cs="宋体"/>
          <w:bCs/>
          <w:kern w:val="0"/>
          <w:sz w:val="32"/>
          <w:szCs w:val="32"/>
        </w:rPr>
        <w:t>个</w:t>
      </w:r>
      <w:r>
        <w:rPr>
          <w:rFonts w:hint="eastAsia" w:ascii="仿宋_GB2312" w:hAnsi="黑体" w:eastAsia="仿宋_GB2312" w:cs="宋体"/>
          <w:bCs/>
          <w:kern w:val="0"/>
          <w:sz w:val="32"/>
          <w:szCs w:val="32"/>
          <w:lang w:eastAsia="zh-CN"/>
        </w:rPr>
        <w:t>科</w:t>
      </w:r>
      <w:r>
        <w:rPr>
          <w:rFonts w:hint="eastAsia" w:ascii="仿宋_GB2312" w:hAnsi="黑体" w:eastAsia="仿宋_GB2312" w:cs="宋体"/>
          <w:bCs/>
          <w:kern w:val="0"/>
          <w:sz w:val="32"/>
          <w:szCs w:val="32"/>
        </w:rPr>
        <w:t>室，分别是：</w:t>
      </w:r>
      <w:r>
        <w:rPr>
          <w:rFonts w:hint="eastAsia" w:ascii="仿宋_GB2312" w:hAnsi="黑体" w:eastAsia="仿宋_GB2312" w:cs="宋体"/>
          <w:bCs/>
          <w:kern w:val="0"/>
          <w:sz w:val="32"/>
          <w:szCs w:val="32"/>
          <w:lang w:eastAsia="zh-CN"/>
        </w:rPr>
        <w:t>办公室、政务服务科、</w:t>
      </w:r>
      <w:r>
        <w:rPr>
          <w:rFonts w:hint="eastAsia" w:ascii="仿宋_GB2312" w:hAnsi="黑体" w:eastAsia="仿宋_GB2312" w:cs="宋体"/>
          <w:bCs/>
          <w:kern w:val="0"/>
          <w:sz w:val="32"/>
          <w:szCs w:val="32"/>
        </w:rPr>
        <w:t>技术保障科、效能督查科、综合管理科、</w:t>
      </w:r>
      <w:r>
        <w:rPr>
          <w:rFonts w:hint="eastAsia" w:ascii="仿宋_GB2312" w:hAnsi="黑体" w:eastAsia="仿宋_GB2312" w:cs="宋体"/>
          <w:bCs/>
          <w:kern w:val="0"/>
          <w:sz w:val="32"/>
          <w:szCs w:val="32"/>
          <w:lang w:eastAsia="zh-CN"/>
        </w:rPr>
        <w:t>工程建设与自然资源交易科、政府采购与产权交易科</w:t>
      </w:r>
    </w:p>
    <w:p>
      <w:pPr>
        <w:widowControl/>
        <w:spacing w:line="560" w:lineRule="exact"/>
        <w:ind w:firstLine="640"/>
        <w:jc w:val="left"/>
        <w:rPr>
          <w:rFonts w:ascii="仿宋_GB2312" w:hAnsi="宋体" w:eastAsia="仿宋_GB2312" w:cs="宋体"/>
          <w:kern w:val="0"/>
          <w:sz w:val="32"/>
          <w:szCs w:val="32"/>
        </w:rPr>
      </w:pPr>
      <w:r>
        <w:rPr>
          <w:rFonts w:hint="eastAsia" w:ascii="仿宋_GB2312" w:hAnsi="黑体" w:eastAsia="仿宋_GB2312" w:cs="宋体"/>
          <w:bCs/>
          <w:kern w:val="0"/>
          <w:sz w:val="32"/>
          <w:szCs w:val="32"/>
          <w:lang w:eastAsia="zh-CN"/>
        </w:rPr>
        <w:t>克州政务服务和公共资源交易中心</w:t>
      </w:r>
      <w:r>
        <w:rPr>
          <w:rFonts w:hint="eastAsia" w:ascii="仿宋_GB2312" w:hAnsi="宋体" w:eastAsia="仿宋_GB2312" w:cs="宋体"/>
          <w:kern w:val="0"/>
          <w:sz w:val="32"/>
          <w:szCs w:val="32"/>
        </w:rPr>
        <w:t>编制数</w:t>
      </w:r>
      <w:r>
        <w:rPr>
          <w:rFonts w:hint="eastAsia" w:ascii="仿宋_GB2312" w:hAnsi="宋体" w:eastAsia="仿宋_GB2312" w:cs="宋体"/>
          <w:kern w:val="0"/>
          <w:sz w:val="32"/>
          <w:szCs w:val="32"/>
          <w:lang w:val="en-US" w:eastAsia="zh-CN"/>
        </w:rPr>
        <w:t>24</w:t>
      </w:r>
      <w:r>
        <w:rPr>
          <w:rFonts w:hint="eastAsia" w:ascii="仿宋_GB2312" w:hAnsi="宋体" w:eastAsia="仿宋_GB2312" w:cs="宋体"/>
          <w:kern w:val="0"/>
          <w:sz w:val="32"/>
          <w:szCs w:val="32"/>
        </w:rPr>
        <w:t xml:space="preserve"> ，实有人数    </w:t>
      </w:r>
      <w:r>
        <w:rPr>
          <w:rFonts w:hint="eastAsia" w:ascii="仿宋_GB2312" w:hAnsi="宋体" w:eastAsia="仿宋_GB2312" w:cs="宋体"/>
          <w:kern w:val="0"/>
          <w:sz w:val="32"/>
          <w:szCs w:val="32"/>
          <w:lang w:val="en-US" w:eastAsia="zh-CN"/>
        </w:rPr>
        <w:t>19</w:t>
      </w:r>
      <w:r>
        <w:rPr>
          <w:rFonts w:hint="eastAsia" w:ascii="仿宋_GB2312" w:hAnsi="宋体" w:eastAsia="仿宋_GB2312" w:cs="宋体"/>
          <w:kern w:val="0"/>
          <w:sz w:val="32"/>
          <w:szCs w:val="32"/>
        </w:rPr>
        <w:t xml:space="preserve">人，其中：在职 </w:t>
      </w:r>
      <w:r>
        <w:rPr>
          <w:rFonts w:hint="eastAsia" w:ascii="仿宋_GB2312" w:hAnsi="宋体" w:eastAsia="仿宋_GB2312" w:cs="宋体"/>
          <w:kern w:val="0"/>
          <w:sz w:val="32"/>
          <w:szCs w:val="32"/>
          <w:lang w:val="en-US" w:eastAsia="zh-CN"/>
        </w:rPr>
        <w:t>19</w:t>
      </w:r>
      <w:r>
        <w:rPr>
          <w:rFonts w:hint="eastAsia" w:ascii="仿宋_GB2312" w:hAnsi="宋体" w:eastAsia="仿宋_GB2312" w:cs="宋体"/>
          <w:kern w:val="0"/>
          <w:sz w:val="32"/>
          <w:szCs w:val="32"/>
        </w:rPr>
        <w:t xml:space="preserve"> 人，增加 </w:t>
      </w:r>
      <w:r>
        <w:rPr>
          <w:rFonts w:hint="eastAsia" w:ascii="仿宋_GB2312" w:hAnsi="宋体" w:eastAsia="仿宋_GB2312" w:cs="宋体"/>
          <w:kern w:val="0"/>
          <w:sz w:val="32"/>
          <w:szCs w:val="32"/>
          <w:lang w:val="en-US" w:eastAsia="zh-CN"/>
        </w:rPr>
        <w:t>9</w:t>
      </w:r>
      <w:r>
        <w:rPr>
          <w:rFonts w:hint="eastAsia" w:ascii="仿宋_GB2312" w:hAnsi="宋体" w:eastAsia="仿宋_GB2312" w:cs="宋体"/>
          <w:kern w:val="0"/>
          <w:sz w:val="32"/>
          <w:szCs w:val="32"/>
        </w:rPr>
        <w:t>人； 退休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人；离休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w:t>
      </w:r>
    </w:p>
    <w:p>
      <w:pPr>
        <w:widowControl/>
        <w:spacing w:line="560" w:lineRule="exact"/>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60" w:lineRule="exact"/>
        <w:jc w:val="left"/>
        <w:rPr>
          <w:rFonts w:hint="eastAsia" w:ascii="仿宋_GB2312" w:hAnsi="宋体" w:eastAsia="仿宋_GB2312" w:cs="宋体"/>
          <w:kern w:val="0"/>
          <w:sz w:val="32"/>
          <w:szCs w:val="32"/>
        </w:rPr>
      </w:pPr>
    </w:p>
    <w:p>
      <w:pPr>
        <w:widowControl/>
        <w:spacing w:line="560" w:lineRule="exact"/>
        <w:jc w:val="left"/>
        <w:rPr>
          <w:rFonts w:hint="eastAsia" w:ascii="仿宋_GB2312" w:hAnsi="宋体" w:eastAsia="仿宋_GB2312" w:cs="宋体"/>
          <w:kern w:val="0"/>
          <w:sz w:val="32"/>
          <w:szCs w:val="32"/>
        </w:rPr>
      </w:pPr>
    </w:p>
    <w:p>
      <w:pPr>
        <w:widowControl/>
        <w:spacing w:line="560" w:lineRule="exact"/>
        <w:jc w:val="left"/>
        <w:rPr>
          <w:rFonts w:hint="eastAsia" w:ascii="仿宋_GB2312" w:hAnsi="宋体" w:eastAsia="仿宋_GB2312" w:cs="宋体"/>
          <w:kern w:val="0"/>
          <w:sz w:val="32"/>
          <w:szCs w:val="32"/>
        </w:rPr>
      </w:pPr>
    </w:p>
    <w:p>
      <w:pPr>
        <w:widowControl/>
        <w:spacing w:line="560" w:lineRule="exact"/>
        <w:jc w:val="left"/>
        <w:rPr>
          <w:rFonts w:hint="eastAsia" w:ascii="仿宋_GB2312" w:hAnsi="宋体" w:eastAsia="仿宋_GB2312" w:cs="宋体"/>
          <w:kern w:val="0"/>
          <w:sz w:val="32"/>
          <w:szCs w:val="32"/>
        </w:rPr>
      </w:pPr>
    </w:p>
    <w:p>
      <w:pPr>
        <w:widowControl/>
        <w:spacing w:line="560" w:lineRule="exact"/>
        <w:jc w:val="left"/>
        <w:rPr>
          <w:rFonts w:hint="eastAsia" w:ascii="仿宋_GB2312" w:hAnsi="宋体" w:eastAsia="仿宋_GB2312" w:cs="宋体"/>
          <w:kern w:val="0"/>
          <w:sz w:val="32"/>
          <w:szCs w:val="32"/>
        </w:rPr>
      </w:pPr>
    </w:p>
    <w:p>
      <w:pPr>
        <w:widowControl/>
        <w:spacing w:line="560" w:lineRule="exact"/>
        <w:jc w:val="left"/>
        <w:rPr>
          <w:rFonts w:hint="eastAsia" w:ascii="仿宋_GB2312" w:hAnsi="宋体" w:eastAsia="仿宋_GB2312" w:cs="宋体"/>
          <w:kern w:val="0"/>
          <w:sz w:val="32"/>
          <w:szCs w:val="32"/>
        </w:rPr>
      </w:pPr>
    </w:p>
    <w:p>
      <w:pPr>
        <w:widowControl/>
        <w:spacing w:line="560" w:lineRule="exact"/>
        <w:jc w:val="left"/>
        <w:rPr>
          <w:rFonts w:hint="eastAsia" w:ascii="仿宋_GB2312" w:hAnsi="宋体" w:eastAsia="仿宋_GB2312" w:cs="宋体"/>
          <w:kern w:val="0"/>
          <w:sz w:val="32"/>
          <w:szCs w:val="32"/>
        </w:rPr>
      </w:pPr>
    </w:p>
    <w:p>
      <w:pPr>
        <w:widowControl/>
        <w:spacing w:line="560" w:lineRule="exact"/>
        <w:jc w:val="left"/>
        <w:rPr>
          <w:rFonts w:hint="eastAsia" w:ascii="仿宋_GB2312" w:hAnsi="宋体" w:eastAsia="仿宋_GB2312" w:cs="宋体"/>
          <w:kern w:val="0"/>
          <w:sz w:val="32"/>
          <w:szCs w:val="32"/>
        </w:rPr>
      </w:pPr>
    </w:p>
    <w:p>
      <w:pPr>
        <w:widowControl/>
        <w:spacing w:line="560" w:lineRule="exact"/>
        <w:jc w:val="left"/>
        <w:rPr>
          <w:rFonts w:hint="eastAsia" w:ascii="仿宋_GB2312" w:hAnsi="宋体" w:eastAsia="仿宋_GB2312" w:cs="宋体"/>
          <w:kern w:val="0"/>
          <w:sz w:val="32"/>
          <w:szCs w:val="32"/>
        </w:rPr>
      </w:pPr>
    </w:p>
    <w:p>
      <w:pPr>
        <w:widowControl/>
        <w:spacing w:line="280" w:lineRule="exact"/>
        <w:jc w:val="center"/>
        <w:outlineLvl w:val="1"/>
        <w:rPr>
          <w:rFonts w:hint="eastAsia"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hint="eastAsia" w:ascii="黑体" w:hAnsi="黑体" w:eastAsia="黑体"/>
          <w:kern w:val="0"/>
          <w:sz w:val="32"/>
          <w:szCs w:val="32"/>
          <w:lang w:eastAsia="zh-CN"/>
        </w:rPr>
        <w:t>克州政务服务和公共资源交易中心</w:t>
      </w:r>
      <w:r>
        <w:rPr>
          <w:rFonts w:hint="eastAsia" w:ascii="黑体" w:hAnsi="黑体" w:eastAsia="黑体"/>
          <w:kern w:val="0"/>
          <w:sz w:val="32"/>
          <w:szCs w:val="32"/>
        </w:rPr>
        <w:t>预算公开表</w:t>
      </w:r>
    </w:p>
    <w:p>
      <w:pPr>
        <w:widowControl/>
        <w:spacing w:line="280" w:lineRule="exact"/>
        <w:outlineLvl w:val="1"/>
        <w:rPr>
          <w:rFonts w:hint="eastAsia" w:ascii="仿宋_GB2312" w:hAnsi="宋体" w:eastAsia="仿宋_GB2312"/>
          <w:b/>
          <w:kern w:val="0"/>
          <w:sz w:val="32"/>
          <w:szCs w:val="32"/>
        </w:rPr>
      </w:pPr>
    </w:p>
    <w:p>
      <w:pPr>
        <w:widowControl/>
        <w:spacing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lang w:eastAsia="zh-CN"/>
        </w:rPr>
        <w:t>部门</w:t>
      </w:r>
      <w:r>
        <w:rPr>
          <w:rFonts w:hint="eastAsia" w:ascii="仿宋_GB2312" w:hAnsi="宋体" w:eastAsia="仿宋_GB2312"/>
          <w:b/>
          <w:kern w:val="0"/>
          <w:sz w:val="32"/>
          <w:szCs w:val="32"/>
        </w:rPr>
        <w:t>（单位）收支总体情况表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w:t>
      </w:r>
      <w:r>
        <w:rPr>
          <w:rFonts w:hint="eastAsia" w:ascii="仿宋_GB2312" w:hAnsi="宋体" w:eastAsia="仿宋_GB2312"/>
          <w:kern w:val="0"/>
          <w:sz w:val="24"/>
          <w:lang w:eastAsia="zh-CN"/>
        </w:rPr>
        <w:t>部门</w:t>
      </w:r>
      <w:r>
        <w:rPr>
          <w:rFonts w:hint="eastAsia" w:ascii="仿宋_GB2312" w:hAnsi="宋体" w:eastAsia="仿宋_GB2312"/>
          <w:kern w:val="0"/>
          <w:sz w:val="24"/>
        </w:rPr>
        <w:t>（单位）：</w:t>
      </w:r>
      <w:r>
        <w:rPr>
          <w:rFonts w:hint="eastAsia" w:ascii="仿宋_GB2312" w:hAnsi="宋体" w:eastAsia="仿宋_GB2312"/>
          <w:kern w:val="0"/>
          <w:sz w:val="24"/>
          <w:lang w:eastAsia="zh-CN"/>
        </w:rPr>
        <w:t>克孜勒苏柯尔克孜自治州政务服务和公共资源交易中心</w:t>
      </w:r>
      <w:r>
        <w:rPr>
          <w:rFonts w:hint="eastAsia" w:ascii="仿宋_GB2312" w:hAnsi="宋体" w:eastAsia="仿宋_GB2312"/>
          <w:kern w:val="0"/>
          <w:sz w:val="24"/>
        </w:rPr>
        <w:t xml:space="preserve">                                              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254.67</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254.67</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254.67</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ind w:firstLine="360" w:firstLineChars="20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highlight w:val="yellow"/>
              </w:rPr>
              <w:t>国有资本</w:t>
            </w:r>
            <w:r>
              <w:rPr>
                <w:rFonts w:ascii="仿宋_GB2312" w:hAnsi="宋体" w:eastAsia="仿宋_GB2312" w:cs="宋体"/>
                <w:kern w:val="0"/>
                <w:sz w:val="18"/>
                <w:szCs w:val="18"/>
                <w:highlight w:val="yellow"/>
              </w:rPr>
              <w:t>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上级补助</w:t>
            </w:r>
            <w:r>
              <w:rPr>
                <w:rFonts w:ascii="仿宋_GB2312" w:hAnsi="宋体" w:eastAsia="仿宋_GB2312" w:cs="宋体"/>
                <w:kern w:val="0"/>
                <w:sz w:val="18"/>
                <w:szCs w:val="18"/>
              </w:rPr>
              <w:t>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w:t>
            </w:r>
            <w:r>
              <w:rPr>
                <w:rFonts w:ascii="仿宋_GB2312" w:hAnsi="宋体" w:eastAsia="仿宋_GB2312" w:cs="宋体"/>
                <w:kern w:val="0"/>
                <w:sz w:val="18"/>
                <w:szCs w:val="18"/>
              </w:rPr>
              <w:t>专项收入</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22 </w:t>
            </w:r>
            <w:r>
              <w:rPr>
                <w:rFonts w:hint="eastAsia" w:ascii="仿宋_GB2312" w:hAnsi="宋体" w:eastAsia="仿宋_GB2312" w:cs="宋体"/>
                <w:kern w:val="0"/>
                <w:sz w:val="18"/>
                <w:szCs w:val="18"/>
              </w:rPr>
              <w:t>粮油</w:t>
            </w:r>
            <w:r>
              <w:rPr>
                <w:rFonts w:ascii="仿宋_GB2312" w:hAnsi="宋体" w:eastAsia="仿宋_GB2312" w:cs="宋体"/>
                <w:kern w:val="0"/>
                <w:sz w:val="18"/>
                <w:szCs w:val="18"/>
              </w:rPr>
              <w:t>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lang w:bidi="ar"/>
              </w:rPr>
            </w:pP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254.67</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lang w:val="en-US" w:eastAsia="zh-CN" w:bidi="ar-SA"/>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254.67</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lang w:eastAsia="zh-CN"/>
        </w:rPr>
        <w:t>部门</w:t>
      </w:r>
      <w:r>
        <w:rPr>
          <w:rFonts w:hint="eastAsia" w:ascii="仿宋_GB2312" w:hAnsi="宋体" w:eastAsia="仿宋_GB2312"/>
          <w:b/>
          <w:kern w:val="0"/>
          <w:sz w:val="32"/>
          <w:szCs w:val="32"/>
        </w:rPr>
        <w:t>（单位）收入总体情况表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w:t>
      </w:r>
      <w:r>
        <w:rPr>
          <w:rFonts w:hint="eastAsia" w:ascii="仿宋_GB2312" w:hAnsi="宋体" w:eastAsia="仿宋_GB2312"/>
          <w:kern w:val="0"/>
          <w:sz w:val="24"/>
          <w:lang w:eastAsia="zh-CN"/>
        </w:rPr>
        <w:t>部门</w:t>
      </w:r>
      <w:r>
        <w:rPr>
          <w:rFonts w:hint="eastAsia" w:ascii="仿宋_GB2312" w:hAnsi="宋体" w:eastAsia="仿宋_GB2312"/>
          <w:kern w:val="0"/>
          <w:sz w:val="24"/>
        </w:rPr>
        <w:t>（单位）：</w:t>
      </w:r>
      <w:r>
        <w:rPr>
          <w:rFonts w:hint="eastAsia" w:ascii="仿宋_GB2312" w:hAnsi="宋体" w:eastAsia="仿宋_GB2312"/>
          <w:kern w:val="0"/>
          <w:sz w:val="24"/>
          <w:lang w:eastAsia="zh-CN"/>
        </w:rPr>
        <w:t>克孜勒苏柯尔克孜自治州政务服务和公共资源交易中心</w:t>
      </w:r>
      <w:r>
        <w:rPr>
          <w:rFonts w:hint="eastAsia" w:ascii="仿宋_GB2312" w:hAnsi="宋体" w:eastAsia="仿宋_GB2312"/>
          <w:kern w:val="0"/>
          <w:sz w:val="24"/>
        </w:rPr>
        <w:t xml:space="preserve">                         单位：万元</w:t>
      </w:r>
    </w:p>
    <w:tbl>
      <w:tblPr>
        <w:tblStyle w:val="7"/>
        <w:tblW w:w="10651" w:type="dxa"/>
        <w:tblInd w:w="-450" w:type="dxa"/>
        <w:tblLayout w:type="fixed"/>
        <w:tblCellMar>
          <w:top w:w="0" w:type="dxa"/>
          <w:left w:w="108" w:type="dxa"/>
          <w:bottom w:w="0" w:type="dxa"/>
          <w:right w:w="108" w:type="dxa"/>
        </w:tblCellMar>
      </w:tblPr>
      <w:tblGrid>
        <w:gridCol w:w="331"/>
        <w:gridCol w:w="331"/>
        <w:gridCol w:w="331"/>
        <w:gridCol w:w="1295"/>
        <w:gridCol w:w="992"/>
        <w:gridCol w:w="851"/>
        <w:gridCol w:w="850"/>
        <w:gridCol w:w="709"/>
        <w:gridCol w:w="709"/>
        <w:gridCol w:w="567"/>
        <w:gridCol w:w="567"/>
        <w:gridCol w:w="567"/>
        <w:gridCol w:w="567"/>
        <w:gridCol w:w="425"/>
        <w:gridCol w:w="709"/>
        <w:gridCol w:w="850"/>
      </w:tblGrid>
      <w:tr>
        <w:tblPrEx>
          <w:tblCellMar>
            <w:top w:w="0" w:type="dxa"/>
            <w:left w:w="108" w:type="dxa"/>
            <w:bottom w:w="0" w:type="dxa"/>
            <w:right w:w="108" w:type="dxa"/>
          </w:tblCellMar>
        </w:tblPrEx>
        <w:trPr>
          <w:trHeight w:val="2671" w:hRule="atLeast"/>
        </w:trPr>
        <w:tc>
          <w:tcPr>
            <w:tcW w:w="99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295"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992"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51"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85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709"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709" w:type="dxa"/>
            <w:tcBorders>
              <w:top w:val="single" w:color="auto" w:sz="4" w:space="0"/>
              <w:left w:val="single" w:color="auto" w:sz="4" w:space="0"/>
              <w:bottom w:val="single" w:color="000000" w:sz="4" w:space="0"/>
              <w:right w:val="single" w:color="auto" w:sz="4" w:space="0"/>
            </w:tcBorders>
          </w:tcPr>
          <w:p>
            <w:pPr>
              <w:jc w:val="center"/>
              <w:rPr>
                <w:rFonts w:ascii="仿宋_GB2312" w:eastAsia="仿宋_GB2312"/>
                <w:b/>
                <w:color w:val="000000"/>
                <w:sz w:val="20"/>
                <w:szCs w:val="20"/>
              </w:rPr>
            </w:pPr>
          </w:p>
          <w:p>
            <w:pPr>
              <w:jc w:val="center"/>
              <w:rPr>
                <w:rFonts w:ascii="仿宋_GB2312" w:eastAsia="仿宋_GB2312"/>
                <w:b/>
                <w:color w:val="000000"/>
                <w:sz w:val="20"/>
                <w:szCs w:val="20"/>
              </w:rPr>
            </w:pPr>
          </w:p>
          <w:p>
            <w:pPr>
              <w:jc w:val="center"/>
              <w:rPr>
                <w:rFonts w:ascii="仿宋_GB2312" w:eastAsia="仿宋_GB2312"/>
                <w:b/>
                <w:color w:val="000000"/>
                <w:sz w:val="20"/>
                <w:szCs w:val="20"/>
              </w:rPr>
            </w:pPr>
          </w:p>
          <w:p>
            <w:pPr>
              <w:jc w:val="center"/>
              <w:rPr>
                <w:rFonts w:hint="eastAsia" w:ascii="仿宋_GB2312" w:eastAsia="仿宋_GB2312"/>
                <w:b/>
                <w:color w:val="000000"/>
                <w:sz w:val="20"/>
                <w:szCs w:val="20"/>
              </w:rPr>
            </w:pPr>
            <w:r>
              <w:rPr>
                <w:rFonts w:hint="eastAsia" w:ascii="仿宋_GB2312" w:eastAsia="仿宋_GB2312"/>
                <w:b/>
                <w:color w:val="000000"/>
                <w:sz w:val="20"/>
                <w:szCs w:val="20"/>
                <w:highlight w:val="yellow"/>
              </w:rPr>
              <w:t>国有资本</w:t>
            </w:r>
            <w:r>
              <w:rPr>
                <w:rFonts w:ascii="仿宋_GB2312" w:eastAsia="仿宋_GB2312"/>
                <w:b/>
                <w:color w:val="000000"/>
                <w:sz w:val="20"/>
                <w:szCs w:val="20"/>
                <w:highlight w:val="yellow"/>
              </w:rPr>
              <w:t>经营预算</w:t>
            </w:r>
          </w:p>
        </w:tc>
        <w:tc>
          <w:tcPr>
            <w:tcW w:w="567"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567" w:type="dxa"/>
            <w:tcBorders>
              <w:top w:val="single" w:color="auto" w:sz="4" w:space="0"/>
              <w:left w:val="single" w:color="auto" w:sz="4" w:space="0"/>
              <w:bottom w:val="single" w:color="000000" w:sz="4" w:space="0"/>
              <w:right w:val="single" w:color="auto" w:sz="4" w:space="0"/>
            </w:tcBorders>
          </w:tcPr>
          <w:p>
            <w:pPr>
              <w:rPr>
                <w:rFonts w:ascii="仿宋_GB2312" w:eastAsia="仿宋_GB2312"/>
                <w:b/>
                <w:color w:val="000000"/>
                <w:sz w:val="20"/>
                <w:szCs w:val="20"/>
              </w:rPr>
            </w:pPr>
          </w:p>
          <w:p>
            <w:pPr>
              <w:rPr>
                <w:rFonts w:ascii="仿宋_GB2312" w:eastAsia="仿宋_GB2312"/>
                <w:b/>
                <w:color w:val="000000"/>
                <w:sz w:val="20"/>
                <w:szCs w:val="20"/>
              </w:rPr>
            </w:pPr>
          </w:p>
          <w:p>
            <w:pPr>
              <w:rPr>
                <w:rFonts w:ascii="仿宋_GB2312" w:eastAsia="仿宋_GB2312"/>
                <w:b/>
                <w:color w:val="000000"/>
                <w:sz w:val="20"/>
                <w:szCs w:val="20"/>
              </w:rPr>
            </w:pPr>
            <w:r>
              <w:rPr>
                <w:rFonts w:hint="eastAsia" w:ascii="仿宋_GB2312" w:eastAsia="仿宋_GB2312"/>
                <w:b/>
                <w:color w:val="000000"/>
                <w:sz w:val="20"/>
                <w:szCs w:val="20"/>
              </w:rPr>
              <w:t>上</w:t>
            </w:r>
          </w:p>
          <w:p>
            <w:pPr>
              <w:rPr>
                <w:rFonts w:ascii="仿宋_GB2312" w:eastAsia="仿宋_GB2312"/>
                <w:b/>
                <w:color w:val="000000"/>
                <w:sz w:val="20"/>
                <w:szCs w:val="20"/>
              </w:rPr>
            </w:pPr>
            <w:r>
              <w:rPr>
                <w:rFonts w:hint="eastAsia" w:ascii="仿宋_GB2312" w:eastAsia="仿宋_GB2312"/>
                <w:b/>
                <w:color w:val="000000"/>
                <w:sz w:val="20"/>
                <w:szCs w:val="20"/>
              </w:rPr>
              <w:t>级</w:t>
            </w:r>
          </w:p>
          <w:p>
            <w:pPr>
              <w:rPr>
                <w:rFonts w:ascii="仿宋_GB2312" w:eastAsia="仿宋_GB2312"/>
                <w:b/>
                <w:color w:val="000000"/>
                <w:sz w:val="20"/>
                <w:szCs w:val="20"/>
              </w:rPr>
            </w:pPr>
            <w:r>
              <w:rPr>
                <w:rFonts w:hint="eastAsia" w:ascii="仿宋_GB2312" w:eastAsia="仿宋_GB2312"/>
                <w:b/>
                <w:color w:val="000000"/>
                <w:sz w:val="20"/>
                <w:szCs w:val="20"/>
              </w:rPr>
              <w:t>补助</w:t>
            </w:r>
          </w:p>
          <w:p>
            <w:pPr>
              <w:rPr>
                <w:rFonts w:ascii="仿宋_GB2312" w:eastAsia="仿宋_GB2312"/>
                <w:b/>
                <w:color w:val="000000"/>
                <w:sz w:val="20"/>
                <w:szCs w:val="20"/>
              </w:rPr>
            </w:pPr>
            <w:r>
              <w:rPr>
                <w:rFonts w:hint="eastAsia" w:ascii="仿宋_GB2312" w:eastAsia="仿宋_GB2312"/>
                <w:b/>
                <w:color w:val="000000"/>
                <w:sz w:val="20"/>
                <w:szCs w:val="20"/>
              </w:rPr>
              <w:t>收</w:t>
            </w:r>
          </w:p>
          <w:p>
            <w:pPr>
              <w:rPr>
                <w:rFonts w:ascii="仿宋_GB2312" w:eastAsia="仿宋_GB2312"/>
                <w:b/>
                <w:color w:val="000000"/>
                <w:sz w:val="20"/>
                <w:szCs w:val="20"/>
              </w:rPr>
            </w:pPr>
            <w:r>
              <w:rPr>
                <w:rFonts w:hint="eastAsia" w:ascii="仿宋_GB2312" w:eastAsia="仿宋_GB2312"/>
                <w:b/>
                <w:color w:val="000000"/>
                <w:sz w:val="20"/>
                <w:szCs w:val="20"/>
              </w:rPr>
              <w:t>入</w:t>
            </w:r>
          </w:p>
        </w:tc>
        <w:tc>
          <w:tcPr>
            <w:tcW w:w="567"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567"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c>
          <w:tcPr>
            <w:tcW w:w="425" w:type="dxa"/>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上级专项收入</w:t>
            </w:r>
          </w:p>
        </w:tc>
        <w:tc>
          <w:tcPr>
            <w:tcW w:w="709" w:type="dxa"/>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用事业基金弥补收支差额</w:t>
            </w:r>
          </w:p>
        </w:tc>
        <w:tc>
          <w:tcPr>
            <w:tcW w:w="850" w:type="dxa"/>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单位上年结余（不包含国库集中支付额度</w:t>
            </w:r>
          </w:p>
        </w:tc>
      </w:tr>
      <w:tr>
        <w:tblPrEx>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right"/>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201</w:t>
            </w:r>
          </w:p>
        </w:tc>
        <w:tc>
          <w:tcPr>
            <w:tcW w:w="331"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lang w:val="en-US" w:eastAsia="zh-CN"/>
              </w:rPr>
            </w:pPr>
          </w:p>
        </w:tc>
        <w:tc>
          <w:tcPr>
            <w:tcW w:w="331"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1295"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rPr>
            </w:pPr>
            <w:r>
              <w:rPr>
                <w:rFonts w:hint="eastAsia" w:ascii="仿宋_GB2312" w:eastAsia="仿宋_GB2312"/>
                <w:color w:val="000000"/>
                <w:sz w:val="20"/>
                <w:szCs w:val="20"/>
              </w:rPr>
              <w:t>一般公共服务支出</w:t>
            </w:r>
          </w:p>
        </w:tc>
        <w:tc>
          <w:tcPr>
            <w:tcW w:w="992" w:type="dxa"/>
            <w:tcBorders>
              <w:top w:val="nil"/>
              <w:left w:val="nil"/>
              <w:bottom w:val="single" w:color="auto" w:sz="4" w:space="0"/>
              <w:right w:val="single" w:color="auto" w:sz="4" w:space="0"/>
            </w:tcBorders>
            <w:vAlign w:val="center"/>
          </w:tcPr>
          <w:p>
            <w:pPr>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254.67</w:t>
            </w:r>
          </w:p>
        </w:tc>
        <w:tc>
          <w:tcPr>
            <w:tcW w:w="851" w:type="dxa"/>
            <w:tcBorders>
              <w:top w:val="nil"/>
              <w:left w:val="nil"/>
              <w:bottom w:val="single" w:color="auto" w:sz="4" w:space="0"/>
              <w:right w:val="single" w:color="auto" w:sz="4" w:space="0"/>
            </w:tcBorders>
            <w:vAlign w:val="center"/>
          </w:tcPr>
          <w:p>
            <w:pPr>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254.67</w:t>
            </w:r>
          </w:p>
        </w:tc>
        <w:tc>
          <w:tcPr>
            <w:tcW w:w="85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lang w:val="en-US" w:eastAsia="zh-CN"/>
              </w:rPr>
              <w:t>201</w:t>
            </w: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lang w:val="en-US" w:eastAsia="zh-CN"/>
              </w:rPr>
              <w:t>03</w:t>
            </w: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rPr>
              <w:t>　</w:t>
            </w:r>
          </w:p>
        </w:tc>
        <w:tc>
          <w:tcPr>
            <w:tcW w:w="12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rPr>
              <w:t>政府办公厅（室）及相关机构事务　</w:t>
            </w:r>
          </w:p>
        </w:tc>
        <w:tc>
          <w:tcPr>
            <w:tcW w:w="9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lang w:val="en-US" w:eastAsia="zh-CN"/>
              </w:rPr>
              <w:t>254.67</w:t>
            </w:r>
          </w:p>
        </w:tc>
        <w:tc>
          <w:tcPr>
            <w:tcW w:w="85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lang w:val="en-US" w:eastAsia="zh-CN"/>
              </w:rPr>
              <w:t>254.67</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lang w:val="en-US" w:eastAsia="zh-CN"/>
              </w:rPr>
              <w:t>201</w:t>
            </w: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lang w:val="en-US" w:eastAsia="zh-CN"/>
              </w:rPr>
              <w:t>03</w:t>
            </w: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lang w:val="en-US" w:eastAsia="zh-CN"/>
              </w:rPr>
              <w:t>01</w:t>
            </w:r>
            <w:r>
              <w:rPr>
                <w:rFonts w:hint="eastAsia" w:ascii="仿宋_GB2312" w:eastAsia="仿宋_GB2312"/>
                <w:color w:val="000000"/>
                <w:sz w:val="20"/>
                <w:szCs w:val="20"/>
              </w:rPr>
              <w:t>　</w:t>
            </w:r>
          </w:p>
        </w:tc>
        <w:tc>
          <w:tcPr>
            <w:tcW w:w="1295" w:type="dxa"/>
            <w:tcBorders>
              <w:top w:val="nil"/>
              <w:left w:val="nil"/>
              <w:bottom w:val="single" w:color="auto" w:sz="4" w:space="0"/>
              <w:right w:val="single" w:color="auto" w:sz="4" w:space="0"/>
            </w:tcBorders>
            <w:vAlign w:val="center"/>
          </w:tcPr>
          <w:p>
            <w:pPr>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rPr>
              <w:t>行政运行（政府办公厅（室）及相关机构事务）</w:t>
            </w:r>
          </w:p>
        </w:tc>
        <w:tc>
          <w:tcPr>
            <w:tcW w:w="9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lang w:val="en-US" w:eastAsia="zh-CN"/>
              </w:rPr>
              <w:t>229.35</w:t>
            </w:r>
          </w:p>
        </w:tc>
        <w:tc>
          <w:tcPr>
            <w:tcW w:w="85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lang w:val="en-US" w:eastAsia="zh-CN"/>
              </w:rPr>
              <w:t>229.35</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right"/>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201</w:t>
            </w:r>
          </w:p>
        </w:tc>
        <w:tc>
          <w:tcPr>
            <w:tcW w:w="331" w:type="dxa"/>
            <w:tcBorders>
              <w:top w:val="nil"/>
              <w:left w:val="nil"/>
              <w:bottom w:val="single" w:color="auto" w:sz="4" w:space="0"/>
              <w:right w:val="single" w:color="auto" w:sz="4" w:space="0"/>
            </w:tcBorders>
            <w:vAlign w:val="center"/>
          </w:tcPr>
          <w:p>
            <w:pPr>
              <w:jc w:val="right"/>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03</w:t>
            </w:r>
          </w:p>
        </w:tc>
        <w:tc>
          <w:tcPr>
            <w:tcW w:w="331" w:type="dxa"/>
            <w:tcBorders>
              <w:top w:val="nil"/>
              <w:left w:val="nil"/>
              <w:bottom w:val="single" w:color="auto" w:sz="4" w:space="0"/>
              <w:right w:val="single" w:color="auto" w:sz="4" w:space="0"/>
            </w:tcBorders>
            <w:vAlign w:val="center"/>
          </w:tcPr>
          <w:p>
            <w:pPr>
              <w:jc w:val="right"/>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99</w:t>
            </w:r>
          </w:p>
        </w:tc>
        <w:tc>
          <w:tcPr>
            <w:tcW w:w="1295" w:type="dxa"/>
            <w:tcBorders>
              <w:top w:val="nil"/>
              <w:left w:val="nil"/>
              <w:bottom w:val="single" w:color="auto" w:sz="4" w:space="0"/>
              <w:right w:val="single" w:color="auto" w:sz="4" w:space="0"/>
            </w:tcBorders>
            <w:vAlign w:val="center"/>
          </w:tcPr>
          <w:p>
            <w:pPr>
              <w:rPr>
                <w:rFonts w:hint="eastAsia" w:ascii="仿宋_GB2312" w:eastAsia="仿宋_GB2312"/>
                <w:color w:val="000000"/>
                <w:sz w:val="20"/>
                <w:szCs w:val="20"/>
              </w:rPr>
            </w:pPr>
            <w:r>
              <w:rPr>
                <w:rFonts w:hint="eastAsia" w:ascii="仿宋_GB2312" w:eastAsia="仿宋_GB2312"/>
                <w:color w:val="000000"/>
                <w:sz w:val="20"/>
                <w:szCs w:val="20"/>
              </w:rPr>
              <w:t>其他政府办公厅（室）及相关机构事务支出</w:t>
            </w:r>
          </w:p>
        </w:tc>
        <w:tc>
          <w:tcPr>
            <w:tcW w:w="992" w:type="dxa"/>
            <w:tcBorders>
              <w:top w:val="nil"/>
              <w:left w:val="nil"/>
              <w:bottom w:val="single" w:color="auto" w:sz="4" w:space="0"/>
              <w:right w:val="single" w:color="auto" w:sz="4" w:space="0"/>
            </w:tcBorders>
            <w:vAlign w:val="center"/>
          </w:tcPr>
          <w:p>
            <w:pPr>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25.32</w:t>
            </w:r>
          </w:p>
        </w:tc>
        <w:tc>
          <w:tcPr>
            <w:tcW w:w="851" w:type="dxa"/>
            <w:tcBorders>
              <w:top w:val="nil"/>
              <w:left w:val="nil"/>
              <w:bottom w:val="single" w:color="auto" w:sz="4" w:space="0"/>
              <w:right w:val="single" w:color="auto" w:sz="4" w:space="0"/>
            </w:tcBorders>
            <w:vAlign w:val="center"/>
          </w:tcPr>
          <w:p>
            <w:pPr>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25.32</w:t>
            </w:r>
          </w:p>
        </w:tc>
        <w:tc>
          <w:tcPr>
            <w:tcW w:w="85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9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9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9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9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811" w:hRule="atLeast"/>
        </w:trPr>
        <w:tc>
          <w:tcPr>
            <w:tcW w:w="33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9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681" w:hRule="atLeast"/>
        </w:trPr>
        <w:tc>
          <w:tcPr>
            <w:tcW w:w="33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rPr>
              <w:t>254.</w:t>
            </w:r>
            <w:r>
              <w:rPr>
                <w:rFonts w:hint="eastAsia" w:ascii="仿宋_GB2312" w:eastAsia="仿宋_GB2312"/>
                <w:color w:val="000000"/>
                <w:sz w:val="20"/>
                <w:szCs w:val="20"/>
                <w:lang w:val="en-US" w:eastAsia="zh-CN"/>
              </w:rPr>
              <w:t>67</w:t>
            </w:r>
          </w:p>
        </w:tc>
        <w:tc>
          <w:tcPr>
            <w:tcW w:w="85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rPr>
              <w:t>254.</w:t>
            </w:r>
            <w:r>
              <w:rPr>
                <w:rFonts w:hint="eastAsia" w:ascii="仿宋_GB2312" w:eastAsia="仿宋_GB2312"/>
                <w:color w:val="000000"/>
                <w:sz w:val="20"/>
                <w:szCs w:val="20"/>
                <w:lang w:val="en-US" w:eastAsia="zh-CN"/>
              </w:rPr>
              <w:t>67</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bl>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lang w:eastAsia="zh-CN"/>
        </w:rPr>
        <w:t>部门</w:t>
      </w:r>
      <w:r>
        <w:rPr>
          <w:rFonts w:hint="eastAsia" w:ascii="仿宋_GB2312" w:hAnsi="宋体" w:eastAsia="仿宋_GB2312"/>
          <w:b/>
          <w:kern w:val="0"/>
          <w:sz w:val="32"/>
          <w:szCs w:val="32"/>
        </w:rPr>
        <w:t>（单位）支出总体情况表</w:t>
      </w: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w:t>
      </w:r>
      <w:r>
        <w:rPr>
          <w:rFonts w:hint="eastAsia" w:ascii="仿宋_GB2312" w:hAnsi="宋体" w:eastAsia="仿宋_GB2312"/>
          <w:kern w:val="0"/>
          <w:sz w:val="24"/>
          <w:lang w:eastAsia="zh-CN"/>
        </w:rPr>
        <w:t>部门</w:t>
      </w:r>
      <w:r>
        <w:rPr>
          <w:rFonts w:hint="eastAsia" w:ascii="仿宋_GB2312" w:hAnsi="宋体" w:eastAsia="仿宋_GB2312"/>
          <w:kern w:val="0"/>
          <w:sz w:val="24"/>
        </w:rPr>
        <w:t>（单位）：</w:t>
      </w:r>
      <w:r>
        <w:rPr>
          <w:rFonts w:hint="eastAsia" w:ascii="仿宋_GB2312" w:hAnsi="宋体" w:eastAsia="仿宋_GB2312"/>
          <w:kern w:val="0"/>
          <w:sz w:val="24"/>
          <w:lang w:eastAsia="zh-CN"/>
        </w:rPr>
        <w:t>克孜勒苏柯尔克孜自治州政务服务和公共资源交易中心</w:t>
      </w:r>
      <w:r>
        <w:rPr>
          <w:rFonts w:hint="eastAsia" w:ascii="仿宋_GB2312" w:hAnsi="宋体" w:eastAsia="仿宋_GB2312"/>
          <w:kern w:val="0"/>
          <w:sz w:val="24"/>
        </w:rPr>
        <w:t xml:space="preserve">                                           单位：万元</w:t>
      </w:r>
    </w:p>
    <w:tbl>
      <w:tblPr>
        <w:tblStyle w:val="7"/>
        <w:tblW w:w="9420" w:type="dxa"/>
        <w:tblInd w:w="-240" w:type="dxa"/>
        <w:tblLayout w:type="fixed"/>
        <w:tblCellMar>
          <w:top w:w="0" w:type="dxa"/>
          <w:left w:w="108" w:type="dxa"/>
          <w:bottom w:w="0" w:type="dxa"/>
          <w:right w:w="108" w:type="dxa"/>
        </w:tblCellMar>
      </w:tblPr>
      <w:tblGrid>
        <w:gridCol w:w="401"/>
        <w:gridCol w:w="400"/>
        <w:gridCol w:w="400"/>
        <w:gridCol w:w="2604"/>
        <w:gridCol w:w="1855"/>
        <w:gridCol w:w="1856"/>
        <w:gridCol w:w="1904"/>
      </w:tblGrid>
      <w:tr>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6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6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jc w:val="right"/>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201</w:t>
            </w:r>
          </w:p>
        </w:tc>
        <w:tc>
          <w:tcPr>
            <w:tcW w:w="40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lang w:val="en-US" w:eastAsia="zh-CN"/>
              </w:rPr>
            </w:pPr>
          </w:p>
        </w:tc>
        <w:tc>
          <w:tcPr>
            <w:tcW w:w="40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lang w:val="en-US" w:eastAsia="zh-CN"/>
              </w:rPr>
            </w:pPr>
          </w:p>
        </w:tc>
        <w:tc>
          <w:tcPr>
            <w:tcW w:w="2604"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rPr>
            </w:pPr>
            <w:r>
              <w:rPr>
                <w:rFonts w:hint="eastAsia" w:ascii="仿宋_GB2312" w:eastAsia="仿宋_GB2312"/>
                <w:color w:val="000000"/>
                <w:sz w:val="20"/>
                <w:szCs w:val="20"/>
              </w:rPr>
              <w:t>一般公共服务支出</w:t>
            </w:r>
          </w:p>
        </w:tc>
        <w:tc>
          <w:tcPr>
            <w:tcW w:w="1855" w:type="dxa"/>
            <w:tcBorders>
              <w:top w:val="nil"/>
              <w:left w:val="nil"/>
              <w:bottom w:val="single" w:color="auto" w:sz="4" w:space="0"/>
              <w:right w:val="single" w:color="auto" w:sz="4" w:space="0"/>
            </w:tcBorders>
            <w:vAlign w:val="center"/>
          </w:tcPr>
          <w:p>
            <w:pPr>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254.67</w:t>
            </w:r>
          </w:p>
        </w:tc>
        <w:tc>
          <w:tcPr>
            <w:tcW w:w="1856" w:type="dxa"/>
            <w:tcBorders>
              <w:top w:val="nil"/>
              <w:left w:val="nil"/>
              <w:bottom w:val="single" w:color="auto" w:sz="4" w:space="0"/>
              <w:right w:val="single" w:color="auto" w:sz="4" w:space="0"/>
            </w:tcBorders>
            <w:vAlign w:val="center"/>
          </w:tcPr>
          <w:p>
            <w:pPr>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229.35</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22"/>
                <w:szCs w:val="22"/>
                <w:lang w:val="en-US" w:eastAsia="zh-CN" w:bidi="ar-SA"/>
              </w:rPr>
            </w:pPr>
            <w:r>
              <w:rPr>
                <w:rFonts w:hint="eastAsia" w:ascii="仿宋_GB2312" w:eastAsia="仿宋_GB2312"/>
                <w:color w:val="000000"/>
                <w:sz w:val="20"/>
                <w:szCs w:val="20"/>
                <w:lang w:val="en-US" w:eastAsia="zh-CN"/>
              </w:rPr>
              <w:t>25.32</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jc w:val="right"/>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201</w:t>
            </w:r>
          </w:p>
        </w:tc>
        <w:tc>
          <w:tcPr>
            <w:tcW w:w="400" w:type="dxa"/>
            <w:tcBorders>
              <w:top w:val="nil"/>
              <w:left w:val="nil"/>
              <w:bottom w:val="single" w:color="auto" w:sz="4" w:space="0"/>
              <w:right w:val="single" w:color="auto" w:sz="4" w:space="0"/>
            </w:tcBorders>
            <w:vAlign w:val="center"/>
          </w:tcPr>
          <w:p>
            <w:pPr>
              <w:jc w:val="right"/>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03</w:t>
            </w:r>
          </w:p>
        </w:tc>
        <w:tc>
          <w:tcPr>
            <w:tcW w:w="40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lang w:val="en-US" w:eastAsia="zh-CN"/>
              </w:rPr>
            </w:pPr>
          </w:p>
        </w:tc>
        <w:tc>
          <w:tcPr>
            <w:tcW w:w="2604"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rPr>
            </w:pPr>
            <w:r>
              <w:rPr>
                <w:rFonts w:hint="eastAsia" w:ascii="仿宋_GB2312" w:eastAsia="仿宋_GB2312"/>
                <w:color w:val="000000"/>
                <w:sz w:val="20"/>
                <w:szCs w:val="20"/>
              </w:rPr>
              <w:t>政府办公厅（室）及相关机构事务</w:t>
            </w:r>
          </w:p>
        </w:tc>
        <w:tc>
          <w:tcPr>
            <w:tcW w:w="1855" w:type="dxa"/>
            <w:tcBorders>
              <w:top w:val="nil"/>
              <w:left w:val="nil"/>
              <w:bottom w:val="single" w:color="auto" w:sz="4" w:space="0"/>
              <w:right w:val="single" w:color="auto" w:sz="4" w:space="0"/>
            </w:tcBorders>
            <w:vAlign w:val="center"/>
          </w:tcPr>
          <w:p>
            <w:pPr>
              <w:jc w:val="center"/>
              <w:rPr>
                <w:rFonts w:hint="eastAsia" w:ascii="仿宋_GB2312" w:hAnsi="Times New Roman" w:eastAsia="仿宋_GB2312" w:cs="Times New Roman"/>
                <w:color w:val="000000"/>
                <w:kern w:val="2"/>
                <w:sz w:val="20"/>
                <w:szCs w:val="20"/>
                <w:lang w:val="en-US" w:eastAsia="zh-CN" w:bidi="ar-SA"/>
              </w:rPr>
            </w:pPr>
            <w:r>
              <w:rPr>
                <w:rFonts w:hint="eastAsia" w:ascii="仿宋_GB2312" w:eastAsia="仿宋_GB2312"/>
                <w:color w:val="000000"/>
                <w:sz w:val="20"/>
                <w:szCs w:val="20"/>
                <w:lang w:val="en-US" w:eastAsia="zh-CN"/>
              </w:rPr>
              <w:t>254.67</w:t>
            </w:r>
          </w:p>
        </w:tc>
        <w:tc>
          <w:tcPr>
            <w:tcW w:w="1856" w:type="dxa"/>
            <w:tcBorders>
              <w:top w:val="nil"/>
              <w:left w:val="nil"/>
              <w:bottom w:val="single" w:color="auto" w:sz="4" w:space="0"/>
              <w:right w:val="single" w:color="auto" w:sz="4" w:space="0"/>
            </w:tcBorders>
            <w:vAlign w:val="center"/>
          </w:tcPr>
          <w:p>
            <w:pPr>
              <w:jc w:val="center"/>
              <w:rPr>
                <w:rFonts w:hint="eastAsia" w:ascii="仿宋_GB2312" w:hAnsi="Times New Roman" w:eastAsia="仿宋_GB2312" w:cs="Times New Roman"/>
                <w:color w:val="000000"/>
                <w:kern w:val="2"/>
                <w:sz w:val="20"/>
                <w:szCs w:val="20"/>
                <w:lang w:val="en-US" w:eastAsia="zh-CN" w:bidi="ar-SA"/>
              </w:rPr>
            </w:pPr>
            <w:r>
              <w:rPr>
                <w:rFonts w:hint="eastAsia" w:ascii="仿宋_GB2312" w:eastAsia="仿宋_GB2312"/>
                <w:color w:val="000000"/>
                <w:sz w:val="20"/>
                <w:szCs w:val="20"/>
                <w:lang w:val="en-US" w:eastAsia="zh-CN"/>
              </w:rPr>
              <w:t>229.35</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22"/>
                <w:szCs w:val="22"/>
                <w:lang w:val="en-US" w:eastAsia="zh-CN" w:bidi="ar-SA"/>
              </w:rPr>
            </w:pPr>
            <w:r>
              <w:rPr>
                <w:rFonts w:hint="eastAsia" w:ascii="仿宋_GB2312" w:eastAsia="仿宋_GB2312"/>
                <w:color w:val="000000"/>
                <w:sz w:val="20"/>
                <w:szCs w:val="20"/>
                <w:lang w:val="en-US" w:eastAsia="zh-CN"/>
              </w:rPr>
              <w:t>25.32</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lang w:val="en-US" w:eastAsia="zh-CN"/>
              </w:rPr>
              <w:t>201</w:t>
            </w:r>
            <w:r>
              <w:rPr>
                <w:rFonts w:hint="eastAsia" w:ascii="仿宋_GB2312" w:eastAsia="仿宋_GB2312"/>
                <w:color w:val="000000"/>
                <w:sz w:val="20"/>
                <w:szCs w:val="20"/>
              </w:rPr>
              <w:t>　</w:t>
            </w:r>
          </w:p>
        </w:tc>
        <w:tc>
          <w:tcPr>
            <w:tcW w:w="4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lang w:val="en-US" w:eastAsia="zh-CN"/>
              </w:rPr>
              <w:t>03</w:t>
            </w:r>
            <w:r>
              <w:rPr>
                <w:rFonts w:hint="eastAsia" w:ascii="仿宋_GB2312" w:eastAsia="仿宋_GB2312"/>
                <w:color w:val="000000"/>
                <w:sz w:val="20"/>
                <w:szCs w:val="20"/>
              </w:rPr>
              <w:t>　</w:t>
            </w:r>
          </w:p>
        </w:tc>
        <w:tc>
          <w:tcPr>
            <w:tcW w:w="4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lang w:val="en-US" w:eastAsia="zh-CN"/>
              </w:rPr>
              <w:t>01</w:t>
            </w:r>
            <w:r>
              <w:rPr>
                <w:rFonts w:hint="eastAsia" w:ascii="仿宋_GB2312" w:eastAsia="仿宋_GB2312"/>
                <w:color w:val="000000"/>
                <w:sz w:val="20"/>
                <w:szCs w:val="20"/>
              </w:rPr>
              <w:t>　</w:t>
            </w:r>
          </w:p>
        </w:tc>
        <w:tc>
          <w:tcPr>
            <w:tcW w:w="26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rPr>
              <w:t>行政运行（政府办公厅（室）及相关机构事务）　</w:t>
            </w:r>
          </w:p>
        </w:tc>
        <w:tc>
          <w:tcPr>
            <w:tcW w:w="185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rPr>
              <w:t>229.</w:t>
            </w:r>
            <w:r>
              <w:rPr>
                <w:rFonts w:hint="eastAsia" w:ascii="仿宋_GB2312" w:eastAsia="仿宋_GB2312"/>
                <w:color w:val="000000"/>
                <w:sz w:val="20"/>
                <w:szCs w:val="20"/>
                <w:lang w:val="en-US" w:eastAsia="zh-CN"/>
              </w:rPr>
              <w:t>35</w:t>
            </w:r>
          </w:p>
        </w:tc>
        <w:tc>
          <w:tcPr>
            <w:tcW w:w="185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rPr>
              <w:t>229.</w:t>
            </w:r>
            <w:r>
              <w:rPr>
                <w:rFonts w:hint="eastAsia" w:ascii="仿宋_GB2312" w:eastAsia="仿宋_GB2312"/>
                <w:color w:val="000000"/>
                <w:sz w:val="20"/>
                <w:szCs w:val="20"/>
                <w:lang w:val="en-US" w:eastAsia="zh-CN"/>
              </w:rPr>
              <w:t>35</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b/>
                <w:bCs/>
                <w:color w:val="000000"/>
                <w:kern w:val="0"/>
                <w:sz w:val="22"/>
                <w:szCs w:val="22"/>
                <w:lang w:val="en-US" w:eastAsia="zh-CN" w:bidi="ar-SA"/>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lang w:val="en-US" w:eastAsia="zh-CN"/>
              </w:rPr>
              <w:t>201</w:t>
            </w:r>
            <w:r>
              <w:rPr>
                <w:rFonts w:hint="eastAsia" w:ascii="仿宋_GB2312" w:eastAsia="仿宋_GB2312"/>
                <w:color w:val="000000"/>
                <w:sz w:val="20"/>
                <w:szCs w:val="20"/>
              </w:rPr>
              <w:t>　</w:t>
            </w:r>
          </w:p>
        </w:tc>
        <w:tc>
          <w:tcPr>
            <w:tcW w:w="4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lang w:val="en-US" w:eastAsia="zh-CN"/>
              </w:rPr>
              <w:t>03</w:t>
            </w:r>
            <w:r>
              <w:rPr>
                <w:rFonts w:hint="eastAsia" w:ascii="仿宋_GB2312" w:eastAsia="仿宋_GB2312"/>
                <w:color w:val="000000"/>
                <w:sz w:val="20"/>
                <w:szCs w:val="20"/>
              </w:rPr>
              <w:t>　</w:t>
            </w:r>
          </w:p>
        </w:tc>
        <w:tc>
          <w:tcPr>
            <w:tcW w:w="4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lang w:val="en-US" w:eastAsia="zh-CN"/>
              </w:rPr>
              <w:t>99</w:t>
            </w:r>
            <w:r>
              <w:rPr>
                <w:rFonts w:hint="eastAsia" w:ascii="仿宋_GB2312" w:eastAsia="仿宋_GB2312"/>
                <w:color w:val="000000"/>
                <w:sz w:val="20"/>
                <w:szCs w:val="20"/>
              </w:rPr>
              <w:t>　</w:t>
            </w:r>
          </w:p>
        </w:tc>
        <w:tc>
          <w:tcPr>
            <w:tcW w:w="2604" w:type="dxa"/>
            <w:tcBorders>
              <w:top w:val="nil"/>
              <w:left w:val="nil"/>
              <w:bottom w:val="single" w:color="auto" w:sz="4" w:space="0"/>
              <w:right w:val="single" w:color="auto" w:sz="4" w:space="0"/>
            </w:tcBorders>
            <w:vAlign w:val="center"/>
          </w:tcPr>
          <w:p>
            <w:pPr>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rPr>
              <w:t>　其他政府办公厅（室）及相关机构事务支出</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rPr>
              <w:t>25.32</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b/>
                <w:bCs/>
                <w:color w:val="000000"/>
                <w:kern w:val="0"/>
                <w:sz w:val="22"/>
                <w:szCs w:val="22"/>
                <w:lang w:val="en-US" w:eastAsia="zh-CN" w:bidi="ar-SA"/>
              </w:rPr>
            </w:pPr>
            <w:r>
              <w:rPr>
                <w:rFonts w:hint="eastAsia" w:ascii="仿宋_GB2312" w:eastAsia="仿宋_GB2312"/>
                <w:color w:val="000000"/>
                <w:sz w:val="20"/>
                <w:szCs w:val="20"/>
              </w:rPr>
              <w:t>25.32</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579"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rPr>
              <w:t>254.</w:t>
            </w:r>
            <w:r>
              <w:rPr>
                <w:rFonts w:hint="eastAsia" w:ascii="仿宋_GB2312" w:eastAsia="仿宋_GB2312"/>
                <w:color w:val="000000"/>
                <w:sz w:val="20"/>
                <w:szCs w:val="20"/>
                <w:lang w:val="en-US" w:eastAsia="zh-CN"/>
              </w:rPr>
              <w:t>67</w:t>
            </w:r>
          </w:p>
        </w:tc>
        <w:tc>
          <w:tcPr>
            <w:tcW w:w="185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lang w:val="en-US" w:eastAsia="zh-CN"/>
              </w:rPr>
              <w:t>229.35</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color w:val="000000"/>
                <w:kern w:val="0"/>
                <w:sz w:val="24"/>
                <w:szCs w:val="24"/>
                <w:lang w:val="en-US" w:eastAsia="zh-CN" w:bidi="ar-SA"/>
              </w:rPr>
            </w:pPr>
            <w:r>
              <w:rPr>
                <w:rFonts w:hint="eastAsia" w:ascii="仿宋_GB2312" w:eastAsia="仿宋_GB2312"/>
                <w:color w:val="000000"/>
                <w:sz w:val="20"/>
                <w:szCs w:val="20"/>
                <w:lang w:val="en-US" w:eastAsia="zh-CN"/>
              </w:rPr>
              <w:t>25.32</w:t>
            </w:r>
          </w:p>
        </w:tc>
      </w:tr>
    </w:tbl>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w:t>
      </w:r>
      <w:r>
        <w:rPr>
          <w:rFonts w:hint="eastAsia" w:ascii="仿宋_GB2312" w:hAnsi="宋体" w:eastAsia="仿宋_GB2312"/>
          <w:kern w:val="0"/>
          <w:szCs w:val="21"/>
          <w:lang w:eastAsia="zh-CN"/>
        </w:rPr>
        <w:t>部门</w:t>
      </w:r>
      <w:r>
        <w:rPr>
          <w:rFonts w:hint="eastAsia" w:ascii="仿宋_GB2312" w:hAnsi="宋体" w:eastAsia="仿宋_GB2312"/>
          <w:kern w:val="0"/>
          <w:szCs w:val="21"/>
        </w:rPr>
        <w:t>（单位）：</w:t>
      </w:r>
      <w:r>
        <w:rPr>
          <w:rFonts w:hint="eastAsia" w:ascii="仿宋_GB2312" w:hAnsi="宋体" w:eastAsia="仿宋_GB2312"/>
          <w:kern w:val="0"/>
          <w:sz w:val="24"/>
          <w:lang w:eastAsia="zh-CN"/>
        </w:rPr>
        <w:t>克孜勒苏柯尔克孜自治州政务服务和公共资源交易中心</w:t>
      </w:r>
      <w:r>
        <w:rPr>
          <w:rFonts w:hint="eastAsia" w:ascii="仿宋_GB2312" w:hAnsi="宋体" w:eastAsia="仿宋_GB2312"/>
          <w:kern w:val="0"/>
          <w:sz w:val="24"/>
        </w:rPr>
        <w:t xml:space="preserve">  </w:t>
      </w:r>
      <w:r>
        <w:rPr>
          <w:rFonts w:hint="eastAsia" w:ascii="仿宋_GB2312" w:hAnsi="宋体" w:eastAsia="仿宋_GB2312"/>
          <w:kern w:val="0"/>
          <w:szCs w:val="21"/>
        </w:rPr>
        <w:t xml:space="preserve">                                                         单位：万元</w:t>
      </w:r>
    </w:p>
    <w:tbl>
      <w:tblPr>
        <w:tblStyle w:val="7"/>
        <w:tblpPr w:leftFromText="180" w:rightFromText="180" w:vertAnchor="text" w:tblpY="1"/>
        <w:tblOverlap w:val="never"/>
        <w:tblW w:w="9449" w:type="dxa"/>
        <w:tblInd w:w="0" w:type="dxa"/>
        <w:tblLayout w:type="fixed"/>
        <w:tblCellMar>
          <w:top w:w="0" w:type="dxa"/>
          <w:left w:w="108" w:type="dxa"/>
          <w:bottom w:w="0" w:type="dxa"/>
          <w:right w:w="108" w:type="dxa"/>
        </w:tblCellMar>
      </w:tblPr>
      <w:tblGrid>
        <w:gridCol w:w="1795"/>
        <w:gridCol w:w="1055"/>
        <w:gridCol w:w="2580"/>
        <w:gridCol w:w="901"/>
        <w:gridCol w:w="850"/>
        <w:gridCol w:w="1134"/>
        <w:gridCol w:w="1134"/>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546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p>
        </w:tc>
      </w:tr>
      <w:tr>
        <w:tblPrEx>
          <w:tblCellMar>
            <w:top w:w="0" w:type="dxa"/>
            <w:left w:w="108" w:type="dxa"/>
            <w:bottom w:w="0" w:type="dxa"/>
            <w:right w:w="108" w:type="dxa"/>
          </w:tblCellMar>
        </w:tblPrEx>
        <w:trPr>
          <w:trHeight w:val="465" w:hRule="atLeas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1"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kern w:val="0"/>
                <w:sz w:val="20"/>
                <w:szCs w:val="20"/>
              </w:rPr>
            </w:pPr>
            <w:r>
              <w:rPr>
                <w:rFonts w:hint="eastAsia" w:ascii="仿宋_GB2312" w:hAnsi="宋体" w:eastAsia="仿宋_GB2312" w:cs="宋体"/>
                <w:b/>
                <w:kern w:val="0"/>
                <w:sz w:val="20"/>
                <w:szCs w:val="20"/>
                <w:highlight w:val="yellow"/>
              </w:rPr>
              <w:t>国有</w:t>
            </w:r>
            <w:r>
              <w:rPr>
                <w:rFonts w:ascii="仿宋_GB2312" w:hAnsi="宋体" w:eastAsia="仿宋_GB2312" w:cs="宋体"/>
                <w:b/>
                <w:kern w:val="0"/>
                <w:sz w:val="20"/>
                <w:szCs w:val="20"/>
                <w:highlight w:val="yellow"/>
              </w:rPr>
              <w:t>资本经营预算</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5"/>
                <w:szCs w:val="15"/>
              </w:rPr>
              <w:t>一、财政拨款（补助）</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lang w:val="en-US" w:eastAsia="zh-CN" w:bidi="ar-SA"/>
              </w:rPr>
            </w:pPr>
            <w:r>
              <w:rPr>
                <w:rFonts w:hint="eastAsia" w:ascii="仿宋_GB2312" w:hAnsi="宋体" w:eastAsia="仿宋_GB2312" w:cs="宋体"/>
                <w:color w:val="000000"/>
                <w:kern w:val="0"/>
                <w:sz w:val="22"/>
                <w:szCs w:val="22"/>
                <w:lang w:val="en-US" w:eastAsia="zh-CN"/>
              </w:rPr>
              <w:t>254.67</w:t>
            </w:r>
          </w:p>
        </w:tc>
        <w:tc>
          <w:tcPr>
            <w:tcW w:w="2580" w:type="dxa"/>
            <w:tcBorders>
              <w:top w:val="single" w:color="auto" w:sz="4" w:space="0"/>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1"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宋体" w:hAnsi="宋体" w:eastAsia="宋体" w:cs="宋体"/>
                <w:kern w:val="0"/>
                <w:sz w:val="18"/>
                <w:szCs w:val="18"/>
                <w:lang w:val="en-US" w:eastAsia="zh-CN" w:bidi="ar-SA"/>
              </w:rPr>
            </w:pPr>
            <w:r>
              <w:rPr>
                <w:rFonts w:hint="eastAsia" w:ascii="宋体" w:hAnsi="宋体" w:cs="宋体"/>
                <w:kern w:val="0"/>
                <w:sz w:val="18"/>
                <w:szCs w:val="18"/>
                <w:lang w:val="en-US" w:eastAsia="zh-CN"/>
              </w:rPr>
              <w:t>254.67</w:t>
            </w:r>
          </w:p>
        </w:tc>
        <w:tc>
          <w:tcPr>
            <w:tcW w:w="85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宋体" w:hAnsi="宋体" w:eastAsia="宋体" w:cs="宋体"/>
                <w:kern w:val="0"/>
                <w:sz w:val="18"/>
                <w:szCs w:val="18"/>
                <w:lang w:val="en-US" w:eastAsia="zh-CN" w:bidi="ar-SA"/>
              </w:rPr>
            </w:pPr>
            <w:r>
              <w:rPr>
                <w:rFonts w:hint="eastAsia" w:ascii="宋体" w:hAnsi="宋体" w:cs="宋体"/>
                <w:kern w:val="0"/>
                <w:sz w:val="18"/>
                <w:szCs w:val="18"/>
                <w:lang w:val="en-US" w:eastAsia="zh-CN"/>
              </w:rPr>
              <w:t>254.67</w:t>
            </w:r>
          </w:p>
        </w:tc>
        <w:tc>
          <w:tcPr>
            <w:tcW w:w="1134"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lang w:val="en-US" w:eastAsia="zh-CN" w:bidi="ar-SA"/>
              </w:rPr>
            </w:pPr>
            <w:r>
              <w:rPr>
                <w:rFonts w:hint="eastAsia" w:ascii="仿宋_GB2312" w:hAnsi="宋体" w:eastAsia="仿宋_GB2312" w:cs="宋体"/>
                <w:color w:val="000000"/>
                <w:kern w:val="0"/>
                <w:sz w:val="22"/>
                <w:szCs w:val="22"/>
                <w:lang w:val="en-US" w:eastAsia="zh-CN"/>
              </w:rPr>
              <w:t>254.67</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kern w:val="0"/>
                <w:sz w:val="18"/>
                <w:szCs w:val="18"/>
                <w:lang w:val="en-US" w:eastAsia="zh-CN" w:bidi="ar-SA"/>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kern w:val="0"/>
                <w:sz w:val="18"/>
                <w:szCs w:val="18"/>
                <w:lang w:val="en-US" w:eastAsia="zh-CN" w:bidi="ar-SA"/>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highlight w:val="yellow"/>
              </w:rPr>
              <w:t>国有资本</w:t>
            </w:r>
            <w:r>
              <w:rPr>
                <w:rFonts w:ascii="仿宋_GB2312" w:hAnsi="宋体" w:eastAsia="仿宋_GB2312" w:cs="宋体"/>
                <w:kern w:val="0"/>
                <w:sz w:val="18"/>
                <w:szCs w:val="18"/>
                <w:highlight w:val="yellow"/>
              </w:rPr>
              <w:t>经营预算</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w:t>
            </w:r>
            <w:r>
              <w:rPr>
                <w:rFonts w:ascii="仿宋_GB2312" w:hAnsi="宋体" w:eastAsia="仿宋_GB2312" w:cs="宋体"/>
                <w:kern w:val="0"/>
                <w:sz w:val="18"/>
                <w:szCs w:val="18"/>
              </w:rPr>
              <w:t>与计划生育支出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lang w:val="en-US" w:eastAsia="zh-CN" w:bidi="ar-SA"/>
              </w:rPr>
            </w:pPr>
            <w:r>
              <w:rPr>
                <w:rFonts w:hint="eastAsia" w:ascii="宋体" w:hAnsi="宋体" w:cs="宋体"/>
                <w:kern w:val="0"/>
                <w:sz w:val="18"/>
                <w:szCs w:val="18"/>
                <w:lang w:val="en-US" w:eastAsia="zh-CN"/>
              </w:rPr>
              <w:t>254.67</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lang w:val="en-US" w:eastAsia="zh-CN" w:bidi="ar-SA"/>
              </w:rPr>
            </w:pPr>
            <w:r>
              <w:rPr>
                <w:rFonts w:hint="eastAsia" w:ascii="仿宋_GB2312" w:hAnsi="宋体" w:eastAsia="仿宋_GB2312" w:cs="宋体"/>
                <w:kern w:val="0"/>
                <w:sz w:val="20"/>
                <w:szCs w:val="20"/>
              </w:rPr>
              <w:t>支  出  总  计</w:t>
            </w:r>
          </w:p>
        </w:tc>
        <w:tc>
          <w:tcPr>
            <w:tcW w:w="9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kern w:val="0"/>
                <w:sz w:val="18"/>
                <w:szCs w:val="18"/>
                <w:lang w:val="en-US" w:eastAsia="zh-CN" w:bidi="ar-SA"/>
              </w:rPr>
            </w:pPr>
            <w:r>
              <w:rPr>
                <w:rFonts w:hint="eastAsia" w:ascii="宋体" w:hAnsi="宋体" w:cs="宋体"/>
                <w:kern w:val="0"/>
                <w:sz w:val="18"/>
                <w:szCs w:val="18"/>
                <w:lang w:val="en-US" w:eastAsia="zh-CN"/>
              </w:rPr>
              <w:t>254.67</w:t>
            </w:r>
          </w:p>
        </w:tc>
        <w:tc>
          <w:tcPr>
            <w:tcW w:w="85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kern w:val="0"/>
                <w:sz w:val="18"/>
                <w:szCs w:val="18"/>
                <w:lang w:val="en-US" w:eastAsia="zh-CN" w:bidi="ar-SA"/>
              </w:rPr>
            </w:pPr>
            <w:r>
              <w:rPr>
                <w:rFonts w:hint="eastAsia" w:ascii="宋体" w:hAnsi="宋体" w:cs="宋体"/>
                <w:kern w:val="0"/>
                <w:sz w:val="18"/>
                <w:szCs w:val="18"/>
                <w:lang w:val="en-US" w:eastAsia="zh-CN"/>
              </w:rPr>
              <w:t>254.67</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214" w:type="dxa"/>
        <w:tblInd w:w="-34" w:type="dxa"/>
        <w:tblLayout w:type="fixed"/>
        <w:tblCellMar>
          <w:top w:w="0" w:type="dxa"/>
          <w:left w:w="108" w:type="dxa"/>
          <w:bottom w:w="0" w:type="dxa"/>
          <w:right w:w="108" w:type="dxa"/>
        </w:tblCellMar>
      </w:tblPr>
      <w:tblGrid>
        <w:gridCol w:w="568"/>
        <w:gridCol w:w="492"/>
        <w:gridCol w:w="417"/>
        <w:gridCol w:w="2510"/>
        <w:gridCol w:w="1684"/>
        <w:gridCol w:w="1842"/>
        <w:gridCol w:w="1701"/>
      </w:tblGrid>
      <w:tr>
        <w:tblPrEx>
          <w:tblCellMar>
            <w:top w:w="0" w:type="dxa"/>
            <w:left w:w="108" w:type="dxa"/>
            <w:bottom w:w="0" w:type="dxa"/>
            <w:right w:w="108" w:type="dxa"/>
          </w:tblCellMar>
        </w:tblPrEx>
        <w:trPr>
          <w:trHeight w:val="450" w:hRule="atLeast"/>
        </w:trPr>
        <w:tc>
          <w:tcPr>
            <w:tcW w:w="9214" w:type="dxa"/>
            <w:gridSpan w:val="7"/>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9214" w:type="dxa"/>
            <w:gridSpan w:val="7"/>
            <w:tcBorders>
              <w:top w:val="nil"/>
              <w:left w:val="nil"/>
              <w:bottom w:val="nil"/>
              <w:right w:val="nil"/>
            </w:tcBorders>
            <w:vAlign w:val="center"/>
          </w:tcPr>
          <w:p>
            <w:pPr>
              <w:widowControl/>
              <w:spacing w:before="120" w:beforeLines="50" w:line="280" w:lineRule="exact"/>
              <w:outlineLvl w:val="1"/>
              <w:rPr>
                <w:rFonts w:hint="eastAsia" w:ascii="仿宋_GB2312" w:hAnsi="宋体" w:eastAsia="仿宋_GB2312"/>
                <w:kern w:val="0"/>
                <w:szCs w:val="21"/>
                <w:lang w:eastAsia="zh-CN"/>
              </w:rPr>
            </w:pPr>
            <w:r>
              <w:rPr>
                <w:rFonts w:hint="eastAsia" w:ascii="仿宋_GB2312" w:hAnsi="宋体" w:eastAsia="仿宋_GB2312"/>
                <w:kern w:val="0"/>
                <w:szCs w:val="21"/>
                <w:lang w:eastAsia="zh-CN"/>
              </w:rPr>
              <w:t xml:space="preserve">编制部门（单位）：克孜勒苏柯尔克孜自治州政务服务和公共资源交易中心  </w:t>
            </w:r>
            <w:r>
              <w:rPr>
                <w:rFonts w:hint="eastAsia" w:ascii="仿宋_GB2312" w:hAnsi="宋体" w:eastAsia="仿宋_GB2312"/>
                <w:kern w:val="0"/>
                <w:szCs w:val="21"/>
                <w:lang w:val="en-US" w:eastAsia="zh-CN"/>
              </w:rPr>
              <w:t xml:space="preserve">      </w:t>
            </w:r>
            <w:r>
              <w:rPr>
                <w:rFonts w:hint="eastAsia" w:ascii="仿宋_GB2312" w:hAnsi="宋体" w:eastAsia="仿宋_GB2312"/>
                <w:kern w:val="0"/>
                <w:szCs w:val="21"/>
                <w:lang w:eastAsia="zh-CN"/>
              </w:rPr>
              <w:t>单位：万元</w:t>
            </w:r>
          </w:p>
        </w:tc>
      </w:tr>
      <w:tr>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3"/>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right"/>
              <w:rPr>
                <w:rFonts w:hint="eastAsia" w:ascii="仿宋_GB2312" w:hAnsi="Times New Roman" w:eastAsia="仿宋_GB2312" w:cs="Times New Roman"/>
                <w:color w:val="000000"/>
                <w:kern w:val="2"/>
                <w:sz w:val="20"/>
                <w:szCs w:val="20"/>
                <w:lang w:val="en-US" w:eastAsia="zh-CN" w:bidi="ar-SA"/>
              </w:rPr>
            </w:pPr>
            <w:r>
              <w:rPr>
                <w:rFonts w:hint="eastAsia" w:ascii="仿宋_GB2312" w:eastAsia="仿宋_GB2312"/>
                <w:color w:val="000000"/>
                <w:sz w:val="20"/>
                <w:szCs w:val="20"/>
                <w:lang w:val="en-US" w:eastAsia="zh-CN"/>
              </w:rPr>
              <w:t>201</w:t>
            </w:r>
          </w:p>
        </w:tc>
        <w:tc>
          <w:tcPr>
            <w:tcW w:w="492" w:type="dxa"/>
            <w:tcBorders>
              <w:top w:val="nil"/>
              <w:left w:val="nil"/>
              <w:bottom w:val="single" w:color="auto" w:sz="4" w:space="0"/>
              <w:right w:val="single" w:color="auto" w:sz="4" w:space="0"/>
            </w:tcBorders>
            <w:vAlign w:val="center"/>
          </w:tcPr>
          <w:p>
            <w:pPr>
              <w:jc w:val="right"/>
              <w:rPr>
                <w:rFonts w:hint="eastAsia" w:ascii="仿宋_GB2312" w:hAnsi="Times New Roman" w:eastAsia="仿宋_GB2312" w:cs="Times New Roman"/>
                <w:color w:val="000000"/>
                <w:kern w:val="2"/>
                <w:sz w:val="20"/>
                <w:szCs w:val="20"/>
                <w:lang w:val="en-US" w:eastAsia="zh-CN" w:bidi="ar-SA"/>
              </w:rPr>
            </w:pPr>
          </w:p>
        </w:tc>
        <w:tc>
          <w:tcPr>
            <w:tcW w:w="417" w:type="dxa"/>
            <w:tcBorders>
              <w:top w:val="nil"/>
              <w:left w:val="nil"/>
              <w:bottom w:val="single" w:color="auto" w:sz="4" w:space="0"/>
              <w:right w:val="single" w:color="auto" w:sz="4" w:space="0"/>
            </w:tcBorders>
            <w:vAlign w:val="center"/>
          </w:tcPr>
          <w:p>
            <w:pPr>
              <w:jc w:val="right"/>
              <w:rPr>
                <w:rFonts w:hint="eastAsia" w:ascii="仿宋_GB2312" w:hAnsi="Times New Roman" w:eastAsia="仿宋_GB2312" w:cs="Times New Roman"/>
                <w:color w:val="000000"/>
                <w:kern w:val="2"/>
                <w:sz w:val="20"/>
                <w:szCs w:val="20"/>
                <w:lang w:val="en-US" w:eastAsia="zh-CN" w:bidi="ar-SA"/>
              </w:rPr>
            </w:pPr>
          </w:p>
        </w:tc>
        <w:tc>
          <w:tcPr>
            <w:tcW w:w="2510" w:type="dxa"/>
            <w:tcBorders>
              <w:top w:val="nil"/>
              <w:left w:val="nil"/>
              <w:bottom w:val="single" w:color="auto" w:sz="4" w:space="0"/>
              <w:right w:val="single" w:color="auto" w:sz="4" w:space="0"/>
            </w:tcBorders>
            <w:vAlign w:val="center"/>
          </w:tcPr>
          <w:p>
            <w:pPr>
              <w:jc w:val="center"/>
              <w:rPr>
                <w:rFonts w:hint="eastAsia" w:ascii="仿宋_GB2312" w:hAnsi="Times New Roman" w:eastAsia="仿宋_GB2312" w:cs="Times New Roman"/>
                <w:color w:val="000000"/>
                <w:kern w:val="2"/>
                <w:sz w:val="20"/>
                <w:szCs w:val="20"/>
                <w:lang w:val="en-US" w:eastAsia="zh-CN" w:bidi="ar-SA"/>
              </w:rPr>
            </w:pPr>
            <w:r>
              <w:rPr>
                <w:rFonts w:hint="eastAsia" w:ascii="仿宋_GB2312" w:eastAsia="仿宋_GB2312"/>
                <w:color w:val="000000"/>
                <w:sz w:val="20"/>
                <w:szCs w:val="20"/>
              </w:rPr>
              <w:t>一般公共服务支出</w:t>
            </w:r>
          </w:p>
        </w:tc>
        <w:tc>
          <w:tcPr>
            <w:tcW w:w="1684" w:type="dxa"/>
            <w:tcBorders>
              <w:top w:val="nil"/>
              <w:left w:val="nil"/>
              <w:bottom w:val="single" w:color="auto" w:sz="4" w:space="0"/>
              <w:right w:val="single" w:color="auto" w:sz="4" w:space="0"/>
            </w:tcBorders>
            <w:vAlign w:val="center"/>
          </w:tcPr>
          <w:p>
            <w:pPr>
              <w:jc w:val="center"/>
              <w:rPr>
                <w:rFonts w:hint="eastAsia" w:ascii="仿宋_GB2312" w:hAnsi="Times New Roman" w:eastAsia="仿宋_GB2312" w:cs="Times New Roman"/>
                <w:color w:val="000000"/>
                <w:kern w:val="2"/>
                <w:sz w:val="20"/>
                <w:szCs w:val="20"/>
                <w:lang w:val="en-US" w:eastAsia="zh-CN" w:bidi="ar-SA"/>
              </w:rPr>
            </w:pPr>
            <w:r>
              <w:rPr>
                <w:rFonts w:hint="eastAsia" w:ascii="仿宋_GB2312" w:eastAsia="仿宋_GB2312"/>
                <w:color w:val="000000"/>
                <w:sz w:val="20"/>
                <w:szCs w:val="20"/>
                <w:lang w:val="en-US" w:eastAsia="zh-CN"/>
              </w:rPr>
              <w:t>254.67</w:t>
            </w:r>
          </w:p>
        </w:tc>
        <w:tc>
          <w:tcPr>
            <w:tcW w:w="1842" w:type="dxa"/>
            <w:tcBorders>
              <w:top w:val="nil"/>
              <w:left w:val="nil"/>
              <w:bottom w:val="single" w:color="auto" w:sz="4" w:space="0"/>
              <w:right w:val="single" w:color="auto" w:sz="4" w:space="0"/>
            </w:tcBorders>
            <w:vAlign w:val="center"/>
          </w:tcPr>
          <w:p>
            <w:pPr>
              <w:jc w:val="center"/>
              <w:rPr>
                <w:rFonts w:hint="eastAsia" w:ascii="仿宋_GB2312" w:hAnsi="Times New Roman" w:eastAsia="仿宋_GB2312" w:cs="Times New Roman"/>
                <w:color w:val="000000"/>
                <w:kern w:val="2"/>
                <w:sz w:val="20"/>
                <w:szCs w:val="20"/>
                <w:lang w:val="en-US" w:eastAsia="zh-CN" w:bidi="ar-SA"/>
              </w:rPr>
            </w:pPr>
            <w:r>
              <w:rPr>
                <w:rFonts w:hint="eastAsia" w:ascii="仿宋_GB2312" w:eastAsia="仿宋_GB2312"/>
                <w:color w:val="000000"/>
                <w:sz w:val="20"/>
                <w:szCs w:val="20"/>
                <w:lang w:val="en-US" w:eastAsia="zh-CN"/>
              </w:rPr>
              <w:t>229.35</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22"/>
                <w:szCs w:val="22"/>
                <w:lang w:val="en-US" w:eastAsia="zh-CN" w:bidi="ar-SA"/>
              </w:rPr>
            </w:pPr>
            <w:r>
              <w:rPr>
                <w:rFonts w:hint="eastAsia" w:ascii="仿宋_GB2312" w:eastAsia="仿宋_GB2312"/>
                <w:color w:val="000000"/>
                <w:sz w:val="20"/>
                <w:szCs w:val="20"/>
                <w:lang w:val="en-US" w:eastAsia="zh-CN"/>
              </w:rPr>
              <w:t>25.32</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right"/>
              <w:rPr>
                <w:rFonts w:hint="eastAsia" w:ascii="仿宋_GB2312" w:hAnsi="Times New Roman" w:eastAsia="仿宋_GB2312" w:cs="Times New Roman"/>
                <w:color w:val="000000"/>
                <w:kern w:val="2"/>
                <w:sz w:val="20"/>
                <w:szCs w:val="20"/>
                <w:lang w:val="en-US" w:eastAsia="zh-CN" w:bidi="ar-SA"/>
              </w:rPr>
            </w:pPr>
            <w:r>
              <w:rPr>
                <w:rFonts w:hint="eastAsia" w:ascii="仿宋_GB2312" w:eastAsia="仿宋_GB2312"/>
                <w:color w:val="000000"/>
                <w:sz w:val="20"/>
                <w:szCs w:val="20"/>
                <w:lang w:val="en-US" w:eastAsia="zh-CN"/>
              </w:rPr>
              <w:t>201</w:t>
            </w:r>
          </w:p>
        </w:tc>
        <w:tc>
          <w:tcPr>
            <w:tcW w:w="492" w:type="dxa"/>
            <w:tcBorders>
              <w:top w:val="nil"/>
              <w:left w:val="nil"/>
              <w:bottom w:val="single" w:color="auto" w:sz="4" w:space="0"/>
              <w:right w:val="single" w:color="auto" w:sz="4" w:space="0"/>
            </w:tcBorders>
            <w:vAlign w:val="center"/>
          </w:tcPr>
          <w:p>
            <w:pPr>
              <w:jc w:val="right"/>
              <w:rPr>
                <w:rFonts w:hint="eastAsia" w:ascii="仿宋_GB2312" w:hAnsi="Times New Roman" w:eastAsia="仿宋_GB2312" w:cs="Times New Roman"/>
                <w:color w:val="000000"/>
                <w:kern w:val="2"/>
                <w:sz w:val="20"/>
                <w:szCs w:val="20"/>
                <w:lang w:val="en-US" w:eastAsia="zh-CN" w:bidi="ar-SA"/>
              </w:rPr>
            </w:pPr>
            <w:r>
              <w:rPr>
                <w:rFonts w:hint="eastAsia" w:ascii="仿宋_GB2312" w:eastAsia="仿宋_GB2312"/>
                <w:color w:val="000000"/>
                <w:sz w:val="20"/>
                <w:szCs w:val="20"/>
                <w:lang w:val="en-US" w:eastAsia="zh-CN"/>
              </w:rPr>
              <w:t>03</w:t>
            </w:r>
          </w:p>
        </w:tc>
        <w:tc>
          <w:tcPr>
            <w:tcW w:w="417" w:type="dxa"/>
            <w:tcBorders>
              <w:top w:val="nil"/>
              <w:left w:val="nil"/>
              <w:bottom w:val="single" w:color="auto" w:sz="4" w:space="0"/>
              <w:right w:val="single" w:color="auto" w:sz="4" w:space="0"/>
            </w:tcBorders>
            <w:vAlign w:val="center"/>
          </w:tcPr>
          <w:p>
            <w:pPr>
              <w:jc w:val="right"/>
              <w:rPr>
                <w:rFonts w:hint="eastAsia" w:ascii="仿宋_GB2312" w:hAnsi="Times New Roman" w:eastAsia="仿宋_GB2312" w:cs="Times New Roman"/>
                <w:color w:val="000000"/>
                <w:kern w:val="2"/>
                <w:sz w:val="20"/>
                <w:szCs w:val="20"/>
                <w:lang w:val="en-US" w:eastAsia="zh-CN" w:bidi="ar-SA"/>
              </w:rPr>
            </w:pPr>
          </w:p>
        </w:tc>
        <w:tc>
          <w:tcPr>
            <w:tcW w:w="2510" w:type="dxa"/>
            <w:tcBorders>
              <w:top w:val="nil"/>
              <w:left w:val="nil"/>
              <w:bottom w:val="single" w:color="auto" w:sz="4" w:space="0"/>
              <w:right w:val="single" w:color="auto" w:sz="4" w:space="0"/>
            </w:tcBorders>
            <w:vAlign w:val="center"/>
          </w:tcPr>
          <w:p>
            <w:pPr>
              <w:jc w:val="center"/>
              <w:rPr>
                <w:rFonts w:hint="eastAsia" w:ascii="仿宋_GB2312" w:hAnsi="Times New Roman" w:eastAsia="仿宋_GB2312" w:cs="Times New Roman"/>
                <w:color w:val="000000"/>
                <w:kern w:val="2"/>
                <w:sz w:val="20"/>
                <w:szCs w:val="20"/>
                <w:lang w:val="en-US" w:eastAsia="zh-CN" w:bidi="ar-SA"/>
              </w:rPr>
            </w:pPr>
            <w:r>
              <w:rPr>
                <w:rFonts w:hint="eastAsia" w:ascii="仿宋_GB2312" w:eastAsia="仿宋_GB2312"/>
                <w:color w:val="000000"/>
                <w:sz w:val="20"/>
                <w:szCs w:val="20"/>
              </w:rPr>
              <w:t>政府办公厅（室）及相关机构事务</w:t>
            </w:r>
          </w:p>
        </w:tc>
        <w:tc>
          <w:tcPr>
            <w:tcW w:w="1684" w:type="dxa"/>
            <w:tcBorders>
              <w:top w:val="nil"/>
              <w:left w:val="nil"/>
              <w:bottom w:val="single" w:color="auto" w:sz="4" w:space="0"/>
              <w:right w:val="single" w:color="auto" w:sz="4" w:space="0"/>
            </w:tcBorders>
            <w:vAlign w:val="center"/>
          </w:tcPr>
          <w:p>
            <w:pPr>
              <w:jc w:val="center"/>
              <w:rPr>
                <w:rFonts w:hint="eastAsia" w:ascii="仿宋_GB2312" w:hAnsi="Times New Roman" w:eastAsia="仿宋_GB2312" w:cs="Times New Roman"/>
                <w:color w:val="000000"/>
                <w:kern w:val="2"/>
                <w:sz w:val="20"/>
                <w:szCs w:val="20"/>
                <w:lang w:val="en-US" w:eastAsia="zh-CN" w:bidi="ar-SA"/>
              </w:rPr>
            </w:pPr>
            <w:r>
              <w:rPr>
                <w:rFonts w:hint="eastAsia" w:ascii="仿宋_GB2312" w:eastAsia="仿宋_GB2312"/>
                <w:color w:val="000000"/>
                <w:sz w:val="20"/>
                <w:szCs w:val="20"/>
                <w:lang w:val="en-US" w:eastAsia="zh-CN"/>
              </w:rPr>
              <w:t>254.67</w:t>
            </w:r>
          </w:p>
        </w:tc>
        <w:tc>
          <w:tcPr>
            <w:tcW w:w="1842" w:type="dxa"/>
            <w:tcBorders>
              <w:top w:val="nil"/>
              <w:left w:val="nil"/>
              <w:bottom w:val="single" w:color="auto" w:sz="4" w:space="0"/>
              <w:right w:val="single" w:color="auto" w:sz="4" w:space="0"/>
            </w:tcBorders>
            <w:vAlign w:val="center"/>
          </w:tcPr>
          <w:p>
            <w:pPr>
              <w:jc w:val="center"/>
              <w:rPr>
                <w:rFonts w:hint="eastAsia" w:ascii="仿宋_GB2312" w:hAnsi="Times New Roman" w:eastAsia="仿宋_GB2312" w:cs="Times New Roman"/>
                <w:color w:val="000000"/>
                <w:kern w:val="2"/>
                <w:sz w:val="20"/>
                <w:szCs w:val="20"/>
                <w:lang w:val="en-US" w:eastAsia="zh-CN" w:bidi="ar-SA"/>
              </w:rPr>
            </w:pPr>
            <w:r>
              <w:rPr>
                <w:rFonts w:hint="eastAsia" w:ascii="仿宋_GB2312" w:eastAsia="仿宋_GB2312"/>
                <w:color w:val="000000"/>
                <w:sz w:val="20"/>
                <w:szCs w:val="20"/>
                <w:lang w:val="en-US" w:eastAsia="zh-CN"/>
              </w:rPr>
              <w:t>229.35</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22"/>
                <w:szCs w:val="22"/>
                <w:lang w:val="en-US" w:eastAsia="zh-CN" w:bidi="ar-SA"/>
              </w:rPr>
            </w:pPr>
            <w:r>
              <w:rPr>
                <w:rFonts w:hint="eastAsia" w:ascii="仿宋_GB2312" w:eastAsia="仿宋_GB2312"/>
                <w:color w:val="000000"/>
                <w:sz w:val="20"/>
                <w:szCs w:val="20"/>
                <w:lang w:val="en-US" w:eastAsia="zh-CN"/>
              </w:rPr>
              <w:t>25.32</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lang w:val="en-US" w:eastAsia="zh-CN"/>
              </w:rPr>
              <w:t>201</w:t>
            </w:r>
            <w:r>
              <w:rPr>
                <w:rFonts w:hint="eastAsia" w:ascii="仿宋_GB2312" w:eastAsia="仿宋_GB2312"/>
                <w:color w:val="000000"/>
                <w:sz w:val="20"/>
                <w:szCs w:val="20"/>
              </w:rPr>
              <w:t>　</w:t>
            </w:r>
          </w:p>
        </w:tc>
        <w:tc>
          <w:tcPr>
            <w:tcW w:w="4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lang w:val="en-US" w:eastAsia="zh-CN"/>
              </w:rPr>
              <w:t>03</w:t>
            </w: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lang w:val="en-US" w:eastAsia="zh-CN"/>
              </w:rPr>
              <w:t>01</w:t>
            </w:r>
            <w:r>
              <w:rPr>
                <w:rFonts w:hint="eastAsia" w:ascii="仿宋_GB2312" w:eastAsia="仿宋_GB2312"/>
                <w:color w:val="000000"/>
                <w:sz w:val="20"/>
                <w:szCs w:val="20"/>
              </w:rPr>
              <w:t>　</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rPr>
              <w:t>行政运行（政府办公厅（室）及相关机构事务）　</w:t>
            </w:r>
          </w:p>
        </w:tc>
        <w:tc>
          <w:tcPr>
            <w:tcW w:w="1684"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rPr>
              <w:t>229.</w:t>
            </w:r>
            <w:r>
              <w:rPr>
                <w:rFonts w:hint="eastAsia" w:ascii="仿宋_GB2312" w:eastAsia="仿宋_GB2312"/>
                <w:color w:val="000000"/>
                <w:sz w:val="20"/>
                <w:szCs w:val="20"/>
                <w:lang w:val="en-US" w:eastAsia="zh-CN"/>
              </w:rPr>
              <w:t>35</w:t>
            </w:r>
          </w:p>
        </w:tc>
        <w:tc>
          <w:tcPr>
            <w:tcW w:w="184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rPr>
              <w:t>229.</w:t>
            </w:r>
            <w:r>
              <w:rPr>
                <w:rFonts w:hint="eastAsia" w:ascii="仿宋_GB2312" w:eastAsia="仿宋_GB2312"/>
                <w:color w:val="000000"/>
                <w:sz w:val="20"/>
                <w:szCs w:val="20"/>
                <w:lang w:val="en-US" w:eastAsia="zh-CN"/>
              </w:rPr>
              <w:t>35</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b/>
                <w:bCs/>
                <w:color w:val="000000"/>
                <w:kern w:val="0"/>
                <w:sz w:val="22"/>
                <w:szCs w:val="22"/>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lang w:val="en-US" w:eastAsia="zh-CN"/>
              </w:rPr>
              <w:t>201</w:t>
            </w:r>
            <w:r>
              <w:rPr>
                <w:rFonts w:hint="eastAsia" w:ascii="仿宋_GB2312" w:eastAsia="仿宋_GB2312"/>
                <w:color w:val="000000"/>
                <w:sz w:val="20"/>
                <w:szCs w:val="20"/>
              </w:rPr>
              <w:t>　</w:t>
            </w:r>
          </w:p>
        </w:tc>
        <w:tc>
          <w:tcPr>
            <w:tcW w:w="4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lang w:val="en-US" w:eastAsia="zh-CN"/>
              </w:rPr>
              <w:t>03</w:t>
            </w: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lang w:val="en-US" w:eastAsia="zh-CN"/>
              </w:rPr>
              <w:t>99</w:t>
            </w:r>
            <w:r>
              <w:rPr>
                <w:rFonts w:hint="eastAsia" w:ascii="仿宋_GB2312" w:eastAsia="仿宋_GB2312"/>
                <w:color w:val="000000"/>
                <w:sz w:val="20"/>
                <w:szCs w:val="20"/>
              </w:rPr>
              <w:t>　</w:t>
            </w:r>
          </w:p>
        </w:tc>
        <w:tc>
          <w:tcPr>
            <w:tcW w:w="2510" w:type="dxa"/>
            <w:tcBorders>
              <w:top w:val="nil"/>
              <w:left w:val="nil"/>
              <w:bottom w:val="single" w:color="auto" w:sz="4" w:space="0"/>
              <w:right w:val="single" w:color="auto" w:sz="4" w:space="0"/>
            </w:tcBorders>
            <w:vAlign w:val="center"/>
          </w:tcPr>
          <w:p>
            <w:pPr>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rPr>
              <w:t>　其他政府办公厅（室）及相关机构事务支出</w:t>
            </w:r>
          </w:p>
        </w:tc>
        <w:tc>
          <w:tcPr>
            <w:tcW w:w="168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rPr>
              <w:t>25.32</w:t>
            </w:r>
          </w:p>
        </w:tc>
        <w:tc>
          <w:tcPr>
            <w:tcW w:w="184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b/>
                <w:bCs/>
                <w:color w:val="000000"/>
                <w:kern w:val="0"/>
                <w:sz w:val="22"/>
                <w:szCs w:val="22"/>
                <w:lang w:val="en-US" w:eastAsia="zh-CN" w:bidi="ar-SA"/>
              </w:rPr>
            </w:pPr>
            <w:r>
              <w:rPr>
                <w:rFonts w:hint="eastAsia" w:ascii="仿宋_GB2312" w:eastAsia="仿宋_GB2312"/>
                <w:color w:val="000000"/>
                <w:sz w:val="20"/>
                <w:szCs w:val="20"/>
              </w:rPr>
              <w:t>25.32</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68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rPr>
              <w:t>254.</w:t>
            </w:r>
            <w:r>
              <w:rPr>
                <w:rFonts w:hint="eastAsia" w:ascii="仿宋_GB2312" w:eastAsia="仿宋_GB2312"/>
                <w:color w:val="000000"/>
                <w:sz w:val="20"/>
                <w:szCs w:val="20"/>
                <w:lang w:val="en-US" w:eastAsia="zh-CN"/>
              </w:rPr>
              <w:t>67</w:t>
            </w:r>
          </w:p>
        </w:tc>
        <w:tc>
          <w:tcPr>
            <w:tcW w:w="184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lang w:val="en-US" w:eastAsia="zh-CN"/>
              </w:rPr>
              <w:t>229.35</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color w:val="000000"/>
                <w:kern w:val="0"/>
                <w:sz w:val="24"/>
                <w:szCs w:val="24"/>
                <w:lang w:val="en-US" w:eastAsia="zh-CN" w:bidi="ar-SA"/>
              </w:rPr>
            </w:pPr>
            <w:r>
              <w:rPr>
                <w:rFonts w:hint="eastAsia" w:ascii="仿宋_GB2312" w:eastAsia="仿宋_GB2312"/>
                <w:color w:val="000000"/>
                <w:sz w:val="20"/>
                <w:szCs w:val="20"/>
                <w:lang w:val="en-US" w:eastAsia="zh-CN"/>
              </w:rPr>
              <w:t>25.32</w:t>
            </w:r>
          </w:p>
        </w:tc>
      </w:tr>
    </w:tbl>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8960" w:type="dxa"/>
        <w:tblInd w:w="-148" w:type="dxa"/>
        <w:tblLayout w:type="fixed"/>
        <w:tblCellMar>
          <w:top w:w="0" w:type="dxa"/>
          <w:left w:w="108" w:type="dxa"/>
          <w:bottom w:w="0" w:type="dxa"/>
          <w:right w:w="108" w:type="dxa"/>
        </w:tblCellMar>
      </w:tblPr>
      <w:tblGrid>
        <w:gridCol w:w="726"/>
        <w:gridCol w:w="553"/>
        <w:gridCol w:w="2777"/>
        <w:gridCol w:w="1632"/>
        <w:gridCol w:w="1632"/>
        <w:gridCol w:w="1640"/>
      </w:tblGrid>
      <w:tr>
        <w:tblPrEx>
          <w:tblCellMar>
            <w:top w:w="0" w:type="dxa"/>
            <w:left w:w="108" w:type="dxa"/>
            <w:bottom w:w="0" w:type="dxa"/>
            <w:right w:w="108" w:type="dxa"/>
          </w:tblCellMar>
        </w:tblPrEx>
        <w:trPr>
          <w:trHeight w:val="406" w:hRule="atLeast"/>
        </w:trPr>
        <w:tc>
          <w:tcPr>
            <w:tcW w:w="8960" w:type="dxa"/>
            <w:gridSpan w:val="6"/>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CellMar>
            <w:top w:w="0" w:type="dxa"/>
            <w:left w:w="108" w:type="dxa"/>
            <w:bottom w:w="0" w:type="dxa"/>
            <w:right w:w="108" w:type="dxa"/>
          </w:tblCellMar>
        </w:tblPrEx>
        <w:trPr>
          <w:trHeight w:val="368" w:hRule="atLeast"/>
        </w:trPr>
        <w:tc>
          <w:tcPr>
            <w:tcW w:w="8960" w:type="dxa"/>
            <w:gridSpan w:val="6"/>
            <w:tcBorders>
              <w:top w:val="nil"/>
              <w:left w:val="nil"/>
              <w:bottom w:val="nil"/>
              <w:right w:val="nil"/>
            </w:tcBorders>
            <w:vAlign w:val="center"/>
          </w:tcPr>
          <w:p>
            <w:pPr>
              <w:widowControl/>
              <w:spacing w:before="120" w:beforeLines="50" w:line="280" w:lineRule="exact"/>
              <w:outlineLvl w:val="1"/>
              <w:rPr>
                <w:rFonts w:hint="eastAsia" w:ascii="仿宋_GB2312" w:hAnsi="宋体" w:eastAsia="仿宋_GB2312"/>
                <w:kern w:val="0"/>
                <w:szCs w:val="21"/>
                <w:lang w:eastAsia="zh-CN"/>
              </w:rPr>
            </w:pPr>
            <w:r>
              <w:rPr>
                <w:rFonts w:hint="eastAsia" w:ascii="仿宋_GB2312" w:hAnsi="宋体" w:eastAsia="仿宋_GB2312"/>
                <w:kern w:val="0"/>
                <w:szCs w:val="21"/>
                <w:lang w:eastAsia="zh-CN"/>
              </w:rPr>
              <w:t>编制部门（单位）：克孜勒苏柯尔克孜自治州政务服务和公共资源交易中心</w:t>
            </w:r>
            <w:r>
              <w:rPr>
                <w:rFonts w:hint="eastAsia" w:ascii="仿宋_GB2312" w:hAnsi="宋体" w:eastAsia="仿宋_GB2312"/>
                <w:kern w:val="0"/>
                <w:szCs w:val="21"/>
                <w:lang w:val="en-US" w:eastAsia="zh-CN"/>
              </w:rPr>
              <w:t xml:space="preserve">     </w:t>
            </w:r>
            <w:r>
              <w:rPr>
                <w:rFonts w:hint="eastAsia" w:ascii="仿宋_GB2312" w:hAnsi="宋体" w:eastAsia="仿宋_GB2312"/>
                <w:kern w:val="0"/>
                <w:szCs w:val="21"/>
                <w:lang w:eastAsia="zh-CN"/>
              </w:rPr>
              <w:t>单位：万元</w:t>
            </w:r>
          </w:p>
        </w:tc>
      </w:tr>
      <w:tr>
        <w:tblPrEx>
          <w:tblCellMar>
            <w:top w:w="0" w:type="dxa"/>
            <w:left w:w="108" w:type="dxa"/>
            <w:bottom w:w="0" w:type="dxa"/>
            <w:right w:w="108" w:type="dxa"/>
          </w:tblCellMar>
        </w:tblPrEx>
        <w:trPr>
          <w:trHeight w:val="392" w:hRule="atLeast"/>
        </w:trPr>
        <w:tc>
          <w:tcPr>
            <w:tcW w:w="4056"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904" w:type="dxa"/>
            <w:gridSpan w:val="3"/>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542" w:hRule="atLeast"/>
        </w:trPr>
        <w:tc>
          <w:tcPr>
            <w:tcW w:w="1279"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777"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632"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632"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64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84" w:hRule="atLeast"/>
        </w:trPr>
        <w:tc>
          <w:tcPr>
            <w:tcW w:w="726"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53"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777"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3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63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6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4" w:hRule="atLeast"/>
        </w:trPr>
        <w:tc>
          <w:tcPr>
            <w:tcW w:w="726"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bidi="ar-SA"/>
              </w:rPr>
            </w:pPr>
            <w:r>
              <w:rPr>
                <w:rFonts w:hint="eastAsia" w:ascii="仿宋_GB2312" w:hAnsi="宋体" w:eastAsia="仿宋_GB2312" w:cs="宋体"/>
                <w:color w:val="000000"/>
                <w:kern w:val="0"/>
                <w:sz w:val="20"/>
                <w:szCs w:val="20"/>
                <w:lang w:val="en-US" w:eastAsia="zh-CN"/>
              </w:rPr>
              <w:t>301</w:t>
            </w:r>
          </w:p>
        </w:tc>
        <w:tc>
          <w:tcPr>
            <w:tcW w:w="553"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bidi="ar-SA"/>
              </w:rPr>
            </w:pPr>
            <w:r>
              <w:rPr>
                <w:rFonts w:hint="eastAsia" w:ascii="仿宋_GB2312" w:hAnsi="宋体" w:eastAsia="仿宋_GB2312" w:cs="宋体"/>
                <w:color w:val="000000"/>
                <w:kern w:val="0"/>
                <w:sz w:val="20"/>
                <w:szCs w:val="20"/>
                <w:lang w:val="en-US" w:eastAsia="zh-CN"/>
              </w:rPr>
              <w:t>01</w:t>
            </w:r>
          </w:p>
        </w:tc>
        <w:tc>
          <w:tcPr>
            <w:tcW w:w="27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lang w:val="en-US" w:eastAsia="zh-CN" w:bidi="ar-SA"/>
              </w:rPr>
            </w:pPr>
            <w:r>
              <w:rPr>
                <w:rFonts w:hint="eastAsia" w:ascii="仿宋_GB2312" w:hAnsi="宋体" w:eastAsia="仿宋_GB2312" w:cs="宋体"/>
                <w:color w:val="000000"/>
                <w:kern w:val="0"/>
                <w:sz w:val="20"/>
                <w:szCs w:val="20"/>
              </w:rPr>
              <w:t>基本工资</w:t>
            </w:r>
          </w:p>
        </w:tc>
        <w:tc>
          <w:tcPr>
            <w:tcW w:w="1632" w:type="dxa"/>
            <w:tcBorders>
              <w:top w:val="nil"/>
              <w:left w:val="nil"/>
              <w:bottom w:val="single" w:color="auto" w:sz="4" w:space="0"/>
              <w:right w:val="single" w:color="auto" w:sz="4" w:space="0"/>
            </w:tcBorders>
            <w:vAlign w:val="top"/>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67.16</w:t>
            </w:r>
          </w:p>
        </w:tc>
        <w:tc>
          <w:tcPr>
            <w:tcW w:w="1632" w:type="dxa"/>
            <w:tcBorders>
              <w:top w:val="nil"/>
              <w:left w:val="nil"/>
              <w:bottom w:val="single" w:color="auto" w:sz="4" w:space="0"/>
              <w:right w:val="single" w:color="auto" w:sz="4" w:space="0"/>
            </w:tcBorders>
            <w:vAlign w:val="top"/>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67.16</w:t>
            </w:r>
          </w:p>
        </w:tc>
        <w:tc>
          <w:tcPr>
            <w:tcW w:w="1640" w:type="dxa"/>
            <w:tcBorders>
              <w:top w:val="nil"/>
              <w:left w:val="nil"/>
              <w:bottom w:val="single" w:color="auto" w:sz="4" w:space="0"/>
              <w:right w:val="single" w:color="auto" w:sz="4" w:space="0"/>
            </w:tcBorders>
            <w:vAlign w:val="top"/>
          </w:tcPr>
          <w:p>
            <w:pPr>
              <w:widowControl/>
              <w:jc w:val="center"/>
              <w:rPr>
                <w:rFonts w:ascii="宋体" w:hAnsi="宋体" w:eastAsia="宋体" w:cs="宋体"/>
                <w:color w:val="000000"/>
                <w:kern w:val="0"/>
                <w:sz w:val="20"/>
                <w:szCs w:val="20"/>
                <w:lang w:val="en-US" w:eastAsia="zh-CN" w:bidi="ar-SA"/>
              </w:rPr>
            </w:pPr>
          </w:p>
        </w:tc>
      </w:tr>
      <w:tr>
        <w:tblPrEx>
          <w:tblCellMar>
            <w:top w:w="0" w:type="dxa"/>
            <w:left w:w="108" w:type="dxa"/>
            <w:bottom w:w="0" w:type="dxa"/>
            <w:right w:w="108" w:type="dxa"/>
          </w:tblCellMar>
        </w:tblPrEx>
        <w:trPr>
          <w:trHeight w:val="404" w:hRule="atLeast"/>
        </w:trPr>
        <w:tc>
          <w:tcPr>
            <w:tcW w:w="726"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bidi="ar-SA"/>
              </w:rPr>
            </w:pPr>
            <w:r>
              <w:rPr>
                <w:rFonts w:hint="eastAsia" w:ascii="仿宋_GB2312" w:hAnsi="宋体" w:eastAsia="仿宋_GB2312" w:cs="宋体"/>
                <w:color w:val="000000"/>
                <w:kern w:val="0"/>
                <w:sz w:val="20"/>
                <w:szCs w:val="20"/>
                <w:lang w:val="en-US" w:eastAsia="zh-CN"/>
              </w:rPr>
              <w:t>301</w:t>
            </w:r>
          </w:p>
        </w:tc>
        <w:tc>
          <w:tcPr>
            <w:tcW w:w="553"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bidi="ar-SA"/>
              </w:rPr>
            </w:pPr>
            <w:r>
              <w:rPr>
                <w:rFonts w:hint="eastAsia" w:ascii="仿宋_GB2312" w:hAnsi="宋体" w:eastAsia="仿宋_GB2312" w:cs="宋体"/>
                <w:color w:val="000000"/>
                <w:kern w:val="0"/>
                <w:sz w:val="20"/>
                <w:szCs w:val="20"/>
                <w:lang w:val="en-US" w:eastAsia="zh-CN"/>
              </w:rPr>
              <w:t>12</w:t>
            </w:r>
          </w:p>
        </w:tc>
        <w:tc>
          <w:tcPr>
            <w:tcW w:w="27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lang w:val="en-US" w:eastAsia="zh-CN" w:bidi="ar-SA"/>
              </w:rPr>
            </w:pPr>
            <w:r>
              <w:rPr>
                <w:rFonts w:hint="eastAsia" w:ascii="仿宋_GB2312" w:hAnsi="宋体" w:eastAsia="仿宋_GB2312" w:cs="宋体"/>
                <w:color w:val="000000"/>
                <w:kern w:val="0"/>
                <w:sz w:val="20"/>
                <w:szCs w:val="20"/>
              </w:rPr>
              <w:t>其他社会保障缴费</w:t>
            </w:r>
          </w:p>
        </w:tc>
        <w:tc>
          <w:tcPr>
            <w:tcW w:w="1632" w:type="dxa"/>
            <w:tcBorders>
              <w:top w:val="nil"/>
              <w:left w:val="nil"/>
              <w:bottom w:val="single" w:color="auto" w:sz="4" w:space="0"/>
              <w:right w:val="single" w:color="auto" w:sz="4" w:space="0"/>
            </w:tcBorders>
            <w:vAlign w:val="top"/>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10.70</w:t>
            </w:r>
          </w:p>
        </w:tc>
        <w:tc>
          <w:tcPr>
            <w:tcW w:w="1632" w:type="dxa"/>
            <w:tcBorders>
              <w:top w:val="nil"/>
              <w:left w:val="nil"/>
              <w:bottom w:val="single" w:color="auto" w:sz="4" w:space="0"/>
              <w:right w:val="single" w:color="auto" w:sz="4" w:space="0"/>
            </w:tcBorders>
            <w:vAlign w:val="top"/>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10.70</w:t>
            </w:r>
          </w:p>
        </w:tc>
        <w:tc>
          <w:tcPr>
            <w:tcW w:w="1640" w:type="dxa"/>
            <w:tcBorders>
              <w:top w:val="nil"/>
              <w:left w:val="nil"/>
              <w:bottom w:val="single" w:color="auto" w:sz="4" w:space="0"/>
              <w:right w:val="single" w:color="auto" w:sz="4" w:space="0"/>
            </w:tcBorders>
            <w:vAlign w:val="top"/>
          </w:tcPr>
          <w:p>
            <w:pPr>
              <w:widowControl/>
              <w:jc w:val="center"/>
              <w:rPr>
                <w:rFonts w:ascii="宋体" w:hAnsi="宋体" w:eastAsia="宋体" w:cs="宋体"/>
                <w:color w:val="000000"/>
                <w:kern w:val="0"/>
                <w:sz w:val="20"/>
                <w:szCs w:val="20"/>
                <w:lang w:val="en-US" w:eastAsia="zh-CN" w:bidi="ar-SA"/>
              </w:rPr>
            </w:pPr>
          </w:p>
        </w:tc>
      </w:tr>
      <w:tr>
        <w:tblPrEx>
          <w:tblCellMar>
            <w:top w:w="0" w:type="dxa"/>
            <w:left w:w="108" w:type="dxa"/>
            <w:bottom w:w="0" w:type="dxa"/>
            <w:right w:w="108" w:type="dxa"/>
          </w:tblCellMar>
        </w:tblPrEx>
        <w:trPr>
          <w:trHeight w:val="404" w:hRule="atLeast"/>
        </w:trPr>
        <w:tc>
          <w:tcPr>
            <w:tcW w:w="726"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302</w:t>
            </w:r>
          </w:p>
        </w:tc>
        <w:tc>
          <w:tcPr>
            <w:tcW w:w="553" w:type="dxa"/>
            <w:tcBorders>
              <w:top w:val="nil"/>
              <w:left w:val="nil"/>
              <w:bottom w:val="single" w:color="auto" w:sz="4" w:space="0"/>
              <w:right w:val="single" w:color="auto" w:sz="4" w:space="0"/>
            </w:tcBorders>
            <w:vAlign w:val="center"/>
          </w:tcPr>
          <w:p>
            <w:pPr>
              <w:widowControl/>
              <w:jc w:val="center"/>
              <w:rPr>
                <w:rFonts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02</w:t>
            </w:r>
          </w:p>
        </w:tc>
        <w:tc>
          <w:tcPr>
            <w:tcW w:w="2777" w:type="dxa"/>
            <w:tcBorders>
              <w:top w:val="nil"/>
              <w:left w:val="nil"/>
              <w:bottom w:val="single" w:color="auto" w:sz="4" w:space="0"/>
              <w:right w:val="single" w:color="auto" w:sz="4" w:space="0"/>
            </w:tcBorders>
            <w:vAlign w:val="center"/>
          </w:tcPr>
          <w:p>
            <w:pPr>
              <w:widowControl/>
              <w:jc w:val="left"/>
              <w:rPr>
                <w:rFonts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印刷费</w:t>
            </w:r>
          </w:p>
        </w:tc>
        <w:tc>
          <w:tcPr>
            <w:tcW w:w="1632" w:type="dxa"/>
            <w:tcBorders>
              <w:top w:val="nil"/>
              <w:left w:val="nil"/>
              <w:bottom w:val="single" w:color="auto" w:sz="4" w:space="0"/>
              <w:right w:val="single" w:color="auto" w:sz="4" w:space="0"/>
            </w:tcBorders>
            <w:vAlign w:val="top"/>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1.00</w:t>
            </w:r>
          </w:p>
        </w:tc>
        <w:tc>
          <w:tcPr>
            <w:tcW w:w="1632" w:type="dxa"/>
            <w:tcBorders>
              <w:top w:val="nil"/>
              <w:left w:val="nil"/>
              <w:bottom w:val="single" w:color="auto" w:sz="4" w:space="0"/>
              <w:right w:val="single" w:color="auto" w:sz="4" w:space="0"/>
            </w:tcBorders>
            <w:vAlign w:val="top"/>
          </w:tcPr>
          <w:p>
            <w:pPr>
              <w:widowControl/>
              <w:ind w:right="147" w:rightChars="70"/>
              <w:jc w:val="center"/>
              <w:rPr>
                <w:rFonts w:ascii="宋体" w:hAnsi="宋体" w:eastAsia="宋体" w:cs="宋体"/>
                <w:color w:val="000000"/>
                <w:kern w:val="0"/>
                <w:sz w:val="20"/>
                <w:szCs w:val="20"/>
                <w:lang w:val="en-US" w:eastAsia="zh-CN" w:bidi="ar-SA"/>
              </w:rPr>
            </w:pPr>
          </w:p>
        </w:tc>
        <w:tc>
          <w:tcPr>
            <w:tcW w:w="1640" w:type="dxa"/>
            <w:tcBorders>
              <w:top w:val="nil"/>
              <w:left w:val="nil"/>
              <w:bottom w:val="single" w:color="auto" w:sz="4" w:space="0"/>
              <w:right w:val="single" w:color="auto" w:sz="4" w:space="0"/>
            </w:tcBorders>
            <w:vAlign w:val="top"/>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1.00</w:t>
            </w:r>
          </w:p>
        </w:tc>
      </w:tr>
      <w:tr>
        <w:tblPrEx>
          <w:tblCellMar>
            <w:top w:w="0" w:type="dxa"/>
            <w:left w:w="108" w:type="dxa"/>
            <w:bottom w:w="0" w:type="dxa"/>
            <w:right w:w="108" w:type="dxa"/>
          </w:tblCellMar>
        </w:tblPrEx>
        <w:trPr>
          <w:trHeight w:val="404" w:hRule="atLeast"/>
        </w:trPr>
        <w:tc>
          <w:tcPr>
            <w:tcW w:w="726"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302</w:t>
            </w:r>
          </w:p>
        </w:tc>
        <w:tc>
          <w:tcPr>
            <w:tcW w:w="553"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05</w:t>
            </w:r>
          </w:p>
        </w:tc>
        <w:tc>
          <w:tcPr>
            <w:tcW w:w="2777" w:type="dxa"/>
            <w:tcBorders>
              <w:top w:val="nil"/>
              <w:left w:val="nil"/>
              <w:bottom w:val="single" w:color="auto" w:sz="4" w:space="0"/>
              <w:right w:val="single" w:color="auto" w:sz="4" w:space="0"/>
            </w:tcBorders>
            <w:vAlign w:val="center"/>
          </w:tcPr>
          <w:p>
            <w:pPr>
              <w:widowControl/>
              <w:jc w:val="left"/>
              <w:rPr>
                <w:rFonts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水费</w:t>
            </w:r>
          </w:p>
        </w:tc>
        <w:tc>
          <w:tcPr>
            <w:tcW w:w="1632" w:type="dxa"/>
            <w:tcBorders>
              <w:top w:val="nil"/>
              <w:left w:val="nil"/>
              <w:bottom w:val="single" w:color="auto" w:sz="4" w:space="0"/>
              <w:right w:val="single" w:color="auto" w:sz="4" w:space="0"/>
            </w:tcBorders>
            <w:vAlign w:val="top"/>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0.10</w:t>
            </w:r>
          </w:p>
        </w:tc>
        <w:tc>
          <w:tcPr>
            <w:tcW w:w="1632" w:type="dxa"/>
            <w:tcBorders>
              <w:top w:val="nil"/>
              <w:left w:val="nil"/>
              <w:bottom w:val="single" w:color="auto" w:sz="4" w:space="0"/>
              <w:right w:val="single" w:color="auto" w:sz="4" w:space="0"/>
            </w:tcBorders>
            <w:vAlign w:val="top"/>
          </w:tcPr>
          <w:p>
            <w:pPr>
              <w:widowControl/>
              <w:jc w:val="center"/>
              <w:rPr>
                <w:rFonts w:ascii="宋体" w:hAnsi="宋体" w:eastAsia="宋体" w:cs="宋体"/>
                <w:color w:val="000000"/>
                <w:kern w:val="0"/>
                <w:sz w:val="20"/>
                <w:szCs w:val="20"/>
                <w:lang w:val="en-US" w:eastAsia="zh-CN" w:bidi="ar-SA"/>
              </w:rPr>
            </w:pPr>
          </w:p>
        </w:tc>
        <w:tc>
          <w:tcPr>
            <w:tcW w:w="1640" w:type="dxa"/>
            <w:tcBorders>
              <w:top w:val="nil"/>
              <w:left w:val="nil"/>
              <w:bottom w:val="single" w:color="auto" w:sz="4" w:space="0"/>
              <w:right w:val="single" w:color="auto" w:sz="4" w:space="0"/>
            </w:tcBorders>
            <w:vAlign w:val="top"/>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0.10</w:t>
            </w:r>
          </w:p>
        </w:tc>
      </w:tr>
      <w:tr>
        <w:tblPrEx>
          <w:tblCellMar>
            <w:top w:w="0" w:type="dxa"/>
            <w:left w:w="108" w:type="dxa"/>
            <w:bottom w:w="0" w:type="dxa"/>
            <w:right w:w="108" w:type="dxa"/>
          </w:tblCellMar>
        </w:tblPrEx>
        <w:trPr>
          <w:trHeight w:val="404" w:hRule="atLeast"/>
        </w:trPr>
        <w:tc>
          <w:tcPr>
            <w:tcW w:w="726"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302</w:t>
            </w:r>
          </w:p>
        </w:tc>
        <w:tc>
          <w:tcPr>
            <w:tcW w:w="553"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07</w:t>
            </w:r>
          </w:p>
        </w:tc>
        <w:tc>
          <w:tcPr>
            <w:tcW w:w="2777" w:type="dxa"/>
            <w:tcBorders>
              <w:top w:val="nil"/>
              <w:left w:val="nil"/>
              <w:bottom w:val="single" w:color="auto" w:sz="4" w:space="0"/>
              <w:right w:val="single" w:color="auto" w:sz="4" w:space="0"/>
            </w:tcBorders>
            <w:vAlign w:val="center"/>
          </w:tcPr>
          <w:p>
            <w:pPr>
              <w:widowControl/>
              <w:jc w:val="left"/>
              <w:rPr>
                <w:rFonts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邮电费</w:t>
            </w:r>
          </w:p>
        </w:tc>
        <w:tc>
          <w:tcPr>
            <w:tcW w:w="1632" w:type="dxa"/>
            <w:tcBorders>
              <w:top w:val="nil"/>
              <w:left w:val="nil"/>
              <w:bottom w:val="single" w:color="auto" w:sz="4" w:space="0"/>
              <w:right w:val="single" w:color="auto" w:sz="4" w:space="0"/>
            </w:tcBorders>
            <w:vAlign w:val="top"/>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1.00</w:t>
            </w:r>
          </w:p>
        </w:tc>
        <w:tc>
          <w:tcPr>
            <w:tcW w:w="1632" w:type="dxa"/>
            <w:tcBorders>
              <w:top w:val="nil"/>
              <w:left w:val="nil"/>
              <w:bottom w:val="single" w:color="auto" w:sz="4" w:space="0"/>
              <w:right w:val="single" w:color="auto" w:sz="4" w:space="0"/>
            </w:tcBorders>
            <w:vAlign w:val="top"/>
          </w:tcPr>
          <w:p>
            <w:pPr>
              <w:widowControl/>
              <w:jc w:val="center"/>
              <w:rPr>
                <w:rFonts w:ascii="宋体" w:hAnsi="宋体" w:eastAsia="宋体" w:cs="宋体"/>
                <w:color w:val="000000"/>
                <w:kern w:val="0"/>
                <w:sz w:val="20"/>
                <w:szCs w:val="20"/>
                <w:lang w:val="en-US" w:eastAsia="zh-CN" w:bidi="ar-SA"/>
              </w:rPr>
            </w:pPr>
          </w:p>
        </w:tc>
        <w:tc>
          <w:tcPr>
            <w:tcW w:w="1640" w:type="dxa"/>
            <w:tcBorders>
              <w:top w:val="nil"/>
              <w:left w:val="nil"/>
              <w:bottom w:val="single" w:color="auto" w:sz="4" w:space="0"/>
              <w:right w:val="single" w:color="auto" w:sz="4" w:space="0"/>
            </w:tcBorders>
            <w:vAlign w:val="top"/>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1.00</w:t>
            </w:r>
          </w:p>
        </w:tc>
      </w:tr>
      <w:tr>
        <w:tblPrEx>
          <w:tblCellMar>
            <w:top w:w="0" w:type="dxa"/>
            <w:left w:w="108" w:type="dxa"/>
            <w:bottom w:w="0" w:type="dxa"/>
            <w:right w:w="108" w:type="dxa"/>
          </w:tblCellMar>
        </w:tblPrEx>
        <w:trPr>
          <w:trHeight w:val="404" w:hRule="atLeast"/>
        </w:trPr>
        <w:tc>
          <w:tcPr>
            <w:tcW w:w="726"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302</w:t>
            </w:r>
          </w:p>
        </w:tc>
        <w:tc>
          <w:tcPr>
            <w:tcW w:w="553"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31</w:t>
            </w:r>
          </w:p>
        </w:tc>
        <w:tc>
          <w:tcPr>
            <w:tcW w:w="2777" w:type="dxa"/>
            <w:tcBorders>
              <w:top w:val="nil"/>
              <w:left w:val="nil"/>
              <w:bottom w:val="single" w:color="auto" w:sz="4" w:space="0"/>
              <w:right w:val="single" w:color="auto" w:sz="4" w:space="0"/>
            </w:tcBorders>
            <w:vAlign w:val="center"/>
          </w:tcPr>
          <w:p>
            <w:pPr>
              <w:widowControl/>
              <w:jc w:val="left"/>
              <w:rPr>
                <w:rFonts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公务用车运行维护费</w:t>
            </w:r>
          </w:p>
        </w:tc>
        <w:tc>
          <w:tcPr>
            <w:tcW w:w="1632" w:type="dxa"/>
            <w:tcBorders>
              <w:top w:val="nil"/>
              <w:left w:val="nil"/>
              <w:bottom w:val="single" w:color="auto" w:sz="4" w:space="0"/>
              <w:right w:val="single" w:color="auto" w:sz="4" w:space="0"/>
            </w:tcBorders>
            <w:vAlign w:val="top"/>
          </w:tcPr>
          <w:p>
            <w:pPr>
              <w:widowControl/>
              <w:jc w:val="center"/>
              <w:rPr>
                <w:rFonts w:ascii="宋体" w:hAnsi="宋体" w:eastAsia="宋体" w:cs="宋体"/>
                <w:color w:val="000000"/>
                <w:kern w:val="0"/>
                <w:sz w:val="20"/>
                <w:szCs w:val="20"/>
                <w:lang w:val="en-US" w:eastAsia="zh-CN" w:bidi="ar-SA"/>
              </w:rPr>
            </w:pPr>
          </w:p>
        </w:tc>
        <w:tc>
          <w:tcPr>
            <w:tcW w:w="1632" w:type="dxa"/>
            <w:tcBorders>
              <w:top w:val="nil"/>
              <w:left w:val="nil"/>
              <w:bottom w:val="single" w:color="auto" w:sz="4" w:space="0"/>
              <w:right w:val="single" w:color="auto" w:sz="4" w:space="0"/>
            </w:tcBorders>
            <w:vAlign w:val="top"/>
          </w:tcPr>
          <w:p>
            <w:pPr>
              <w:widowControl/>
              <w:jc w:val="center"/>
              <w:rPr>
                <w:rFonts w:ascii="宋体" w:hAnsi="宋体" w:eastAsia="宋体" w:cs="宋体"/>
                <w:color w:val="000000"/>
                <w:kern w:val="0"/>
                <w:sz w:val="20"/>
                <w:szCs w:val="20"/>
                <w:lang w:val="en-US" w:eastAsia="zh-CN" w:bidi="ar-SA"/>
              </w:rPr>
            </w:pPr>
          </w:p>
        </w:tc>
        <w:tc>
          <w:tcPr>
            <w:tcW w:w="1640" w:type="dxa"/>
            <w:tcBorders>
              <w:top w:val="nil"/>
              <w:left w:val="nil"/>
              <w:bottom w:val="single" w:color="auto" w:sz="4" w:space="0"/>
              <w:right w:val="single" w:color="auto" w:sz="4" w:space="0"/>
            </w:tcBorders>
            <w:vAlign w:val="top"/>
          </w:tcPr>
          <w:p>
            <w:pPr>
              <w:widowControl/>
              <w:jc w:val="center"/>
              <w:rPr>
                <w:rFonts w:ascii="宋体" w:hAnsi="宋体" w:eastAsia="宋体" w:cs="宋体"/>
                <w:color w:val="000000"/>
                <w:kern w:val="0"/>
                <w:sz w:val="20"/>
                <w:szCs w:val="20"/>
                <w:lang w:val="en-US" w:eastAsia="zh-CN" w:bidi="ar-SA"/>
              </w:rPr>
            </w:pPr>
          </w:p>
        </w:tc>
      </w:tr>
      <w:tr>
        <w:tblPrEx>
          <w:tblCellMar>
            <w:top w:w="0" w:type="dxa"/>
            <w:left w:w="108" w:type="dxa"/>
            <w:bottom w:w="0" w:type="dxa"/>
            <w:right w:w="108" w:type="dxa"/>
          </w:tblCellMar>
        </w:tblPrEx>
        <w:trPr>
          <w:trHeight w:val="517" w:hRule="atLeast"/>
        </w:trPr>
        <w:tc>
          <w:tcPr>
            <w:tcW w:w="726"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301</w:t>
            </w:r>
          </w:p>
        </w:tc>
        <w:tc>
          <w:tcPr>
            <w:tcW w:w="553"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08</w:t>
            </w:r>
          </w:p>
        </w:tc>
        <w:tc>
          <w:tcPr>
            <w:tcW w:w="2777" w:type="dxa"/>
            <w:tcBorders>
              <w:top w:val="nil"/>
              <w:left w:val="nil"/>
              <w:bottom w:val="single" w:color="auto" w:sz="4" w:space="0"/>
              <w:right w:val="single" w:color="auto" w:sz="4" w:space="0"/>
            </w:tcBorders>
            <w:vAlign w:val="center"/>
          </w:tcPr>
          <w:p>
            <w:pPr>
              <w:widowControl/>
              <w:jc w:val="left"/>
              <w:rPr>
                <w:rFonts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机关事业单位基本养老保险缴费</w:t>
            </w:r>
          </w:p>
        </w:tc>
        <w:tc>
          <w:tcPr>
            <w:tcW w:w="1632" w:type="dxa"/>
            <w:tcBorders>
              <w:top w:val="nil"/>
              <w:left w:val="nil"/>
              <w:bottom w:val="single" w:color="auto" w:sz="4" w:space="0"/>
              <w:right w:val="single" w:color="auto" w:sz="4" w:space="0"/>
            </w:tcBorders>
            <w:vAlign w:val="top"/>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22.90</w:t>
            </w:r>
          </w:p>
        </w:tc>
        <w:tc>
          <w:tcPr>
            <w:tcW w:w="1632" w:type="dxa"/>
            <w:tcBorders>
              <w:top w:val="nil"/>
              <w:left w:val="nil"/>
              <w:bottom w:val="single" w:color="auto" w:sz="4" w:space="0"/>
              <w:right w:val="single" w:color="auto" w:sz="4" w:space="0"/>
            </w:tcBorders>
            <w:vAlign w:val="top"/>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22.90</w:t>
            </w:r>
          </w:p>
        </w:tc>
        <w:tc>
          <w:tcPr>
            <w:tcW w:w="1640" w:type="dxa"/>
            <w:tcBorders>
              <w:top w:val="nil"/>
              <w:left w:val="nil"/>
              <w:bottom w:val="single" w:color="auto" w:sz="4" w:space="0"/>
              <w:right w:val="single" w:color="auto" w:sz="4" w:space="0"/>
            </w:tcBorders>
            <w:vAlign w:val="top"/>
          </w:tcPr>
          <w:p>
            <w:pPr>
              <w:widowControl/>
              <w:jc w:val="center"/>
              <w:rPr>
                <w:rFonts w:ascii="宋体" w:hAnsi="宋体" w:eastAsia="宋体" w:cs="宋体"/>
                <w:color w:val="000000"/>
                <w:kern w:val="0"/>
                <w:sz w:val="20"/>
                <w:szCs w:val="20"/>
                <w:lang w:val="en-US" w:eastAsia="zh-CN" w:bidi="ar-SA"/>
              </w:rPr>
            </w:pPr>
          </w:p>
        </w:tc>
      </w:tr>
      <w:tr>
        <w:tblPrEx>
          <w:tblCellMar>
            <w:top w:w="0" w:type="dxa"/>
            <w:left w:w="108" w:type="dxa"/>
            <w:bottom w:w="0" w:type="dxa"/>
            <w:right w:w="108" w:type="dxa"/>
          </w:tblCellMar>
        </w:tblPrEx>
        <w:trPr>
          <w:trHeight w:val="404" w:hRule="atLeast"/>
        </w:trPr>
        <w:tc>
          <w:tcPr>
            <w:tcW w:w="726"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302</w:t>
            </w:r>
          </w:p>
        </w:tc>
        <w:tc>
          <w:tcPr>
            <w:tcW w:w="553"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14</w:t>
            </w:r>
          </w:p>
        </w:tc>
        <w:tc>
          <w:tcPr>
            <w:tcW w:w="2777" w:type="dxa"/>
            <w:tcBorders>
              <w:top w:val="nil"/>
              <w:left w:val="nil"/>
              <w:bottom w:val="single" w:color="auto" w:sz="4" w:space="0"/>
              <w:right w:val="single" w:color="auto" w:sz="4" w:space="0"/>
            </w:tcBorders>
            <w:vAlign w:val="center"/>
          </w:tcPr>
          <w:p>
            <w:pPr>
              <w:widowControl/>
              <w:jc w:val="left"/>
              <w:rPr>
                <w:rFonts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租赁费</w:t>
            </w:r>
          </w:p>
        </w:tc>
        <w:tc>
          <w:tcPr>
            <w:tcW w:w="1632" w:type="dxa"/>
            <w:tcBorders>
              <w:top w:val="nil"/>
              <w:left w:val="nil"/>
              <w:bottom w:val="single" w:color="auto" w:sz="4" w:space="0"/>
              <w:right w:val="single" w:color="auto" w:sz="4" w:space="0"/>
            </w:tcBorders>
            <w:vAlign w:val="top"/>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1.20</w:t>
            </w:r>
          </w:p>
        </w:tc>
        <w:tc>
          <w:tcPr>
            <w:tcW w:w="1632" w:type="dxa"/>
            <w:tcBorders>
              <w:top w:val="nil"/>
              <w:left w:val="nil"/>
              <w:bottom w:val="single" w:color="auto" w:sz="4" w:space="0"/>
              <w:right w:val="single" w:color="auto" w:sz="4" w:space="0"/>
            </w:tcBorders>
            <w:vAlign w:val="top"/>
          </w:tcPr>
          <w:p>
            <w:pPr>
              <w:widowControl/>
              <w:jc w:val="center"/>
              <w:rPr>
                <w:rFonts w:ascii="宋体" w:hAnsi="宋体" w:eastAsia="宋体" w:cs="宋体"/>
                <w:color w:val="000000"/>
                <w:kern w:val="0"/>
                <w:sz w:val="20"/>
                <w:szCs w:val="20"/>
                <w:lang w:val="en-US" w:eastAsia="zh-CN" w:bidi="ar-SA"/>
              </w:rPr>
            </w:pPr>
          </w:p>
        </w:tc>
        <w:tc>
          <w:tcPr>
            <w:tcW w:w="1640" w:type="dxa"/>
            <w:tcBorders>
              <w:top w:val="nil"/>
              <w:left w:val="nil"/>
              <w:bottom w:val="single" w:color="auto" w:sz="4" w:space="0"/>
              <w:right w:val="single" w:color="auto" w:sz="4" w:space="0"/>
            </w:tcBorders>
            <w:vAlign w:val="top"/>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1.20</w:t>
            </w:r>
          </w:p>
        </w:tc>
      </w:tr>
      <w:tr>
        <w:tblPrEx>
          <w:tblCellMar>
            <w:top w:w="0" w:type="dxa"/>
            <w:left w:w="108" w:type="dxa"/>
            <w:bottom w:w="0" w:type="dxa"/>
            <w:right w:w="108" w:type="dxa"/>
          </w:tblCellMar>
        </w:tblPrEx>
        <w:trPr>
          <w:trHeight w:val="404" w:hRule="atLeast"/>
        </w:trPr>
        <w:tc>
          <w:tcPr>
            <w:tcW w:w="726"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301</w:t>
            </w:r>
          </w:p>
        </w:tc>
        <w:tc>
          <w:tcPr>
            <w:tcW w:w="553"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02</w:t>
            </w:r>
          </w:p>
        </w:tc>
        <w:tc>
          <w:tcPr>
            <w:tcW w:w="2777" w:type="dxa"/>
            <w:tcBorders>
              <w:top w:val="nil"/>
              <w:left w:val="nil"/>
              <w:bottom w:val="single" w:color="auto" w:sz="4" w:space="0"/>
              <w:right w:val="single" w:color="auto" w:sz="4" w:space="0"/>
            </w:tcBorders>
            <w:vAlign w:val="center"/>
          </w:tcPr>
          <w:p>
            <w:pPr>
              <w:widowControl/>
              <w:jc w:val="left"/>
              <w:rPr>
                <w:rFonts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津贴补贴</w:t>
            </w:r>
          </w:p>
        </w:tc>
        <w:tc>
          <w:tcPr>
            <w:tcW w:w="1632" w:type="dxa"/>
            <w:tcBorders>
              <w:top w:val="nil"/>
              <w:left w:val="nil"/>
              <w:bottom w:val="single" w:color="auto" w:sz="4" w:space="0"/>
              <w:right w:val="single" w:color="auto" w:sz="4" w:space="0"/>
            </w:tcBorders>
            <w:vAlign w:val="top"/>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88.74</w:t>
            </w:r>
          </w:p>
        </w:tc>
        <w:tc>
          <w:tcPr>
            <w:tcW w:w="1632" w:type="dxa"/>
            <w:tcBorders>
              <w:top w:val="nil"/>
              <w:left w:val="nil"/>
              <w:bottom w:val="single" w:color="auto" w:sz="4" w:space="0"/>
              <w:right w:val="single" w:color="auto" w:sz="4" w:space="0"/>
            </w:tcBorders>
            <w:vAlign w:val="top"/>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88.74</w:t>
            </w:r>
          </w:p>
        </w:tc>
        <w:tc>
          <w:tcPr>
            <w:tcW w:w="1640" w:type="dxa"/>
            <w:tcBorders>
              <w:top w:val="nil"/>
              <w:left w:val="nil"/>
              <w:bottom w:val="single" w:color="auto" w:sz="4" w:space="0"/>
              <w:right w:val="single" w:color="auto" w:sz="4" w:space="0"/>
            </w:tcBorders>
            <w:vAlign w:val="top"/>
          </w:tcPr>
          <w:p>
            <w:pPr>
              <w:widowControl/>
              <w:jc w:val="center"/>
              <w:rPr>
                <w:rFonts w:ascii="宋体" w:hAnsi="宋体" w:eastAsia="宋体" w:cs="宋体"/>
                <w:color w:val="000000"/>
                <w:kern w:val="0"/>
                <w:sz w:val="20"/>
                <w:szCs w:val="20"/>
                <w:lang w:val="en-US" w:eastAsia="zh-CN" w:bidi="ar-SA"/>
              </w:rPr>
            </w:pPr>
          </w:p>
        </w:tc>
      </w:tr>
      <w:tr>
        <w:tblPrEx>
          <w:tblCellMar>
            <w:top w:w="0" w:type="dxa"/>
            <w:left w:w="108" w:type="dxa"/>
            <w:bottom w:w="0" w:type="dxa"/>
            <w:right w:w="108" w:type="dxa"/>
          </w:tblCellMar>
        </w:tblPrEx>
        <w:trPr>
          <w:trHeight w:val="404" w:hRule="atLeast"/>
        </w:trPr>
        <w:tc>
          <w:tcPr>
            <w:tcW w:w="726"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302</w:t>
            </w:r>
          </w:p>
        </w:tc>
        <w:tc>
          <w:tcPr>
            <w:tcW w:w="553"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09</w:t>
            </w:r>
          </w:p>
        </w:tc>
        <w:tc>
          <w:tcPr>
            <w:tcW w:w="2777" w:type="dxa"/>
            <w:tcBorders>
              <w:top w:val="nil"/>
              <w:left w:val="nil"/>
              <w:bottom w:val="single" w:color="auto" w:sz="4" w:space="0"/>
              <w:right w:val="single" w:color="auto" w:sz="4" w:space="0"/>
            </w:tcBorders>
            <w:vAlign w:val="center"/>
          </w:tcPr>
          <w:p>
            <w:pPr>
              <w:widowControl/>
              <w:jc w:val="left"/>
              <w:rPr>
                <w:rFonts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物业管理费</w:t>
            </w:r>
          </w:p>
        </w:tc>
        <w:tc>
          <w:tcPr>
            <w:tcW w:w="1632" w:type="dxa"/>
            <w:tcBorders>
              <w:top w:val="nil"/>
              <w:left w:val="nil"/>
              <w:bottom w:val="single" w:color="auto" w:sz="4" w:space="0"/>
              <w:right w:val="single" w:color="auto" w:sz="4" w:space="0"/>
            </w:tcBorders>
            <w:vAlign w:val="top"/>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0.20</w:t>
            </w:r>
          </w:p>
        </w:tc>
        <w:tc>
          <w:tcPr>
            <w:tcW w:w="1632" w:type="dxa"/>
            <w:tcBorders>
              <w:top w:val="nil"/>
              <w:left w:val="nil"/>
              <w:bottom w:val="single" w:color="auto" w:sz="4" w:space="0"/>
              <w:right w:val="single" w:color="auto" w:sz="4" w:space="0"/>
            </w:tcBorders>
            <w:vAlign w:val="top"/>
          </w:tcPr>
          <w:p>
            <w:pPr>
              <w:widowControl/>
              <w:jc w:val="center"/>
              <w:rPr>
                <w:rFonts w:ascii="宋体" w:hAnsi="宋体" w:eastAsia="宋体" w:cs="宋体"/>
                <w:color w:val="000000"/>
                <w:kern w:val="0"/>
                <w:sz w:val="20"/>
                <w:szCs w:val="20"/>
                <w:lang w:val="en-US" w:eastAsia="zh-CN" w:bidi="ar-SA"/>
              </w:rPr>
            </w:pPr>
          </w:p>
        </w:tc>
        <w:tc>
          <w:tcPr>
            <w:tcW w:w="1640" w:type="dxa"/>
            <w:tcBorders>
              <w:top w:val="nil"/>
              <w:left w:val="nil"/>
              <w:bottom w:val="single" w:color="auto" w:sz="4" w:space="0"/>
              <w:right w:val="single" w:color="auto" w:sz="4" w:space="0"/>
            </w:tcBorders>
            <w:vAlign w:val="top"/>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0.20</w:t>
            </w:r>
          </w:p>
        </w:tc>
      </w:tr>
      <w:tr>
        <w:tblPrEx>
          <w:tblCellMar>
            <w:top w:w="0" w:type="dxa"/>
            <w:left w:w="108" w:type="dxa"/>
            <w:bottom w:w="0" w:type="dxa"/>
            <w:right w:w="108" w:type="dxa"/>
          </w:tblCellMar>
        </w:tblPrEx>
        <w:trPr>
          <w:trHeight w:val="404" w:hRule="atLeast"/>
        </w:trPr>
        <w:tc>
          <w:tcPr>
            <w:tcW w:w="726"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302</w:t>
            </w:r>
          </w:p>
        </w:tc>
        <w:tc>
          <w:tcPr>
            <w:tcW w:w="553"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11</w:t>
            </w:r>
          </w:p>
        </w:tc>
        <w:tc>
          <w:tcPr>
            <w:tcW w:w="2777" w:type="dxa"/>
            <w:tcBorders>
              <w:top w:val="nil"/>
              <w:left w:val="nil"/>
              <w:bottom w:val="single" w:color="auto" w:sz="4" w:space="0"/>
              <w:right w:val="single" w:color="auto" w:sz="4" w:space="0"/>
            </w:tcBorders>
            <w:vAlign w:val="center"/>
          </w:tcPr>
          <w:p>
            <w:pPr>
              <w:widowControl/>
              <w:jc w:val="left"/>
              <w:rPr>
                <w:rFonts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差旅费</w:t>
            </w:r>
          </w:p>
        </w:tc>
        <w:tc>
          <w:tcPr>
            <w:tcW w:w="1632" w:type="dxa"/>
            <w:tcBorders>
              <w:top w:val="nil"/>
              <w:left w:val="nil"/>
              <w:bottom w:val="single" w:color="auto" w:sz="4" w:space="0"/>
              <w:right w:val="single" w:color="auto" w:sz="4" w:space="0"/>
            </w:tcBorders>
            <w:vAlign w:val="top"/>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0.50</w:t>
            </w:r>
          </w:p>
        </w:tc>
        <w:tc>
          <w:tcPr>
            <w:tcW w:w="1632" w:type="dxa"/>
            <w:tcBorders>
              <w:top w:val="nil"/>
              <w:left w:val="nil"/>
              <w:bottom w:val="single" w:color="auto" w:sz="4" w:space="0"/>
              <w:right w:val="single" w:color="auto" w:sz="4" w:space="0"/>
            </w:tcBorders>
            <w:vAlign w:val="top"/>
          </w:tcPr>
          <w:p>
            <w:pPr>
              <w:widowControl/>
              <w:jc w:val="center"/>
              <w:rPr>
                <w:rFonts w:ascii="宋体" w:hAnsi="宋体" w:eastAsia="宋体" w:cs="宋体"/>
                <w:color w:val="000000"/>
                <w:kern w:val="0"/>
                <w:sz w:val="20"/>
                <w:szCs w:val="20"/>
                <w:lang w:val="en-US" w:eastAsia="zh-CN" w:bidi="ar-SA"/>
              </w:rPr>
            </w:pPr>
          </w:p>
        </w:tc>
        <w:tc>
          <w:tcPr>
            <w:tcW w:w="1640" w:type="dxa"/>
            <w:tcBorders>
              <w:top w:val="nil"/>
              <w:left w:val="nil"/>
              <w:bottom w:val="single" w:color="auto" w:sz="4" w:space="0"/>
              <w:right w:val="single" w:color="auto" w:sz="4" w:space="0"/>
            </w:tcBorders>
            <w:vAlign w:val="top"/>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0.50</w:t>
            </w:r>
          </w:p>
        </w:tc>
      </w:tr>
      <w:tr>
        <w:tblPrEx>
          <w:tblCellMar>
            <w:top w:w="0" w:type="dxa"/>
            <w:left w:w="108" w:type="dxa"/>
            <w:bottom w:w="0" w:type="dxa"/>
            <w:right w:w="108" w:type="dxa"/>
          </w:tblCellMar>
        </w:tblPrEx>
        <w:trPr>
          <w:trHeight w:val="404" w:hRule="atLeast"/>
        </w:trPr>
        <w:tc>
          <w:tcPr>
            <w:tcW w:w="726"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302</w:t>
            </w:r>
          </w:p>
        </w:tc>
        <w:tc>
          <w:tcPr>
            <w:tcW w:w="553"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13</w:t>
            </w:r>
          </w:p>
        </w:tc>
        <w:tc>
          <w:tcPr>
            <w:tcW w:w="2777" w:type="dxa"/>
            <w:tcBorders>
              <w:top w:val="nil"/>
              <w:left w:val="nil"/>
              <w:bottom w:val="single" w:color="auto" w:sz="4" w:space="0"/>
              <w:right w:val="single" w:color="auto" w:sz="4" w:space="0"/>
            </w:tcBorders>
            <w:vAlign w:val="center"/>
          </w:tcPr>
          <w:p>
            <w:pPr>
              <w:widowControl/>
              <w:jc w:val="left"/>
              <w:rPr>
                <w:rFonts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维修(护)费</w:t>
            </w:r>
          </w:p>
        </w:tc>
        <w:tc>
          <w:tcPr>
            <w:tcW w:w="1632" w:type="dxa"/>
            <w:tcBorders>
              <w:top w:val="nil"/>
              <w:left w:val="nil"/>
              <w:bottom w:val="single" w:color="auto" w:sz="4" w:space="0"/>
              <w:right w:val="single" w:color="auto" w:sz="4" w:space="0"/>
            </w:tcBorders>
            <w:vAlign w:val="top"/>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1.00</w:t>
            </w:r>
          </w:p>
        </w:tc>
        <w:tc>
          <w:tcPr>
            <w:tcW w:w="1632" w:type="dxa"/>
            <w:tcBorders>
              <w:top w:val="nil"/>
              <w:left w:val="nil"/>
              <w:bottom w:val="single" w:color="auto" w:sz="4" w:space="0"/>
              <w:right w:val="single" w:color="auto" w:sz="4" w:space="0"/>
            </w:tcBorders>
            <w:vAlign w:val="top"/>
          </w:tcPr>
          <w:p>
            <w:pPr>
              <w:widowControl/>
              <w:jc w:val="center"/>
              <w:rPr>
                <w:rFonts w:ascii="宋体" w:hAnsi="宋体" w:eastAsia="宋体" w:cs="宋体"/>
                <w:color w:val="000000"/>
                <w:kern w:val="0"/>
                <w:sz w:val="20"/>
                <w:szCs w:val="20"/>
                <w:lang w:val="en-US" w:eastAsia="zh-CN" w:bidi="ar-SA"/>
              </w:rPr>
            </w:pPr>
          </w:p>
        </w:tc>
        <w:tc>
          <w:tcPr>
            <w:tcW w:w="1640" w:type="dxa"/>
            <w:tcBorders>
              <w:top w:val="nil"/>
              <w:left w:val="nil"/>
              <w:bottom w:val="single" w:color="auto" w:sz="4" w:space="0"/>
              <w:right w:val="single" w:color="auto" w:sz="4" w:space="0"/>
            </w:tcBorders>
            <w:vAlign w:val="top"/>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1.00</w:t>
            </w:r>
          </w:p>
        </w:tc>
      </w:tr>
      <w:tr>
        <w:tblPrEx>
          <w:tblCellMar>
            <w:top w:w="0" w:type="dxa"/>
            <w:left w:w="108" w:type="dxa"/>
            <w:bottom w:w="0" w:type="dxa"/>
            <w:right w:w="108" w:type="dxa"/>
          </w:tblCellMar>
        </w:tblPrEx>
        <w:trPr>
          <w:trHeight w:val="404" w:hRule="atLeast"/>
        </w:trPr>
        <w:tc>
          <w:tcPr>
            <w:tcW w:w="726"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302</w:t>
            </w:r>
          </w:p>
        </w:tc>
        <w:tc>
          <w:tcPr>
            <w:tcW w:w="553"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16</w:t>
            </w:r>
          </w:p>
        </w:tc>
        <w:tc>
          <w:tcPr>
            <w:tcW w:w="2777" w:type="dxa"/>
            <w:tcBorders>
              <w:top w:val="nil"/>
              <w:left w:val="nil"/>
              <w:bottom w:val="single" w:color="auto" w:sz="4" w:space="0"/>
              <w:right w:val="single" w:color="auto" w:sz="4" w:space="0"/>
            </w:tcBorders>
            <w:vAlign w:val="center"/>
          </w:tcPr>
          <w:p>
            <w:pPr>
              <w:widowControl/>
              <w:jc w:val="left"/>
              <w:rPr>
                <w:rFonts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培训费　</w:t>
            </w:r>
          </w:p>
        </w:tc>
        <w:tc>
          <w:tcPr>
            <w:tcW w:w="1632" w:type="dxa"/>
            <w:tcBorders>
              <w:top w:val="nil"/>
              <w:left w:val="nil"/>
              <w:bottom w:val="single" w:color="auto" w:sz="4" w:space="0"/>
              <w:right w:val="single" w:color="auto" w:sz="4" w:space="0"/>
            </w:tcBorders>
            <w:vAlign w:val="top"/>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0.10</w:t>
            </w:r>
          </w:p>
        </w:tc>
        <w:tc>
          <w:tcPr>
            <w:tcW w:w="1632" w:type="dxa"/>
            <w:tcBorders>
              <w:top w:val="nil"/>
              <w:left w:val="nil"/>
              <w:bottom w:val="single" w:color="auto" w:sz="4" w:space="0"/>
              <w:right w:val="single" w:color="auto" w:sz="4" w:space="0"/>
            </w:tcBorders>
            <w:vAlign w:val="top"/>
          </w:tcPr>
          <w:p>
            <w:pPr>
              <w:widowControl/>
              <w:jc w:val="center"/>
              <w:rPr>
                <w:rFonts w:ascii="宋体" w:hAnsi="宋体" w:eastAsia="宋体" w:cs="宋体"/>
                <w:color w:val="000000"/>
                <w:kern w:val="0"/>
                <w:sz w:val="20"/>
                <w:szCs w:val="20"/>
                <w:lang w:val="en-US" w:eastAsia="zh-CN" w:bidi="ar-SA"/>
              </w:rPr>
            </w:pPr>
          </w:p>
        </w:tc>
        <w:tc>
          <w:tcPr>
            <w:tcW w:w="1640" w:type="dxa"/>
            <w:tcBorders>
              <w:top w:val="nil"/>
              <w:left w:val="nil"/>
              <w:bottom w:val="single" w:color="auto" w:sz="4" w:space="0"/>
              <w:right w:val="single" w:color="auto" w:sz="4" w:space="0"/>
            </w:tcBorders>
            <w:vAlign w:val="top"/>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0.10</w:t>
            </w:r>
          </w:p>
        </w:tc>
      </w:tr>
      <w:tr>
        <w:tblPrEx>
          <w:tblCellMar>
            <w:top w:w="0" w:type="dxa"/>
            <w:left w:w="108" w:type="dxa"/>
            <w:bottom w:w="0" w:type="dxa"/>
            <w:right w:w="108" w:type="dxa"/>
          </w:tblCellMar>
        </w:tblPrEx>
        <w:trPr>
          <w:trHeight w:val="404" w:hRule="atLeast"/>
        </w:trPr>
        <w:tc>
          <w:tcPr>
            <w:tcW w:w="726"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302</w:t>
            </w:r>
          </w:p>
        </w:tc>
        <w:tc>
          <w:tcPr>
            <w:tcW w:w="553"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28</w:t>
            </w:r>
          </w:p>
        </w:tc>
        <w:tc>
          <w:tcPr>
            <w:tcW w:w="2777" w:type="dxa"/>
            <w:tcBorders>
              <w:top w:val="nil"/>
              <w:left w:val="nil"/>
              <w:bottom w:val="single" w:color="auto" w:sz="4" w:space="0"/>
              <w:right w:val="single" w:color="auto" w:sz="4" w:space="0"/>
            </w:tcBorders>
            <w:vAlign w:val="center"/>
          </w:tcPr>
          <w:p>
            <w:pPr>
              <w:widowControl/>
              <w:jc w:val="left"/>
              <w:rPr>
                <w:rFonts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工会经费</w:t>
            </w:r>
          </w:p>
        </w:tc>
        <w:tc>
          <w:tcPr>
            <w:tcW w:w="1632" w:type="dxa"/>
            <w:tcBorders>
              <w:top w:val="nil"/>
              <w:left w:val="nil"/>
              <w:bottom w:val="single" w:color="auto" w:sz="4" w:space="0"/>
              <w:right w:val="single" w:color="auto" w:sz="4" w:space="0"/>
            </w:tcBorders>
            <w:vAlign w:val="top"/>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0.97</w:t>
            </w:r>
          </w:p>
        </w:tc>
        <w:tc>
          <w:tcPr>
            <w:tcW w:w="1632" w:type="dxa"/>
            <w:tcBorders>
              <w:top w:val="nil"/>
              <w:left w:val="nil"/>
              <w:bottom w:val="single" w:color="auto" w:sz="4" w:space="0"/>
              <w:right w:val="single" w:color="auto" w:sz="4" w:space="0"/>
            </w:tcBorders>
            <w:vAlign w:val="top"/>
          </w:tcPr>
          <w:p>
            <w:pPr>
              <w:widowControl/>
              <w:jc w:val="center"/>
              <w:rPr>
                <w:rFonts w:ascii="宋体" w:hAnsi="宋体" w:eastAsia="宋体" w:cs="宋体"/>
                <w:color w:val="000000"/>
                <w:kern w:val="0"/>
                <w:sz w:val="20"/>
                <w:szCs w:val="20"/>
                <w:lang w:val="en-US" w:eastAsia="zh-CN" w:bidi="ar-SA"/>
              </w:rPr>
            </w:pPr>
          </w:p>
        </w:tc>
        <w:tc>
          <w:tcPr>
            <w:tcW w:w="1640" w:type="dxa"/>
            <w:tcBorders>
              <w:top w:val="nil"/>
              <w:left w:val="nil"/>
              <w:bottom w:val="single" w:color="auto" w:sz="4" w:space="0"/>
              <w:right w:val="single" w:color="auto" w:sz="4" w:space="0"/>
            </w:tcBorders>
            <w:vAlign w:val="top"/>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0.97</w:t>
            </w:r>
          </w:p>
        </w:tc>
      </w:tr>
      <w:tr>
        <w:tblPrEx>
          <w:tblCellMar>
            <w:top w:w="0" w:type="dxa"/>
            <w:left w:w="108" w:type="dxa"/>
            <w:bottom w:w="0" w:type="dxa"/>
            <w:right w:w="108" w:type="dxa"/>
          </w:tblCellMar>
        </w:tblPrEx>
        <w:trPr>
          <w:trHeight w:val="404" w:hRule="atLeast"/>
        </w:trPr>
        <w:tc>
          <w:tcPr>
            <w:tcW w:w="726"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302</w:t>
            </w:r>
          </w:p>
        </w:tc>
        <w:tc>
          <w:tcPr>
            <w:tcW w:w="553"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42</w:t>
            </w:r>
          </w:p>
        </w:tc>
        <w:tc>
          <w:tcPr>
            <w:tcW w:w="2777" w:type="dxa"/>
            <w:tcBorders>
              <w:top w:val="nil"/>
              <w:left w:val="nil"/>
              <w:bottom w:val="single" w:color="auto" w:sz="4" w:space="0"/>
              <w:right w:val="single" w:color="auto" w:sz="4" w:space="0"/>
            </w:tcBorders>
            <w:vAlign w:val="center"/>
          </w:tcPr>
          <w:p>
            <w:pPr>
              <w:widowControl/>
              <w:jc w:val="left"/>
              <w:rPr>
                <w:rFonts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办公用品及设备采购</w:t>
            </w:r>
          </w:p>
        </w:tc>
        <w:tc>
          <w:tcPr>
            <w:tcW w:w="1632" w:type="dxa"/>
            <w:tcBorders>
              <w:top w:val="nil"/>
              <w:left w:val="nil"/>
              <w:bottom w:val="single" w:color="auto" w:sz="4" w:space="0"/>
              <w:right w:val="single" w:color="auto" w:sz="4" w:space="0"/>
            </w:tcBorders>
            <w:vAlign w:val="top"/>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6.40</w:t>
            </w:r>
          </w:p>
        </w:tc>
        <w:tc>
          <w:tcPr>
            <w:tcW w:w="1632" w:type="dxa"/>
            <w:tcBorders>
              <w:top w:val="nil"/>
              <w:left w:val="nil"/>
              <w:bottom w:val="single" w:color="auto" w:sz="4" w:space="0"/>
              <w:right w:val="single" w:color="auto" w:sz="4" w:space="0"/>
            </w:tcBorders>
            <w:vAlign w:val="top"/>
          </w:tcPr>
          <w:p>
            <w:pPr>
              <w:widowControl/>
              <w:jc w:val="center"/>
              <w:rPr>
                <w:rFonts w:ascii="宋体" w:hAnsi="宋体" w:eastAsia="宋体" w:cs="宋体"/>
                <w:color w:val="000000"/>
                <w:kern w:val="0"/>
                <w:sz w:val="20"/>
                <w:szCs w:val="20"/>
                <w:lang w:val="en-US" w:eastAsia="zh-CN" w:bidi="ar-SA"/>
              </w:rPr>
            </w:pPr>
          </w:p>
        </w:tc>
        <w:tc>
          <w:tcPr>
            <w:tcW w:w="1640" w:type="dxa"/>
            <w:tcBorders>
              <w:top w:val="nil"/>
              <w:left w:val="nil"/>
              <w:bottom w:val="single" w:color="auto" w:sz="4" w:space="0"/>
              <w:right w:val="single" w:color="auto" w:sz="4" w:space="0"/>
            </w:tcBorders>
            <w:vAlign w:val="top"/>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6.40</w:t>
            </w:r>
          </w:p>
        </w:tc>
      </w:tr>
      <w:tr>
        <w:tblPrEx>
          <w:tblCellMar>
            <w:top w:w="0" w:type="dxa"/>
            <w:left w:w="108" w:type="dxa"/>
            <w:bottom w:w="0" w:type="dxa"/>
            <w:right w:w="108" w:type="dxa"/>
          </w:tblCellMar>
        </w:tblPrEx>
        <w:trPr>
          <w:trHeight w:val="404" w:hRule="atLeast"/>
        </w:trPr>
        <w:tc>
          <w:tcPr>
            <w:tcW w:w="726"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303</w:t>
            </w:r>
          </w:p>
        </w:tc>
        <w:tc>
          <w:tcPr>
            <w:tcW w:w="553"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09</w:t>
            </w:r>
          </w:p>
        </w:tc>
        <w:tc>
          <w:tcPr>
            <w:tcW w:w="2777" w:type="dxa"/>
            <w:tcBorders>
              <w:top w:val="nil"/>
              <w:left w:val="nil"/>
              <w:bottom w:val="single" w:color="auto" w:sz="4" w:space="0"/>
              <w:right w:val="single" w:color="auto" w:sz="4" w:space="0"/>
            </w:tcBorders>
            <w:vAlign w:val="center"/>
          </w:tcPr>
          <w:p>
            <w:pPr>
              <w:widowControl/>
              <w:jc w:val="left"/>
              <w:rPr>
                <w:rFonts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奖励金</w:t>
            </w:r>
          </w:p>
        </w:tc>
        <w:tc>
          <w:tcPr>
            <w:tcW w:w="1632" w:type="dxa"/>
            <w:tcBorders>
              <w:top w:val="nil"/>
              <w:left w:val="nil"/>
              <w:bottom w:val="single" w:color="auto" w:sz="4" w:space="0"/>
              <w:right w:val="single" w:color="auto" w:sz="4" w:space="0"/>
            </w:tcBorders>
            <w:vAlign w:val="top"/>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0.02</w:t>
            </w:r>
          </w:p>
        </w:tc>
        <w:tc>
          <w:tcPr>
            <w:tcW w:w="1632" w:type="dxa"/>
            <w:tcBorders>
              <w:top w:val="nil"/>
              <w:left w:val="nil"/>
              <w:bottom w:val="single" w:color="auto" w:sz="4" w:space="0"/>
              <w:right w:val="single" w:color="auto" w:sz="4" w:space="0"/>
            </w:tcBorders>
            <w:vAlign w:val="top"/>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0.02</w:t>
            </w:r>
          </w:p>
        </w:tc>
        <w:tc>
          <w:tcPr>
            <w:tcW w:w="1640" w:type="dxa"/>
            <w:tcBorders>
              <w:top w:val="nil"/>
              <w:left w:val="nil"/>
              <w:bottom w:val="single" w:color="auto" w:sz="4" w:space="0"/>
              <w:right w:val="single" w:color="auto" w:sz="4" w:space="0"/>
            </w:tcBorders>
            <w:vAlign w:val="top"/>
          </w:tcPr>
          <w:p>
            <w:pPr>
              <w:widowControl/>
              <w:jc w:val="center"/>
              <w:rPr>
                <w:rFonts w:ascii="宋体" w:hAnsi="宋体" w:eastAsia="宋体" w:cs="宋体"/>
                <w:color w:val="000000"/>
                <w:kern w:val="0"/>
                <w:sz w:val="20"/>
                <w:szCs w:val="20"/>
                <w:lang w:val="en-US" w:eastAsia="zh-CN" w:bidi="ar-SA"/>
              </w:rPr>
            </w:pPr>
          </w:p>
        </w:tc>
      </w:tr>
      <w:tr>
        <w:tblPrEx>
          <w:tblCellMar>
            <w:top w:w="0" w:type="dxa"/>
            <w:left w:w="108" w:type="dxa"/>
            <w:bottom w:w="0" w:type="dxa"/>
            <w:right w:w="108" w:type="dxa"/>
          </w:tblCellMar>
        </w:tblPrEx>
        <w:trPr>
          <w:trHeight w:val="404" w:hRule="atLeast"/>
        </w:trPr>
        <w:tc>
          <w:tcPr>
            <w:tcW w:w="726"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301</w:t>
            </w:r>
          </w:p>
        </w:tc>
        <w:tc>
          <w:tcPr>
            <w:tcW w:w="553"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03</w:t>
            </w:r>
          </w:p>
        </w:tc>
        <w:tc>
          <w:tcPr>
            <w:tcW w:w="2777" w:type="dxa"/>
            <w:tcBorders>
              <w:top w:val="nil"/>
              <w:left w:val="nil"/>
              <w:bottom w:val="single" w:color="auto" w:sz="4" w:space="0"/>
              <w:right w:val="single" w:color="auto" w:sz="4" w:space="0"/>
            </w:tcBorders>
            <w:vAlign w:val="center"/>
          </w:tcPr>
          <w:p>
            <w:pPr>
              <w:widowControl/>
              <w:jc w:val="left"/>
              <w:rPr>
                <w:rFonts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奖金</w:t>
            </w:r>
          </w:p>
        </w:tc>
        <w:tc>
          <w:tcPr>
            <w:tcW w:w="1632" w:type="dxa"/>
            <w:tcBorders>
              <w:top w:val="nil"/>
              <w:left w:val="nil"/>
              <w:bottom w:val="single" w:color="auto" w:sz="4" w:space="0"/>
              <w:right w:val="single" w:color="auto" w:sz="4" w:space="0"/>
            </w:tcBorders>
            <w:vAlign w:val="top"/>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5.60</w:t>
            </w:r>
          </w:p>
        </w:tc>
        <w:tc>
          <w:tcPr>
            <w:tcW w:w="1632" w:type="dxa"/>
            <w:tcBorders>
              <w:top w:val="nil"/>
              <w:left w:val="nil"/>
              <w:bottom w:val="single" w:color="auto" w:sz="4" w:space="0"/>
              <w:right w:val="single" w:color="auto" w:sz="4" w:space="0"/>
            </w:tcBorders>
            <w:vAlign w:val="top"/>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5.60</w:t>
            </w:r>
          </w:p>
        </w:tc>
        <w:tc>
          <w:tcPr>
            <w:tcW w:w="1640" w:type="dxa"/>
            <w:tcBorders>
              <w:top w:val="nil"/>
              <w:left w:val="nil"/>
              <w:bottom w:val="single" w:color="auto" w:sz="4" w:space="0"/>
              <w:right w:val="single" w:color="auto" w:sz="4" w:space="0"/>
            </w:tcBorders>
            <w:vAlign w:val="top"/>
          </w:tcPr>
          <w:p>
            <w:pPr>
              <w:widowControl/>
              <w:jc w:val="center"/>
              <w:rPr>
                <w:rFonts w:ascii="宋体" w:hAnsi="宋体" w:eastAsia="宋体" w:cs="宋体"/>
                <w:color w:val="000000"/>
                <w:kern w:val="0"/>
                <w:sz w:val="20"/>
                <w:szCs w:val="20"/>
                <w:lang w:val="en-US" w:eastAsia="zh-CN" w:bidi="ar-SA"/>
              </w:rPr>
            </w:pPr>
          </w:p>
        </w:tc>
      </w:tr>
      <w:tr>
        <w:tblPrEx>
          <w:tblCellMar>
            <w:top w:w="0" w:type="dxa"/>
            <w:left w:w="108" w:type="dxa"/>
            <w:bottom w:w="0" w:type="dxa"/>
            <w:right w:w="108" w:type="dxa"/>
          </w:tblCellMar>
        </w:tblPrEx>
        <w:trPr>
          <w:trHeight w:val="404" w:hRule="atLeast"/>
        </w:trPr>
        <w:tc>
          <w:tcPr>
            <w:tcW w:w="726"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301</w:t>
            </w:r>
          </w:p>
        </w:tc>
        <w:tc>
          <w:tcPr>
            <w:tcW w:w="553"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13</w:t>
            </w:r>
          </w:p>
        </w:tc>
        <w:tc>
          <w:tcPr>
            <w:tcW w:w="2777" w:type="dxa"/>
            <w:tcBorders>
              <w:top w:val="nil"/>
              <w:left w:val="nil"/>
              <w:bottom w:val="single" w:color="auto" w:sz="4" w:space="0"/>
              <w:right w:val="single" w:color="auto" w:sz="4" w:space="0"/>
            </w:tcBorders>
            <w:vAlign w:val="center"/>
          </w:tcPr>
          <w:p>
            <w:pPr>
              <w:widowControl/>
              <w:jc w:val="left"/>
              <w:rPr>
                <w:rFonts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住房公积金</w:t>
            </w:r>
          </w:p>
        </w:tc>
        <w:tc>
          <w:tcPr>
            <w:tcW w:w="1632" w:type="dxa"/>
            <w:tcBorders>
              <w:top w:val="nil"/>
              <w:left w:val="nil"/>
              <w:bottom w:val="single" w:color="auto" w:sz="4" w:space="0"/>
              <w:right w:val="single" w:color="auto" w:sz="4" w:space="0"/>
            </w:tcBorders>
            <w:vAlign w:val="top"/>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16.51</w:t>
            </w:r>
          </w:p>
        </w:tc>
        <w:tc>
          <w:tcPr>
            <w:tcW w:w="1632" w:type="dxa"/>
            <w:tcBorders>
              <w:top w:val="nil"/>
              <w:left w:val="nil"/>
              <w:bottom w:val="single" w:color="auto" w:sz="4" w:space="0"/>
              <w:right w:val="single" w:color="auto" w:sz="4" w:space="0"/>
            </w:tcBorders>
            <w:vAlign w:val="top"/>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16.51</w:t>
            </w:r>
          </w:p>
        </w:tc>
        <w:tc>
          <w:tcPr>
            <w:tcW w:w="1640" w:type="dxa"/>
            <w:tcBorders>
              <w:top w:val="nil"/>
              <w:left w:val="nil"/>
              <w:bottom w:val="single" w:color="auto" w:sz="4" w:space="0"/>
              <w:right w:val="single" w:color="auto" w:sz="4" w:space="0"/>
            </w:tcBorders>
            <w:vAlign w:val="top"/>
          </w:tcPr>
          <w:p>
            <w:pPr>
              <w:widowControl/>
              <w:jc w:val="center"/>
              <w:rPr>
                <w:rFonts w:ascii="宋体" w:hAnsi="宋体" w:eastAsia="宋体" w:cs="宋体"/>
                <w:color w:val="000000"/>
                <w:kern w:val="0"/>
                <w:sz w:val="20"/>
                <w:szCs w:val="20"/>
                <w:lang w:val="en-US" w:eastAsia="zh-CN" w:bidi="ar-SA"/>
              </w:rPr>
            </w:pPr>
          </w:p>
        </w:tc>
      </w:tr>
      <w:tr>
        <w:tblPrEx>
          <w:tblCellMar>
            <w:top w:w="0" w:type="dxa"/>
            <w:left w:w="108" w:type="dxa"/>
            <w:bottom w:w="0" w:type="dxa"/>
            <w:right w:w="108" w:type="dxa"/>
          </w:tblCellMar>
        </w:tblPrEx>
        <w:trPr>
          <w:trHeight w:val="404" w:hRule="atLeast"/>
        </w:trPr>
        <w:tc>
          <w:tcPr>
            <w:tcW w:w="726"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302</w:t>
            </w:r>
          </w:p>
        </w:tc>
        <w:tc>
          <w:tcPr>
            <w:tcW w:w="553"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06</w:t>
            </w:r>
          </w:p>
        </w:tc>
        <w:tc>
          <w:tcPr>
            <w:tcW w:w="2777" w:type="dxa"/>
            <w:tcBorders>
              <w:top w:val="nil"/>
              <w:left w:val="nil"/>
              <w:bottom w:val="single" w:color="auto" w:sz="4" w:space="0"/>
              <w:right w:val="single" w:color="auto" w:sz="4" w:space="0"/>
            </w:tcBorders>
            <w:vAlign w:val="center"/>
          </w:tcPr>
          <w:p>
            <w:pPr>
              <w:widowControl/>
              <w:jc w:val="left"/>
              <w:rPr>
                <w:rFonts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电费</w:t>
            </w:r>
          </w:p>
        </w:tc>
        <w:tc>
          <w:tcPr>
            <w:tcW w:w="1632" w:type="dxa"/>
            <w:tcBorders>
              <w:top w:val="nil"/>
              <w:left w:val="nil"/>
              <w:bottom w:val="single" w:color="auto" w:sz="4" w:space="0"/>
              <w:right w:val="single" w:color="auto" w:sz="4" w:space="0"/>
            </w:tcBorders>
            <w:vAlign w:val="top"/>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1.20</w:t>
            </w:r>
          </w:p>
        </w:tc>
        <w:tc>
          <w:tcPr>
            <w:tcW w:w="1632" w:type="dxa"/>
            <w:tcBorders>
              <w:top w:val="nil"/>
              <w:left w:val="nil"/>
              <w:bottom w:val="single" w:color="auto" w:sz="4" w:space="0"/>
              <w:right w:val="single" w:color="auto" w:sz="4" w:space="0"/>
            </w:tcBorders>
            <w:vAlign w:val="top"/>
          </w:tcPr>
          <w:p>
            <w:pPr>
              <w:widowControl/>
              <w:jc w:val="center"/>
              <w:rPr>
                <w:rFonts w:ascii="宋体" w:hAnsi="宋体" w:eastAsia="宋体" w:cs="宋体"/>
                <w:color w:val="000000"/>
                <w:kern w:val="0"/>
                <w:sz w:val="20"/>
                <w:szCs w:val="20"/>
                <w:lang w:val="en-US" w:eastAsia="zh-CN" w:bidi="ar-SA"/>
              </w:rPr>
            </w:pPr>
          </w:p>
        </w:tc>
        <w:tc>
          <w:tcPr>
            <w:tcW w:w="1640" w:type="dxa"/>
            <w:tcBorders>
              <w:top w:val="nil"/>
              <w:left w:val="nil"/>
              <w:bottom w:val="single" w:color="auto" w:sz="4" w:space="0"/>
              <w:right w:val="single" w:color="auto" w:sz="4" w:space="0"/>
            </w:tcBorders>
            <w:vAlign w:val="top"/>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1.20</w:t>
            </w:r>
          </w:p>
        </w:tc>
      </w:tr>
      <w:tr>
        <w:tblPrEx>
          <w:tblCellMar>
            <w:top w:w="0" w:type="dxa"/>
            <w:left w:w="108" w:type="dxa"/>
            <w:bottom w:w="0" w:type="dxa"/>
            <w:right w:w="108" w:type="dxa"/>
          </w:tblCellMar>
        </w:tblPrEx>
        <w:trPr>
          <w:trHeight w:val="404" w:hRule="atLeast"/>
        </w:trPr>
        <w:tc>
          <w:tcPr>
            <w:tcW w:w="726"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302</w:t>
            </w:r>
          </w:p>
        </w:tc>
        <w:tc>
          <w:tcPr>
            <w:tcW w:w="553"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17</w:t>
            </w:r>
          </w:p>
        </w:tc>
        <w:tc>
          <w:tcPr>
            <w:tcW w:w="2777" w:type="dxa"/>
            <w:tcBorders>
              <w:top w:val="nil"/>
              <w:left w:val="nil"/>
              <w:bottom w:val="single" w:color="auto" w:sz="4" w:space="0"/>
              <w:right w:val="single" w:color="auto" w:sz="4" w:space="0"/>
            </w:tcBorders>
            <w:vAlign w:val="center"/>
          </w:tcPr>
          <w:p>
            <w:pPr>
              <w:widowControl/>
              <w:jc w:val="left"/>
              <w:rPr>
                <w:rFonts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公务接待费</w:t>
            </w:r>
          </w:p>
        </w:tc>
        <w:tc>
          <w:tcPr>
            <w:tcW w:w="1632" w:type="dxa"/>
            <w:tcBorders>
              <w:top w:val="nil"/>
              <w:left w:val="nil"/>
              <w:bottom w:val="single" w:color="auto" w:sz="4" w:space="0"/>
              <w:right w:val="single" w:color="auto" w:sz="4" w:space="0"/>
            </w:tcBorders>
            <w:vAlign w:val="top"/>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0.30</w:t>
            </w:r>
          </w:p>
        </w:tc>
        <w:tc>
          <w:tcPr>
            <w:tcW w:w="1632" w:type="dxa"/>
            <w:tcBorders>
              <w:top w:val="nil"/>
              <w:left w:val="nil"/>
              <w:bottom w:val="single" w:color="auto" w:sz="4" w:space="0"/>
              <w:right w:val="single" w:color="auto" w:sz="4" w:space="0"/>
            </w:tcBorders>
            <w:vAlign w:val="top"/>
          </w:tcPr>
          <w:p>
            <w:pPr>
              <w:widowControl/>
              <w:jc w:val="center"/>
              <w:rPr>
                <w:rFonts w:ascii="宋体" w:hAnsi="宋体" w:eastAsia="宋体" w:cs="宋体"/>
                <w:color w:val="000000"/>
                <w:kern w:val="0"/>
                <w:sz w:val="20"/>
                <w:szCs w:val="20"/>
                <w:lang w:val="en-US" w:eastAsia="zh-CN" w:bidi="ar-SA"/>
              </w:rPr>
            </w:pPr>
          </w:p>
        </w:tc>
        <w:tc>
          <w:tcPr>
            <w:tcW w:w="1640" w:type="dxa"/>
            <w:tcBorders>
              <w:top w:val="nil"/>
              <w:left w:val="nil"/>
              <w:bottom w:val="single" w:color="auto" w:sz="4" w:space="0"/>
              <w:right w:val="single" w:color="auto" w:sz="4" w:space="0"/>
            </w:tcBorders>
            <w:vAlign w:val="top"/>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0.30</w:t>
            </w:r>
          </w:p>
        </w:tc>
      </w:tr>
      <w:tr>
        <w:tblPrEx>
          <w:tblCellMar>
            <w:top w:w="0" w:type="dxa"/>
            <w:left w:w="108" w:type="dxa"/>
            <w:bottom w:w="0" w:type="dxa"/>
            <w:right w:w="108" w:type="dxa"/>
          </w:tblCellMar>
        </w:tblPrEx>
        <w:trPr>
          <w:trHeight w:val="404" w:hRule="atLeast"/>
        </w:trPr>
        <w:tc>
          <w:tcPr>
            <w:tcW w:w="726"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302</w:t>
            </w:r>
          </w:p>
        </w:tc>
        <w:tc>
          <w:tcPr>
            <w:tcW w:w="553"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29</w:t>
            </w:r>
          </w:p>
        </w:tc>
        <w:tc>
          <w:tcPr>
            <w:tcW w:w="2777"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福利费</w:t>
            </w:r>
          </w:p>
        </w:tc>
        <w:tc>
          <w:tcPr>
            <w:tcW w:w="1632" w:type="dxa"/>
            <w:tcBorders>
              <w:top w:val="nil"/>
              <w:left w:val="nil"/>
              <w:bottom w:val="single" w:color="auto" w:sz="4" w:space="0"/>
              <w:right w:val="single" w:color="auto" w:sz="4" w:space="0"/>
            </w:tcBorders>
            <w:vAlign w:val="top"/>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1.75</w:t>
            </w:r>
          </w:p>
        </w:tc>
        <w:tc>
          <w:tcPr>
            <w:tcW w:w="1632" w:type="dxa"/>
            <w:tcBorders>
              <w:top w:val="nil"/>
              <w:left w:val="nil"/>
              <w:bottom w:val="single" w:color="auto" w:sz="4" w:space="0"/>
              <w:right w:val="single" w:color="auto" w:sz="4" w:space="0"/>
            </w:tcBorders>
            <w:vAlign w:val="top"/>
          </w:tcPr>
          <w:p>
            <w:pPr>
              <w:widowControl/>
              <w:jc w:val="center"/>
              <w:rPr>
                <w:rFonts w:hint="eastAsia" w:ascii="宋体" w:hAnsi="宋体" w:eastAsia="宋体" w:cs="宋体"/>
                <w:color w:val="000000"/>
                <w:kern w:val="0"/>
                <w:sz w:val="20"/>
                <w:szCs w:val="20"/>
                <w:lang w:val="en-US" w:eastAsia="zh-CN" w:bidi="ar-SA"/>
              </w:rPr>
            </w:pPr>
          </w:p>
        </w:tc>
        <w:tc>
          <w:tcPr>
            <w:tcW w:w="1640" w:type="dxa"/>
            <w:tcBorders>
              <w:top w:val="nil"/>
              <w:left w:val="nil"/>
              <w:bottom w:val="single" w:color="auto" w:sz="4" w:space="0"/>
              <w:right w:val="single" w:color="auto" w:sz="4" w:space="0"/>
            </w:tcBorders>
            <w:vAlign w:val="top"/>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1.75</w:t>
            </w:r>
          </w:p>
        </w:tc>
      </w:tr>
      <w:tr>
        <w:tblPrEx>
          <w:tblCellMar>
            <w:top w:w="0" w:type="dxa"/>
            <w:left w:w="108" w:type="dxa"/>
            <w:bottom w:w="0" w:type="dxa"/>
            <w:right w:w="108" w:type="dxa"/>
          </w:tblCellMar>
        </w:tblPrEx>
        <w:trPr>
          <w:trHeight w:val="404" w:hRule="atLeast"/>
        </w:trPr>
        <w:tc>
          <w:tcPr>
            <w:tcW w:w="726"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302</w:t>
            </w:r>
          </w:p>
        </w:tc>
        <w:tc>
          <w:tcPr>
            <w:tcW w:w="553"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01</w:t>
            </w:r>
          </w:p>
        </w:tc>
        <w:tc>
          <w:tcPr>
            <w:tcW w:w="2777"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办公费</w:t>
            </w:r>
          </w:p>
        </w:tc>
        <w:tc>
          <w:tcPr>
            <w:tcW w:w="1632" w:type="dxa"/>
            <w:tcBorders>
              <w:top w:val="nil"/>
              <w:left w:val="nil"/>
              <w:bottom w:val="single" w:color="auto" w:sz="4" w:space="0"/>
              <w:right w:val="single" w:color="auto" w:sz="4" w:space="0"/>
            </w:tcBorders>
            <w:vAlign w:val="top"/>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2.00</w:t>
            </w:r>
          </w:p>
        </w:tc>
        <w:tc>
          <w:tcPr>
            <w:tcW w:w="1632" w:type="dxa"/>
            <w:tcBorders>
              <w:top w:val="nil"/>
              <w:left w:val="nil"/>
              <w:bottom w:val="single" w:color="auto" w:sz="4" w:space="0"/>
              <w:right w:val="single" w:color="auto" w:sz="4" w:space="0"/>
            </w:tcBorders>
            <w:vAlign w:val="top"/>
          </w:tcPr>
          <w:p>
            <w:pPr>
              <w:widowControl/>
              <w:jc w:val="center"/>
              <w:rPr>
                <w:rFonts w:hint="eastAsia" w:ascii="宋体" w:hAnsi="宋体" w:eastAsia="宋体" w:cs="宋体"/>
                <w:color w:val="000000"/>
                <w:kern w:val="0"/>
                <w:sz w:val="20"/>
                <w:szCs w:val="20"/>
                <w:lang w:val="en-US" w:eastAsia="zh-CN" w:bidi="ar-SA"/>
              </w:rPr>
            </w:pPr>
          </w:p>
        </w:tc>
        <w:tc>
          <w:tcPr>
            <w:tcW w:w="1640" w:type="dxa"/>
            <w:tcBorders>
              <w:top w:val="nil"/>
              <w:left w:val="nil"/>
              <w:bottom w:val="single" w:color="auto" w:sz="4" w:space="0"/>
              <w:right w:val="single" w:color="auto" w:sz="4" w:space="0"/>
            </w:tcBorders>
            <w:vAlign w:val="top"/>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2.00</w:t>
            </w:r>
          </w:p>
        </w:tc>
      </w:tr>
      <w:tr>
        <w:tblPrEx>
          <w:tblCellMar>
            <w:top w:w="0" w:type="dxa"/>
            <w:left w:w="108" w:type="dxa"/>
            <w:bottom w:w="0" w:type="dxa"/>
            <w:right w:w="108" w:type="dxa"/>
          </w:tblCellMar>
        </w:tblPrEx>
        <w:trPr>
          <w:trHeight w:val="440" w:hRule="atLeast"/>
        </w:trPr>
        <w:tc>
          <w:tcPr>
            <w:tcW w:w="726"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bidi="ar-SA"/>
              </w:rPr>
            </w:pPr>
          </w:p>
        </w:tc>
        <w:tc>
          <w:tcPr>
            <w:tcW w:w="553"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　</w:t>
            </w:r>
          </w:p>
        </w:tc>
        <w:tc>
          <w:tcPr>
            <w:tcW w:w="2777" w:type="dxa"/>
            <w:tcBorders>
              <w:top w:val="nil"/>
              <w:left w:val="nil"/>
              <w:bottom w:val="single" w:color="auto" w:sz="4" w:space="0"/>
              <w:right w:val="single" w:color="auto" w:sz="4" w:space="0"/>
            </w:tcBorders>
            <w:vAlign w:val="center"/>
          </w:tcPr>
          <w:p>
            <w:pPr>
              <w:widowControl/>
              <w:jc w:val="center"/>
              <w:rPr>
                <w:rFonts w:ascii="宋体" w:hAnsi="宋体" w:eastAsia="宋体" w:cs="宋体"/>
                <w:color w:val="000000"/>
                <w:kern w:val="0"/>
                <w:sz w:val="20"/>
                <w:szCs w:val="20"/>
                <w:lang w:val="en-US" w:eastAsia="zh-CN" w:bidi="ar-SA"/>
              </w:rPr>
            </w:pPr>
            <w:r>
              <w:rPr>
                <w:rFonts w:hint="eastAsia" w:ascii="宋体" w:hAnsi="宋体" w:cs="宋体"/>
                <w:b/>
                <w:bCs/>
                <w:color w:val="000000"/>
                <w:kern w:val="0"/>
                <w:sz w:val="20"/>
                <w:szCs w:val="20"/>
              </w:rPr>
              <w:t>合  计</w:t>
            </w:r>
          </w:p>
        </w:tc>
        <w:tc>
          <w:tcPr>
            <w:tcW w:w="1632" w:type="dxa"/>
            <w:tcBorders>
              <w:top w:val="nil"/>
              <w:left w:val="nil"/>
              <w:bottom w:val="single" w:color="auto" w:sz="4" w:space="0"/>
              <w:right w:val="single" w:color="auto" w:sz="4" w:space="0"/>
            </w:tcBorders>
            <w:vAlign w:val="top"/>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229.35</w:t>
            </w:r>
          </w:p>
        </w:tc>
        <w:tc>
          <w:tcPr>
            <w:tcW w:w="1632" w:type="dxa"/>
            <w:tcBorders>
              <w:top w:val="nil"/>
              <w:left w:val="nil"/>
              <w:bottom w:val="single" w:color="auto" w:sz="4" w:space="0"/>
              <w:right w:val="single" w:color="auto" w:sz="4" w:space="0"/>
            </w:tcBorders>
            <w:vAlign w:val="top"/>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211.62</w:t>
            </w:r>
          </w:p>
        </w:tc>
        <w:tc>
          <w:tcPr>
            <w:tcW w:w="1640" w:type="dxa"/>
            <w:tcBorders>
              <w:top w:val="nil"/>
              <w:left w:val="nil"/>
              <w:bottom w:val="single" w:color="auto" w:sz="4" w:space="0"/>
              <w:right w:val="single" w:color="auto" w:sz="4" w:space="0"/>
            </w:tcBorders>
            <w:vAlign w:val="top"/>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17.73</w:t>
            </w:r>
          </w:p>
        </w:tc>
      </w:tr>
    </w:tbl>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540" w:type="dxa"/>
        <w:tblInd w:w="-360" w:type="dxa"/>
        <w:tblLayout w:type="fixed"/>
        <w:tblCellMar>
          <w:top w:w="0" w:type="dxa"/>
          <w:left w:w="108" w:type="dxa"/>
          <w:bottom w:w="0" w:type="dxa"/>
          <w:right w:w="108" w:type="dxa"/>
        </w:tblCellMar>
      </w:tblPr>
      <w:tblGrid>
        <w:gridCol w:w="8"/>
        <w:gridCol w:w="389"/>
        <w:gridCol w:w="397"/>
        <w:gridCol w:w="397"/>
        <w:gridCol w:w="851"/>
        <w:gridCol w:w="1456"/>
        <w:gridCol w:w="750"/>
        <w:gridCol w:w="569"/>
        <w:gridCol w:w="536"/>
        <w:gridCol w:w="652"/>
        <w:gridCol w:w="652"/>
        <w:gridCol w:w="578"/>
        <w:gridCol w:w="419"/>
        <w:gridCol w:w="578"/>
        <w:gridCol w:w="420"/>
        <w:gridCol w:w="420"/>
        <w:gridCol w:w="389"/>
        <w:gridCol w:w="79"/>
      </w:tblGrid>
      <w:tr>
        <w:tblPrEx>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6"/>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CellMar>
            <w:top w:w="0" w:type="dxa"/>
            <w:left w:w="108" w:type="dxa"/>
            <w:bottom w:w="0" w:type="dxa"/>
            <w:right w:w="108" w:type="dxa"/>
          </w:tblCellMar>
        </w:tblPrEx>
        <w:trPr>
          <w:gridBefore w:val="1"/>
          <w:gridAfter w:val="1"/>
          <w:wBefore w:w="8" w:type="dxa"/>
          <w:wAfter w:w="79" w:type="dxa"/>
          <w:trHeight w:val="405" w:hRule="atLeast"/>
        </w:trPr>
        <w:tc>
          <w:tcPr>
            <w:tcW w:w="9453" w:type="dxa"/>
            <w:gridSpan w:val="16"/>
            <w:tcBorders>
              <w:top w:val="nil"/>
              <w:left w:val="nil"/>
              <w:bottom w:val="nil"/>
              <w:right w:val="nil"/>
            </w:tcBorders>
            <w:vAlign w:val="center"/>
          </w:tcPr>
          <w:p>
            <w:pPr>
              <w:widowControl/>
              <w:ind w:right="-5326" w:rightChars="-2536"/>
              <w:jc w:val="left"/>
              <w:rPr>
                <w:rFonts w:hint="eastAsia" w:ascii="仿宋_GB2312" w:hAnsi="宋体" w:eastAsia="仿宋_GB2312"/>
                <w:kern w:val="0"/>
                <w:szCs w:val="21"/>
                <w:lang w:eastAsia="zh-CN"/>
              </w:rPr>
            </w:pPr>
            <w:r>
              <w:rPr>
                <w:rFonts w:hint="eastAsia" w:ascii="仿宋_GB2312" w:hAnsi="宋体" w:eastAsia="仿宋_GB2312"/>
                <w:kern w:val="0"/>
                <w:szCs w:val="21"/>
                <w:lang w:eastAsia="zh-CN"/>
              </w:rPr>
              <w:t xml:space="preserve">编制部门（单位）：克孜勒苏柯尔克孜自治州政务服务和公共资源交易中心   </w:t>
            </w:r>
            <w:r>
              <w:rPr>
                <w:rFonts w:hint="eastAsia" w:ascii="仿宋_GB2312" w:hAnsi="宋体" w:eastAsia="仿宋_GB2312"/>
                <w:kern w:val="0"/>
                <w:szCs w:val="21"/>
                <w:lang w:val="en-US" w:eastAsia="zh-CN"/>
              </w:rPr>
              <w:t xml:space="preserve">      </w:t>
            </w:r>
            <w:r>
              <w:rPr>
                <w:rFonts w:hint="eastAsia" w:ascii="仿宋_GB2312" w:hAnsi="宋体" w:eastAsia="仿宋_GB2312"/>
                <w:kern w:val="0"/>
                <w:szCs w:val="21"/>
                <w:lang w:eastAsia="zh-CN"/>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91"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397"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397" w:type="dxa"/>
            <w:gridSpan w:val="2"/>
            <w:tcBorders>
              <w:bottom w:val="single" w:color="auto" w:sz="4" w:space="0"/>
            </w:tcBorders>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201</w:t>
            </w:r>
          </w:p>
        </w:tc>
        <w:tc>
          <w:tcPr>
            <w:tcW w:w="397" w:type="dxa"/>
            <w:tcBorders>
              <w:bottom w:val="single" w:color="auto" w:sz="4" w:space="0"/>
            </w:tcBorders>
            <w:vAlign w:val="center"/>
          </w:tcPr>
          <w:p>
            <w:pPr>
              <w:widowControl/>
              <w:jc w:val="center"/>
              <w:rPr>
                <w:rFonts w:hint="eastAsia" w:ascii="宋体" w:hAnsi="宋体" w:cs="宋体"/>
                <w:color w:val="000000"/>
                <w:kern w:val="0"/>
                <w:sz w:val="20"/>
                <w:szCs w:val="20"/>
                <w:lang w:val="en-US" w:eastAsia="zh-CN"/>
              </w:rPr>
            </w:pPr>
          </w:p>
        </w:tc>
        <w:tc>
          <w:tcPr>
            <w:tcW w:w="397" w:type="dxa"/>
            <w:tcBorders>
              <w:bottom w:val="single" w:color="auto" w:sz="4" w:space="0"/>
            </w:tcBorders>
            <w:vAlign w:val="center"/>
          </w:tcPr>
          <w:p>
            <w:pPr>
              <w:widowControl/>
              <w:jc w:val="center"/>
              <w:rPr>
                <w:rFonts w:hint="eastAsia" w:ascii="宋体" w:hAnsi="宋体" w:cs="宋体"/>
                <w:color w:val="000000"/>
                <w:kern w:val="0"/>
                <w:sz w:val="20"/>
                <w:szCs w:val="20"/>
                <w:lang w:val="en-US" w:eastAsia="zh-CN"/>
              </w:rPr>
            </w:pPr>
          </w:p>
        </w:tc>
        <w:tc>
          <w:tcPr>
            <w:tcW w:w="851" w:type="dxa"/>
            <w:tcBorders>
              <w:bottom w:val="single" w:color="auto" w:sz="4" w:space="0"/>
            </w:tcBorders>
            <w:vAlign w:val="center"/>
          </w:tcPr>
          <w:p>
            <w:pPr>
              <w:widowControl/>
              <w:jc w:val="center"/>
              <w:outlineLvl w:val="1"/>
              <w:rPr>
                <w:rFonts w:hint="eastAsia" w:ascii="仿宋_GB2312" w:hAnsi="宋体" w:eastAsia="仿宋_GB2312"/>
                <w:kern w:val="0"/>
                <w:sz w:val="13"/>
                <w:szCs w:val="13"/>
              </w:rPr>
            </w:pPr>
            <w:r>
              <w:rPr>
                <w:rFonts w:hint="eastAsia" w:ascii="仿宋_GB2312" w:hAnsi="宋体" w:eastAsia="仿宋_GB2312"/>
                <w:kern w:val="0"/>
                <w:sz w:val="13"/>
                <w:szCs w:val="13"/>
              </w:rPr>
              <w:t>一般公共服务支出务支出</w:t>
            </w:r>
          </w:p>
        </w:tc>
        <w:tc>
          <w:tcPr>
            <w:tcW w:w="1456" w:type="dxa"/>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tcBorders>
              <w:bottom w:val="single" w:color="auto" w:sz="4" w:space="0"/>
            </w:tcBorders>
          </w:tcPr>
          <w:p>
            <w:pPr>
              <w:widowControl/>
              <w:jc w:val="left"/>
              <w:outlineLvl w:val="1"/>
              <w:rPr>
                <w:rFonts w:hint="default" w:ascii="仿宋_GB2312" w:hAnsi="宋体" w:eastAsia="仿宋_GB2312"/>
                <w:kern w:val="0"/>
                <w:sz w:val="24"/>
                <w:szCs w:val="24"/>
                <w:lang w:val="en-US" w:eastAsia="zh-CN"/>
              </w:rPr>
            </w:pPr>
            <w:r>
              <w:rPr>
                <w:rFonts w:hint="eastAsia" w:ascii="仿宋_GB2312" w:hAnsi="宋体" w:eastAsia="仿宋_GB2312"/>
                <w:kern w:val="0"/>
                <w:sz w:val="24"/>
                <w:szCs w:val="24"/>
                <w:lang w:val="en-US" w:eastAsia="zh-CN"/>
              </w:rPr>
              <w:t>25.32</w:t>
            </w:r>
          </w:p>
        </w:tc>
        <w:tc>
          <w:tcPr>
            <w:tcW w:w="569" w:type="dxa"/>
            <w:tcBorders>
              <w:bottom w:val="single" w:color="auto" w:sz="4" w:space="0"/>
            </w:tcBorders>
          </w:tcPr>
          <w:p>
            <w:pPr>
              <w:widowControl/>
              <w:jc w:val="left"/>
              <w:outlineLvl w:val="1"/>
              <w:rPr>
                <w:rFonts w:hint="eastAsia" w:ascii="仿宋_GB2312" w:hAnsi="宋体" w:eastAsia="仿宋_GB2312"/>
                <w:kern w:val="0"/>
                <w:sz w:val="24"/>
                <w:szCs w:val="24"/>
                <w:lang w:val="en-US" w:eastAsia="zh-CN"/>
              </w:rPr>
            </w:pPr>
          </w:p>
        </w:tc>
        <w:tc>
          <w:tcPr>
            <w:tcW w:w="536" w:type="dxa"/>
            <w:tcBorders>
              <w:bottom w:val="single" w:color="auto" w:sz="4" w:space="0"/>
            </w:tcBorders>
          </w:tcPr>
          <w:p>
            <w:pPr>
              <w:widowControl/>
              <w:jc w:val="left"/>
              <w:outlineLvl w:val="1"/>
              <w:rPr>
                <w:rFonts w:hint="default" w:ascii="仿宋_GB2312" w:hAnsi="宋体" w:eastAsia="仿宋_GB2312"/>
                <w:kern w:val="0"/>
                <w:sz w:val="24"/>
                <w:szCs w:val="24"/>
                <w:lang w:val="en-US" w:eastAsia="zh-CN"/>
              </w:rPr>
            </w:pPr>
            <w:r>
              <w:rPr>
                <w:rFonts w:hint="eastAsia" w:ascii="仿宋_GB2312" w:hAnsi="宋体" w:eastAsia="仿宋_GB2312"/>
                <w:kern w:val="0"/>
                <w:sz w:val="24"/>
                <w:szCs w:val="24"/>
                <w:lang w:val="en-US" w:eastAsia="zh-CN"/>
              </w:rPr>
              <w:t>25.32</w:t>
            </w:r>
          </w:p>
        </w:tc>
        <w:tc>
          <w:tcPr>
            <w:tcW w:w="652" w:type="dxa"/>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397" w:type="dxa"/>
            <w:gridSpan w:val="2"/>
            <w:tcBorders>
              <w:bottom w:val="single" w:color="auto" w:sz="4" w:space="0"/>
            </w:tcBorders>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201</w:t>
            </w:r>
          </w:p>
        </w:tc>
        <w:tc>
          <w:tcPr>
            <w:tcW w:w="397" w:type="dxa"/>
            <w:tcBorders>
              <w:bottom w:val="single" w:color="auto" w:sz="4" w:space="0"/>
            </w:tcBorders>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03</w:t>
            </w:r>
          </w:p>
        </w:tc>
        <w:tc>
          <w:tcPr>
            <w:tcW w:w="397" w:type="dxa"/>
            <w:tcBorders>
              <w:bottom w:val="single" w:color="auto" w:sz="4" w:space="0"/>
            </w:tcBorders>
            <w:vAlign w:val="center"/>
          </w:tcPr>
          <w:p>
            <w:pPr>
              <w:widowControl/>
              <w:jc w:val="center"/>
              <w:rPr>
                <w:rFonts w:hint="eastAsia" w:ascii="宋体" w:hAnsi="宋体" w:cs="宋体"/>
                <w:color w:val="000000"/>
                <w:kern w:val="0"/>
                <w:sz w:val="20"/>
                <w:szCs w:val="20"/>
                <w:lang w:val="en-US" w:eastAsia="zh-CN"/>
              </w:rPr>
            </w:pPr>
          </w:p>
        </w:tc>
        <w:tc>
          <w:tcPr>
            <w:tcW w:w="851" w:type="dxa"/>
            <w:tcBorders>
              <w:bottom w:val="single" w:color="auto" w:sz="4" w:space="0"/>
            </w:tcBorders>
            <w:vAlign w:val="center"/>
          </w:tcPr>
          <w:p>
            <w:pPr>
              <w:widowControl/>
              <w:jc w:val="center"/>
              <w:outlineLvl w:val="1"/>
              <w:rPr>
                <w:rFonts w:hint="eastAsia" w:ascii="仿宋_GB2312" w:hAnsi="宋体" w:eastAsia="仿宋_GB2312"/>
                <w:kern w:val="0"/>
                <w:sz w:val="13"/>
                <w:szCs w:val="13"/>
              </w:rPr>
            </w:pPr>
            <w:r>
              <w:rPr>
                <w:rFonts w:hint="eastAsia" w:ascii="仿宋_GB2312" w:hAnsi="宋体" w:eastAsia="仿宋_GB2312"/>
                <w:kern w:val="0"/>
                <w:sz w:val="13"/>
                <w:szCs w:val="13"/>
              </w:rPr>
              <w:t>政府办公厅（室）及相关机构事务</w:t>
            </w:r>
          </w:p>
        </w:tc>
        <w:tc>
          <w:tcPr>
            <w:tcW w:w="1456" w:type="dxa"/>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tcBorders>
              <w:bottom w:val="single" w:color="auto" w:sz="4" w:space="0"/>
            </w:tcBorders>
          </w:tcPr>
          <w:p>
            <w:pPr>
              <w:widowControl/>
              <w:jc w:val="left"/>
              <w:outlineLvl w:val="1"/>
              <w:rPr>
                <w:rFonts w:hint="default" w:ascii="仿宋_GB2312" w:hAnsi="宋体" w:eastAsia="仿宋_GB2312"/>
                <w:kern w:val="0"/>
                <w:sz w:val="24"/>
                <w:szCs w:val="24"/>
                <w:lang w:val="en-US" w:eastAsia="zh-CN"/>
              </w:rPr>
            </w:pPr>
            <w:r>
              <w:rPr>
                <w:rFonts w:hint="eastAsia" w:ascii="仿宋_GB2312" w:hAnsi="宋体" w:eastAsia="仿宋_GB2312"/>
                <w:kern w:val="0"/>
                <w:sz w:val="24"/>
                <w:szCs w:val="24"/>
                <w:lang w:val="en-US" w:eastAsia="zh-CN"/>
              </w:rPr>
              <w:t>25.32</w:t>
            </w:r>
          </w:p>
        </w:tc>
        <w:tc>
          <w:tcPr>
            <w:tcW w:w="569" w:type="dxa"/>
            <w:tcBorders>
              <w:bottom w:val="single" w:color="auto" w:sz="4" w:space="0"/>
            </w:tcBorders>
          </w:tcPr>
          <w:p>
            <w:pPr>
              <w:widowControl/>
              <w:jc w:val="left"/>
              <w:outlineLvl w:val="1"/>
              <w:rPr>
                <w:rFonts w:hint="eastAsia" w:ascii="仿宋_GB2312" w:hAnsi="宋体" w:eastAsia="仿宋_GB2312"/>
                <w:kern w:val="0"/>
                <w:sz w:val="24"/>
                <w:szCs w:val="24"/>
                <w:lang w:val="en-US" w:eastAsia="zh-CN"/>
              </w:rPr>
            </w:pPr>
          </w:p>
        </w:tc>
        <w:tc>
          <w:tcPr>
            <w:tcW w:w="536" w:type="dxa"/>
            <w:tcBorders>
              <w:bottom w:val="single" w:color="auto" w:sz="4" w:space="0"/>
            </w:tcBorders>
          </w:tcPr>
          <w:p>
            <w:pPr>
              <w:widowControl/>
              <w:jc w:val="left"/>
              <w:outlineLvl w:val="1"/>
              <w:rPr>
                <w:rFonts w:hint="default" w:ascii="仿宋_GB2312" w:hAnsi="宋体" w:eastAsia="仿宋_GB2312"/>
                <w:kern w:val="0"/>
                <w:sz w:val="24"/>
                <w:szCs w:val="24"/>
                <w:lang w:val="en-US" w:eastAsia="zh-CN"/>
              </w:rPr>
            </w:pPr>
            <w:r>
              <w:rPr>
                <w:rFonts w:hint="eastAsia" w:ascii="仿宋_GB2312" w:hAnsi="宋体" w:eastAsia="仿宋_GB2312"/>
                <w:kern w:val="0"/>
                <w:sz w:val="24"/>
                <w:szCs w:val="24"/>
                <w:lang w:val="en-US" w:eastAsia="zh-CN"/>
              </w:rPr>
              <w:t>25.32</w:t>
            </w:r>
          </w:p>
        </w:tc>
        <w:tc>
          <w:tcPr>
            <w:tcW w:w="652" w:type="dxa"/>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top"/>
          </w:tcPr>
          <w:p>
            <w:pPr>
              <w:widowControl/>
              <w:jc w:val="center"/>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201　</w:t>
            </w:r>
          </w:p>
        </w:tc>
        <w:tc>
          <w:tcPr>
            <w:tcW w:w="397" w:type="dxa"/>
            <w:vAlign w:val="top"/>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03　</w:t>
            </w:r>
          </w:p>
        </w:tc>
        <w:tc>
          <w:tcPr>
            <w:tcW w:w="397" w:type="dxa"/>
            <w:vAlign w:val="top"/>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99　</w:t>
            </w:r>
          </w:p>
        </w:tc>
        <w:tc>
          <w:tcPr>
            <w:tcW w:w="851" w:type="dxa"/>
            <w:vAlign w:val="top"/>
          </w:tcPr>
          <w:p>
            <w:pPr>
              <w:widowControl/>
              <w:jc w:val="center"/>
              <w:outlineLvl w:val="1"/>
              <w:rPr>
                <w:rFonts w:ascii="仿宋_GB2312" w:hAnsi="宋体" w:eastAsia="仿宋_GB2312" w:cs="Times New Roman"/>
                <w:kern w:val="0"/>
                <w:sz w:val="11"/>
                <w:szCs w:val="11"/>
                <w:lang w:val="en-US" w:eastAsia="zh-CN" w:bidi="ar-SA"/>
              </w:rPr>
            </w:pPr>
            <w:r>
              <w:rPr>
                <w:rFonts w:hint="eastAsia" w:ascii="仿宋_GB2312" w:hAnsi="宋体" w:eastAsia="仿宋_GB2312"/>
                <w:kern w:val="0"/>
                <w:sz w:val="13"/>
                <w:szCs w:val="13"/>
              </w:rPr>
              <w:t>其他政府办公厅（室）及相关机构事务支出</w:t>
            </w:r>
          </w:p>
        </w:tc>
        <w:tc>
          <w:tcPr>
            <w:tcW w:w="1456" w:type="dxa"/>
            <w:vAlign w:val="top"/>
          </w:tcPr>
          <w:p>
            <w:pPr>
              <w:widowControl/>
              <w:jc w:val="left"/>
              <w:outlineLvl w:val="1"/>
              <w:rPr>
                <w:rFonts w:ascii="仿宋_GB2312" w:hAnsi="宋体" w:eastAsia="仿宋_GB2312" w:cs="Times New Roman"/>
                <w:kern w:val="0"/>
                <w:sz w:val="32"/>
                <w:szCs w:val="32"/>
                <w:lang w:val="en-US" w:eastAsia="zh-CN" w:bidi="ar-SA"/>
              </w:rPr>
            </w:pPr>
            <w:r>
              <w:rPr>
                <w:rFonts w:hint="eastAsia" w:ascii="仿宋_GB2312" w:hAnsi="宋体" w:eastAsia="仿宋_GB2312"/>
                <w:kern w:val="0"/>
                <w:sz w:val="28"/>
                <w:szCs w:val="28"/>
              </w:rPr>
              <w:t>业务经费</w:t>
            </w:r>
          </w:p>
        </w:tc>
        <w:tc>
          <w:tcPr>
            <w:tcW w:w="750" w:type="dxa"/>
            <w:vAlign w:val="top"/>
          </w:tcPr>
          <w:p>
            <w:pPr>
              <w:widowControl/>
              <w:jc w:val="left"/>
              <w:outlineLvl w:val="1"/>
              <w:rPr>
                <w:rFonts w:hint="default" w:ascii="仿宋_GB2312" w:hAnsi="宋体" w:eastAsia="仿宋_GB2312" w:cs="Times New Roman"/>
                <w:kern w:val="0"/>
                <w:sz w:val="24"/>
                <w:szCs w:val="24"/>
                <w:lang w:val="en-US" w:eastAsia="zh-CN" w:bidi="ar-SA"/>
              </w:rPr>
            </w:pPr>
            <w:r>
              <w:rPr>
                <w:rFonts w:hint="eastAsia" w:ascii="仿宋_GB2312" w:hAnsi="宋体" w:eastAsia="仿宋_GB2312"/>
                <w:kern w:val="0"/>
                <w:sz w:val="24"/>
                <w:szCs w:val="24"/>
                <w:lang w:val="en-US" w:eastAsia="zh-CN"/>
              </w:rPr>
              <w:t>25.3</w:t>
            </w:r>
          </w:p>
        </w:tc>
        <w:tc>
          <w:tcPr>
            <w:tcW w:w="569" w:type="dxa"/>
            <w:vAlign w:val="top"/>
          </w:tcPr>
          <w:p>
            <w:pPr>
              <w:widowControl/>
              <w:jc w:val="left"/>
              <w:outlineLvl w:val="1"/>
              <w:rPr>
                <w:rFonts w:ascii="仿宋_GB2312" w:hAnsi="宋体" w:eastAsia="仿宋_GB2312" w:cs="Times New Roman"/>
                <w:kern w:val="0"/>
                <w:sz w:val="32"/>
                <w:szCs w:val="32"/>
                <w:lang w:val="en-US" w:eastAsia="zh-CN" w:bidi="ar-SA"/>
              </w:rPr>
            </w:pPr>
            <w:r>
              <w:rPr>
                <w:rFonts w:hint="eastAsia" w:ascii="仿宋_GB2312" w:hAnsi="宋体" w:eastAsia="仿宋_GB2312"/>
                <w:kern w:val="0"/>
                <w:sz w:val="32"/>
                <w:szCs w:val="32"/>
              </w:rPr>
              <w:t>　</w:t>
            </w:r>
          </w:p>
        </w:tc>
        <w:tc>
          <w:tcPr>
            <w:tcW w:w="536" w:type="dxa"/>
            <w:vAlign w:val="top"/>
          </w:tcPr>
          <w:p>
            <w:pPr>
              <w:widowControl/>
              <w:jc w:val="left"/>
              <w:outlineLvl w:val="1"/>
              <w:rPr>
                <w:rFonts w:ascii="仿宋_GB2312" w:hAnsi="宋体" w:eastAsia="仿宋_GB2312" w:cs="Times New Roman"/>
                <w:kern w:val="0"/>
                <w:sz w:val="24"/>
                <w:szCs w:val="24"/>
                <w:lang w:val="en-US" w:eastAsia="zh-CN" w:bidi="ar-SA"/>
              </w:rPr>
            </w:pPr>
            <w:r>
              <w:rPr>
                <w:rFonts w:hint="eastAsia" w:ascii="仿宋_GB2312" w:hAnsi="宋体" w:eastAsia="仿宋_GB2312"/>
                <w:kern w:val="0"/>
                <w:sz w:val="24"/>
                <w:szCs w:val="24"/>
                <w:lang w:val="en-US" w:eastAsia="zh-CN"/>
              </w:rPr>
              <w:t>25.3</w:t>
            </w:r>
            <w:r>
              <w:rPr>
                <w:rFonts w:hint="eastAsia" w:ascii="仿宋_GB2312" w:hAnsi="宋体" w:eastAsia="仿宋_GB2312"/>
                <w:kern w:val="0"/>
                <w:sz w:val="24"/>
                <w:szCs w:val="24"/>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750" w:type="dxa"/>
            <w:vAlign w:val="center"/>
          </w:tcPr>
          <w:p>
            <w:pPr>
              <w:widowControl/>
              <w:jc w:val="center"/>
              <w:outlineLvl w:val="1"/>
              <w:rPr>
                <w:rFonts w:hint="default" w:ascii="仿宋_GB2312" w:hAnsi="宋体" w:eastAsia="仿宋_GB2312" w:cs="Times New Roman"/>
                <w:kern w:val="0"/>
                <w:sz w:val="21"/>
                <w:szCs w:val="21"/>
                <w:lang w:val="en-US" w:eastAsia="zh-CN" w:bidi="ar-SA"/>
              </w:rPr>
            </w:pPr>
            <w:r>
              <w:rPr>
                <w:rFonts w:hint="eastAsia" w:ascii="仿宋_GB2312" w:hAnsi="宋体" w:eastAsia="仿宋_GB2312"/>
                <w:kern w:val="0"/>
                <w:szCs w:val="21"/>
                <w:lang w:val="en-US" w:eastAsia="zh-CN"/>
              </w:rPr>
              <w:t>25.32</w:t>
            </w:r>
          </w:p>
        </w:tc>
        <w:tc>
          <w:tcPr>
            <w:tcW w:w="569" w:type="dxa"/>
            <w:vAlign w:val="top"/>
          </w:tcPr>
          <w:p>
            <w:pPr>
              <w:widowControl/>
              <w:jc w:val="left"/>
              <w:outlineLvl w:val="1"/>
              <w:rPr>
                <w:rFonts w:ascii="仿宋_GB2312" w:hAnsi="宋体" w:eastAsia="仿宋_GB2312" w:cs="Times New Roman"/>
                <w:kern w:val="0"/>
                <w:sz w:val="32"/>
                <w:szCs w:val="32"/>
                <w:lang w:val="en-US" w:eastAsia="zh-CN" w:bidi="ar-SA"/>
              </w:rPr>
            </w:pPr>
            <w:r>
              <w:rPr>
                <w:rFonts w:hint="eastAsia" w:ascii="仿宋_GB2312" w:hAnsi="宋体" w:eastAsia="仿宋_GB2312"/>
                <w:kern w:val="0"/>
                <w:sz w:val="32"/>
                <w:szCs w:val="32"/>
              </w:rPr>
              <w:t>　</w:t>
            </w:r>
          </w:p>
        </w:tc>
        <w:tc>
          <w:tcPr>
            <w:tcW w:w="536" w:type="dxa"/>
            <w:vAlign w:val="top"/>
          </w:tcPr>
          <w:p>
            <w:pPr>
              <w:widowControl/>
              <w:jc w:val="center"/>
              <w:outlineLvl w:val="1"/>
              <w:rPr>
                <w:rFonts w:hint="eastAsia" w:ascii="仿宋_GB2312" w:hAnsi="宋体" w:eastAsia="仿宋_GB2312" w:cs="Times New Roman"/>
                <w:kern w:val="0"/>
                <w:sz w:val="21"/>
                <w:szCs w:val="21"/>
                <w:lang w:val="en-US" w:eastAsia="zh-CN" w:bidi="ar-SA"/>
              </w:rPr>
            </w:pPr>
            <w:r>
              <w:rPr>
                <w:rFonts w:hint="eastAsia" w:ascii="仿宋_GB2312" w:hAnsi="宋体" w:eastAsia="仿宋_GB2312"/>
                <w:kern w:val="0"/>
                <w:szCs w:val="21"/>
                <w:lang w:val="en-US" w:eastAsia="zh-CN"/>
              </w:rPr>
              <w:t>25.32　</w:t>
            </w:r>
          </w:p>
        </w:tc>
        <w:tc>
          <w:tcPr>
            <w:tcW w:w="652" w:type="dxa"/>
            <w:vAlign w:val="top"/>
          </w:tcPr>
          <w:p>
            <w:pPr>
              <w:widowControl/>
              <w:jc w:val="center"/>
              <w:outlineLvl w:val="1"/>
              <w:rPr>
                <w:rFonts w:hint="eastAsia" w:ascii="仿宋_GB2312" w:hAnsi="宋体" w:eastAsia="仿宋_GB2312" w:cs="Times New Roman"/>
                <w:kern w:val="0"/>
                <w:sz w:val="21"/>
                <w:szCs w:val="21"/>
                <w:lang w:val="en-US" w:eastAsia="zh-CN" w:bidi="ar-SA"/>
              </w:rPr>
            </w:pPr>
            <w:r>
              <w:rPr>
                <w:rFonts w:hint="eastAsia" w:ascii="仿宋_GB2312" w:hAnsi="宋体" w:eastAsia="仿宋_GB2312"/>
                <w:kern w:val="0"/>
                <w:szCs w:val="21"/>
                <w:lang w:val="en-US" w:eastAsia="zh-CN"/>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w:t>
      </w:r>
      <w:r>
        <w:rPr>
          <w:rFonts w:hint="eastAsia" w:ascii="仿宋_GB2312" w:hAnsi="宋体" w:eastAsia="仿宋_GB2312"/>
          <w:kern w:val="0"/>
          <w:sz w:val="24"/>
          <w:lang w:eastAsia="zh-CN"/>
        </w:rPr>
        <w:t>部门</w:t>
      </w:r>
      <w:r>
        <w:rPr>
          <w:rFonts w:hint="eastAsia" w:ascii="仿宋_GB2312" w:hAnsi="宋体" w:eastAsia="仿宋_GB2312"/>
          <w:kern w:val="0"/>
          <w:sz w:val="24"/>
        </w:rPr>
        <w:t>（单位）：</w:t>
      </w:r>
      <w:r>
        <w:rPr>
          <w:rFonts w:hint="eastAsia" w:ascii="仿宋_GB2312" w:hAnsi="宋体" w:eastAsia="仿宋_GB2312"/>
          <w:kern w:val="0"/>
          <w:sz w:val="24"/>
          <w:lang w:eastAsia="zh-CN"/>
        </w:rPr>
        <w:t>克孜勒苏柯尔克孜自治州政务服务和公共资源交易中心</w:t>
      </w:r>
      <w:r>
        <w:rPr>
          <w:rFonts w:hint="eastAsia" w:ascii="仿宋_GB2312" w:hAnsi="宋体" w:eastAsia="仿宋_GB2312"/>
          <w:kern w:val="0"/>
          <w:sz w:val="24"/>
        </w:rPr>
        <w:t xml:space="preserve">  </w:t>
      </w:r>
      <w:r>
        <w:rPr>
          <w:rFonts w:hint="eastAsia" w:ascii="仿宋_GB2312" w:hAnsi="宋体" w:eastAsia="仿宋_GB2312"/>
          <w:kern w:val="0"/>
          <w:szCs w:val="21"/>
        </w:rPr>
        <w:t xml:space="preserve"> </w:t>
      </w:r>
      <w:r>
        <w:rPr>
          <w:rFonts w:hint="eastAsia" w:ascii="仿宋_GB2312" w:hAnsi="宋体" w:eastAsia="仿宋_GB2312"/>
          <w:kern w:val="0"/>
          <w:sz w:val="24"/>
        </w:rPr>
        <w:t xml:space="preserve">                                               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4"/>
                <w:szCs w:val="24"/>
                <w:lang w:val="en-US" w:eastAsia="zh-CN" w:bidi="ar-SA"/>
              </w:rPr>
            </w:pPr>
            <w:r>
              <w:rPr>
                <w:rFonts w:hint="eastAsia" w:ascii="宋体" w:hAnsi="宋体" w:cs="宋体"/>
                <w:color w:val="000000"/>
                <w:kern w:val="0"/>
                <w:sz w:val="24"/>
                <w:lang w:val="en-US" w:eastAsia="zh-CN"/>
              </w:rPr>
              <w:t>4.00</w:t>
            </w:r>
          </w:p>
        </w:tc>
        <w:tc>
          <w:tcPr>
            <w:tcW w:w="1417" w:type="dxa"/>
            <w:tcBorders>
              <w:top w:val="nil"/>
              <w:left w:val="nil"/>
              <w:bottom w:val="single" w:color="auto" w:sz="4" w:space="0"/>
              <w:right w:val="single" w:color="auto" w:sz="4" w:space="0"/>
            </w:tcBorders>
            <w:vAlign w:val="center"/>
          </w:tcPr>
          <w:p>
            <w:pPr>
              <w:widowControl/>
              <w:jc w:val="left"/>
              <w:rPr>
                <w:rFonts w:ascii="宋体" w:hAnsi="宋体" w:eastAsia="宋体" w:cs="宋体"/>
                <w:color w:val="000000"/>
                <w:kern w:val="0"/>
                <w:sz w:val="24"/>
                <w:szCs w:val="24"/>
                <w:lang w:val="en-US" w:eastAsia="zh-CN" w:bidi="ar-SA"/>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4"/>
                <w:szCs w:val="24"/>
                <w:lang w:val="en-US" w:eastAsia="zh-CN" w:bidi="ar-SA"/>
              </w:rPr>
            </w:pPr>
            <w:r>
              <w:rPr>
                <w:rFonts w:hint="eastAsia" w:ascii="宋体" w:hAnsi="宋体" w:cs="宋体"/>
                <w:color w:val="000000"/>
                <w:kern w:val="0"/>
                <w:sz w:val="24"/>
                <w:lang w:val="en-US" w:eastAsia="zh-CN"/>
              </w:rPr>
              <w:t>4.00</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eastAsia="宋体" w:cs="宋体"/>
                <w:color w:val="000000"/>
                <w:kern w:val="0"/>
                <w:sz w:val="24"/>
                <w:szCs w:val="24"/>
                <w:lang w:val="en-US" w:eastAsia="zh-CN" w:bidi="ar-SA"/>
              </w:rPr>
            </w:pPr>
          </w:p>
        </w:tc>
        <w:tc>
          <w:tcPr>
            <w:tcW w:w="1559"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4"/>
                <w:szCs w:val="24"/>
                <w:lang w:val="en-US" w:eastAsia="zh-CN" w:bidi="ar-SA"/>
              </w:rPr>
            </w:pPr>
            <w:r>
              <w:rPr>
                <w:rFonts w:hint="eastAsia" w:ascii="宋体" w:hAnsi="宋体" w:cs="宋体"/>
                <w:color w:val="000000"/>
                <w:kern w:val="0"/>
                <w:sz w:val="24"/>
                <w:lang w:val="en-US" w:eastAsia="zh-CN"/>
              </w:rPr>
              <w:t>4.00</w:t>
            </w:r>
          </w:p>
        </w:tc>
        <w:tc>
          <w:tcPr>
            <w:tcW w:w="1712" w:type="dxa"/>
            <w:tcBorders>
              <w:top w:val="nil"/>
              <w:left w:val="nil"/>
              <w:bottom w:val="single" w:color="auto" w:sz="4" w:space="0"/>
              <w:right w:val="single" w:color="auto" w:sz="4" w:space="0"/>
            </w:tcBorders>
            <w:vAlign w:val="center"/>
          </w:tcPr>
          <w:p>
            <w:pPr>
              <w:widowControl/>
              <w:jc w:val="center"/>
              <w:rPr>
                <w:rFonts w:ascii="宋体" w:hAnsi="宋体" w:eastAsia="宋体" w:cs="宋体"/>
                <w:color w:val="000000"/>
                <w:kern w:val="0"/>
                <w:sz w:val="24"/>
                <w:szCs w:val="24"/>
                <w:lang w:val="en-US" w:eastAsia="zh-CN" w:bidi="ar-SA"/>
              </w:rPr>
            </w:pP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4"/>
                <w:szCs w:val="24"/>
                <w:lang w:val="en-US" w:eastAsia="zh-CN" w:bidi="ar-SA"/>
              </w:rPr>
            </w:pPr>
            <w:r>
              <w:rPr>
                <w:rFonts w:hint="eastAsia" w:ascii="宋体" w:hAnsi="宋体" w:cs="宋体"/>
                <w:color w:val="000000"/>
                <w:kern w:val="0"/>
                <w:sz w:val="24"/>
                <w:lang w:val="en-US" w:eastAsia="zh-CN"/>
              </w:rPr>
              <w:t>0.30</w:t>
            </w:r>
          </w:p>
        </w:tc>
        <w:tc>
          <w:tcPr>
            <w:tcW w:w="1417" w:type="dxa"/>
            <w:tcBorders>
              <w:top w:val="nil"/>
              <w:left w:val="nil"/>
              <w:bottom w:val="single" w:color="auto" w:sz="4" w:space="0"/>
              <w:right w:val="single" w:color="auto" w:sz="4" w:space="0"/>
            </w:tcBorders>
            <w:vAlign w:val="center"/>
          </w:tcPr>
          <w:p>
            <w:pPr>
              <w:widowControl/>
              <w:jc w:val="left"/>
              <w:rPr>
                <w:rFonts w:ascii="宋体" w:hAnsi="宋体" w:eastAsia="宋体" w:cs="宋体"/>
                <w:color w:val="000000"/>
                <w:kern w:val="0"/>
                <w:sz w:val="24"/>
                <w:szCs w:val="24"/>
                <w:lang w:val="en-US" w:eastAsia="zh-CN" w:bidi="ar-SA"/>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center"/>
              <w:rPr>
                <w:rFonts w:ascii="宋体" w:hAnsi="宋体" w:eastAsia="宋体" w:cs="宋体"/>
                <w:color w:val="000000"/>
                <w:kern w:val="0"/>
                <w:sz w:val="24"/>
                <w:szCs w:val="24"/>
                <w:lang w:val="en-US" w:eastAsia="zh-CN" w:bidi="ar-SA"/>
              </w:rPr>
            </w:pPr>
          </w:p>
        </w:tc>
        <w:tc>
          <w:tcPr>
            <w:tcW w:w="1418" w:type="dxa"/>
            <w:tcBorders>
              <w:top w:val="nil"/>
              <w:left w:val="nil"/>
              <w:bottom w:val="single" w:color="auto" w:sz="4" w:space="0"/>
              <w:right w:val="single" w:color="auto" w:sz="4" w:space="0"/>
            </w:tcBorders>
            <w:vAlign w:val="center"/>
          </w:tcPr>
          <w:p>
            <w:pPr>
              <w:widowControl/>
              <w:jc w:val="center"/>
              <w:rPr>
                <w:rFonts w:ascii="宋体" w:hAnsi="宋体" w:eastAsia="宋体" w:cs="宋体"/>
                <w:color w:val="000000"/>
                <w:kern w:val="0"/>
                <w:sz w:val="24"/>
                <w:szCs w:val="24"/>
                <w:lang w:val="en-US" w:eastAsia="zh-CN" w:bidi="ar-SA"/>
              </w:rPr>
            </w:pPr>
          </w:p>
        </w:tc>
        <w:tc>
          <w:tcPr>
            <w:tcW w:w="1559" w:type="dxa"/>
            <w:tcBorders>
              <w:top w:val="nil"/>
              <w:left w:val="nil"/>
              <w:bottom w:val="single" w:color="auto" w:sz="4" w:space="0"/>
              <w:right w:val="single" w:color="auto" w:sz="4" w:space="0"/>
            </w:tcBorders>
            <w:vAlign w:val="center"/>
          </w:tcPr>
          <w:p>
            <w:pPr>
              <w:widowControl/>
              <w:jc w:val="center"/>
              <w:rPr>
                <w:rFonts w:ascii="宋体" w:hAnsi="宋体" w:eastAsia="宋体" w:cs="宋体"/>
                <w:color w:val="000000"/>
                <w:kern w:val="0"/>
                <w:sz w:val="24"/>
                <w:szCs w:val="24"/>
                <w:lang w:val="en-US" w:eastAsia="zh-CN" w:bidi="ar-SA"/>
              </w:rPr>
            </w:pPr>
          </w:p>
        </w:tc>
        <w:tc>
          <w:tcPr>
            <w:tcW w:w="1712"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4"/>
                <w:szCs w:val="24"/>
                <w:lang w:val="en-US" w:eastAsia="zh-CN" w:bidi="ar-SA"/>
              </w:rPr>
            </w:pPr>
            <w:r>
              <w:rPr>
                <w:rFonts w:hint="eastAsia" w:ascii="宋体" w:hAnsi="宋体" w:cs="宋体"/>
                <w:color w:val="000000"/>
                <w:kern w:val="0"/>
                <w:sz w:val="24"/>
                <w:lang w:val="en-US" w:eastAsia="zh-CN"/>
              </w:rPr>
              <w:t>0.30</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4"/>
                <w:szCs w:val="24"/>
                <w:lang w:val="en-US" w:eastAsia="zh-CN" w:bidi="ar-SA"/>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eastAsia="宋体" w:cs="宋体"/>
                <w:color w:val="000000"/>
                <w:kern w:val="0"/>
                <w:sz w:val="24"/>
                <w:szCs w:val="24"/>
                <w:lang w:val="en-US" w:eastAsia="zh-CN" w:bidi="ar-SA"/>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center"/>
              <w:rPr>
                <w:rFonts w:ascii="宋体" w:hAnsi="宋体" w:eastAsia="宋体" w:cs="宋体"/>
                <w:color w:val="000000"/>
                <w:kern w:val="0"/>
                <w:sz w:val="24"/>
                <w:szCs w:val="24"/>
                <w:lang w:val="en-US" w:eastAsia="zh-CN" w:bidi="ar-SA"/>
              </w:rPr>
            </w:pPr>
          </w:p>
        </w:tc>
        <w:tc>
          <w:tcPr>
            <w:tcW w:w="1418" w:type="dxa"/>
            <w:tcBorders>
              <w:top w:val="nil"/>
              <w:left w:val="nil"/>
              <w:bottom w:val="single" w:color="auto" w:sz="4" w:space="0"/>
              <w:right w:val="single" w:color="auto" w:sz="4" w:space="0"/>
            </w:tcBorders>
            <w:vAlign w:val="center"/>
          </w:tcPr>
          <w:p>
            <w:pPr>
              <w:widowControl/>
              <w:jc w:val="center"/>
              <w:rPr>
                <w:rFonts w:ascii="宋体" w:hAnsi="宋体" w:eastAsia="宋体" w:cs="宋体"/>
                <w:color w:val="000000"/>
                <w:kern w:val="0"/>
                <w:sz w:val="24"/>
                <w:szCs w:val="24"/>
                <w:lang w:val="en-US" w:eastAsia="zh-CN" w:bidi="ar-SA"/>
              </w:rPr>
            </w:pPr>
          </w:p>
        </w:tc>
        <w:tc>
          <w:tcPr>
            <w:tcW w:w="1559" w:type="dxa"/>
            <w:tcBorders>
              <w:top w:val="nil"/>
              <w:left w:val="nil"/>
              <w:bottom w:val="single" w:color="auto" w:sz="4" w:space="0"/>
              <w:right w:val="single" w:color="auto" w:sz="4" w:space="0"/>
            </w:tcBorders>
            <w:vAlign w:val="center"/>
          </w:tcPr>
          <w:p>
            <w:pPr>
              <w:widowControl/>
              <w:jc w:val="center"/>
              <w:rPr>
                <w:rFonts w:ascii="宋体" w:hAnsi="宋体" w:eastAsia="宋体" w:cs="宋体"/>
                <w:color w:val="000000"/>
                <w:kern w:val="0"/>
                <w:sz w:val="24"/>
                <w:szCs w:val="24"/>
                <w:lang w:val="en-US" w:eastAsia="zh-CN" w:bidi="ar-SA"/>
              </w:rPr>
            </w:pPr>
          </w:p>
        </w:tc>
        <w:tc>
          <w:tcPr>
            <w:tcW w:w="1712" w:type="dxa"/>
            <w:tcBorders>
              <w:top w:val="nil"/>
              <w:left w:val="nil"/>
              <w:bottom w:val="single" w:color="auto" w:sz="4" w:space="0"/>
              <w:right w:val="single" w:color="auto" w:sz="4" w:space="0"/>
            </w:tcBorders>
            <w:vAlign w:val="center"/>
          </w:tcPr>
          <w:p>
            <w:pPr>
              <w:widowControl/>
              <w:jc w:val="center"/>
              <w:rPr>
                <w:rFonts w:ascii="宋体" w:hAnsi="宋体" w:eastAsia="宋体" w:cs="宋体"/>
                <w:color w:val="000000"/>
                <w:kern w:val="0"/>
                <w:sz w:val="24"/>
                <w:szCs w:val="24"/>
                <w:lang w:val="en-US" w:eastAsia="zh-CN" w:bidi="ar-SA"/>
              </w:rPr>
            </w:pP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4"/>
                <w:szCs w:val="24"/>
                <w:lang w:val="en-US" w:eastAsia="zh-CN" w:bidi="ar-SA"/>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eastAsia="宋体" w:cs="宋体"/>
                <w:color w:val="000000"/>
                <w:kern w:val="0"/>
                <w:sz w:val="24"/>
                <w:szCs w:val="24"/>
                <w:lang w:val="en-US" w:eastAsia="zh-CN" w:bidi="ar-SA"/>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center"/>
              <w:rPr>
                <w:rFonts w:ascii="宋体" w:hAnsi="宋体" w:eastAsia="宋体" w:cs="宋体"/>
                <w:color w:val="000000"/>
                <w:kern w:val="0"/>
                <w:sz w:val="24"/>
                <w:szCs w:val="24"/>
                <w:lang w:val="en-US" w:eastAsia="zh-CN" w:bidi="ar-SA"/>
              </w:rPr>
            </w:pPr>
          </w:p>
        </w:tc>
        <w:tc>
          <w:tcPr>
            <w:tcW w:w="1418" w:type="dxa"/>
            <w:tcBorders>
              <w:top w:val="nil"/>
              <w:left w:val="nil"/>
              <w:bottom w:val="single" w:color="auto" w:sz="4" w:space="0"/>
              <w:right w:val="single" w:color="auto" w:sz="4" w:space="0"/>
            </w:tcBorders>
            <w:vAlign w:val="center"/>
          </w:tcPr>
          <w:p>
            <w:pPr>
              <w:widowControl/>
              <w:jc w:val="center"/>
              <w:rPr>
                <w:rFonts w:ascii="宋体" w:hAnsi="宋体" w:eastAsia="宋体" w:cs="宋体"/>
                <w:color w:val="000000"/>
                <w:kern w:val="0"/>
                <w:sz w:val="24"/>
                <w:szCs w:val="24"/>
                <w:lang w:val="en-US" w:eastAsia="zh-CN" w:bidi="ar-SA"/>
              </w:rPr>
            </w:pPr>
          </w:p>
        </w:tc>
        <w:tc>
          <w:tcPr>
            <w:tcW w:w="1559" w:type="dxa"/>
            <w:tcBorders>
              <w:top w:val="nil"/>
              <w:left w:val="nil"/>
              <w:bottom w:val="single" w:color="auto" w:sz="4" w:space="0"/>
              <w:right w:val="single" w:color="auto" w:sz="4" w:space="0"/>
            </w:tcBorders>
            <w:vAlign w:val="center"/>
          </w:tcPr>
          <w:p>
            <w:pPr>
              <w:widowControl/>
              <w:jc w:val="center"/>
              <w:rPr>
                <w:rFonts w:ascii="宋体" w:hAnsi="宋体" w:eastAsia="宋体" w:cs="宋体"/>
                <w:color w:val="000000"/>
                <w:kern w:val="0"/>
                <w:sz w:val="24"/>
                <w:szCs w:val="24"/>
                <w:lang w:val="en-US" w:eastAsia="zh-CN" w:bidi="ar-SA"/>
              </w:rPr>
            </w:pPr>
          </w:p>
        </w:tc>
        <w:tc>
          <w:tcPr>
            <w:tcW w:w="1712" w:type="dxa"/>
            <w:tcBorders>
              <w:top w:val="nil"/>
              <w:left w:val="nil"/>
              <w:bottom w:val="single" w:color="auto" w:sz="4" w:space="0"/>
              <w:right w:val="single" w:color="auto" w:sz="4" w:space="0"/>
            </w:tcBorders>
            <w:vAlign w:val="center"/>
          </w:tcPr>
          <w:p>
            <w:pPr>
              <w:widowControl/>
              <w:jc w:val="center"/>
              <w:rPr>
                <w:rFonts w:ascii="宋体" w:hAnsi="宋体" w:eastAsia="宋体" w:cs="宋体"/>
                <w:color w:val="000000"/>
                <w:kern w:val="0"/>
                <w:sz w:val="24"/>
                <w:szCs w:val="24"/>
                <w:lang w:val="en-US" w:eastAsia="zh-CN" w:bidi="ar-SA"/>
              </w:rPr>
            </w:pP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4"/>
                <w:szCs w:val="24"/>
                <w:lang w:val="en-US" w:eastAsia="zh-CN" w:bidi="ar-SA"/>
              </w:rPr>
            </w:pPr>
            <w:r>
              <w:rPr>
                <w:rFonts w:hint="eastAsia" w:ascii="宋体" w:hAnsi="宋体" w:cs="宋体"/>
                <w:color w:val="000000"/>
                <w:kern w:val="0"/>
                <w:sz w:val="24"/>
                <w:lang w:val="en-US" w:eastAsia="zh-CN"/>
              </w:rPr>
              <w:t>4.30</w:t>
            </w:r>
          </w:p>
        </w:tc>
        <w:tc>
          <w:tcPr>
            <w:tcW w:w="1417" w:type="dxa"/>
            <w:tcBorders>
              <w:top w:val="nil"/>
              <w:left w:val="nil"/>
              <w:bottom w:val="single" w:color="auto" w:sz="4" w:space="0"/>
              <w:right w:val="single" w:color="auto" w:sz="4" w:space="0"/>
            </w:tcBorders>
            <w:vAlign w:val="center"/>
          </w:tcPr>
          <w:p>
            <w:pPr>
              <w:widowControl/>
              <w:jc w:val="left"/>
              <w:rPr>
                <w:rFonts w:ascii="宋体" w:hAnsi="宋体" w:eastAsia="宋体" w:cs="宋体"/>
                <w:color w:val="000000"/>
                <w:kern w:val="0"/>
                <w:sz w:val="24"/>
                <w:szCs w:val="24"/>
                <w:lang w:val="en-US" w:eastAsia="zh-CN" w:bidi="ar-SA"/>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4"/>
                <w:szCs w:val="24"/>
                <w:lang w:val="en-US" w:eastAsia="zh-CN" w:bidi="ar-SA"/>
              </w:rPr>
            </w:pPr>
            <w:r>
              <w:rPr>
                <w:rFonts w:hint="eastAsia" w:ascii="宋体" w:hAnsi="宋体" w:cs="宋体"/>
                <w:color w:val="000000"/>
                <w:kern w:val="0"/>
                <w:sz w:val="24"/>
                <w:lang w:val="en-US" w:eastAsia="zh-CN"/>
              </w:rPr>
              <w:t>4.00</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eastAsia="宋体" w:cs="宋体"/>
                <w:color w:val="000000"/>
                <w:kern w:val="0"/>
                <w:sz w:val="24"/>
                <w:szCs w:val="24"/>
                <w:lang w:val="en-US" w:eastAsia="zh-CN" w:bidi="ar-SA"/>
              </w:rPr>
            </w:pPr>
          </w:p>
        </w:tc>
        <w:tc>
          <w:tcPr>
            <w:tcW w:w="1559"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4"/>
                <w:szCs w:val="24"/>
                <w:lang w:val="en-US" w:eastAsia="zh-CN" w:bidi="ar-SA"/>
              </w:rPr>
            </w:pPr>
            <w:r>
              <w:rPr>
                <w:rFonts w:hint="eastAsia" w:ascii="宋体" w:hAnsi="宋体" w:cs="宋体"/>
                <w:color w:val="000000"/>
                <w:kern w:val="0"/>
                <w:sz w:val="24"/>
                <w:lang w:val="en-US" w:eastAsia="zh-CN"/>
              </w:rPr>
              <w:t>4.00</w:t>
            </w:r>
          </w:p>
        </w:tc>
        <w:tc>
          <w:tcPr>
            <w:tcW w:w="1712"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4"/>
                <w:szCs w:val="24"/>
                <w:lang w:val="en-US" w:eastAsia="zh-CN" w:bidi="ar-SA"/>
              </w:rPr>
            </w:pPr>
            <w:r>
              <w:rPr>
                <w:rFonts w:hint="eastAsia" w:ascii="宋体" w:hAnsi="宋体" w:cs="宋体"/>
                <w:color w:val="000000"/>
                <w:kern w:val="0"/>
                <w:sz w:val="24"/>
                <w:lang w:val="en-US" w:eastAsia="zh-CN"/>
              </w:rPr>
              <w:t>0.30</w:t>
            </w:r>
          </w:p>
        </w:tc>
      </w:tr>
    </w:tbl>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spacing w:line="28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w:t>
      </w:r>
      <w:r>
        <w:rPr>
          <w:rFonts w:hint="eastAsia" w:ascii="仿宋_GB2312" w:hAnsi="宋体" w:eastAsia="仿宋_GB2312"/>
          <w:kern w:val="0"/>
          <w:sz w:val="24"/>
          <w:lang w:eastAsia="zh-CN"/>
        </w:rPr>
        <w:t>部门</w:t>
      </w:r>
      <w:r>
        <w:rPr>
          <w:rFonts w:hint="eastAsia" w:ascii="仿宋_GB2312" w:hAnsi="宋体" w:eastAsia="仿宋_GB2312"/>
          <w:kern w:val="0"/>
          <w:sz w:val="24"/>
        </w:rPr>
        <w:t>（单位）：</w:t>
      </w:r>
      <w:r>
        <w:rPr>
          <w:rFonts w:hint="eastAsia" w:ascii="仿宋_GB2312" w:hAnsi="宋体" w:eastAsia="仿宋_GB2312"/>
          <w:kern w:val="0"/>
          <w:sz w:val="24"/>
          <w:lang w:eastAsia="zh-CN"/>
        </w:rPr>
        <w:t>克孜勒苏柯尔克孜自治州政务服务和公共资源交易中心</w:t>
      </w:r>
      <w:r>
        <w:rPr>
          <w:rFonts w:hint="eastAsia" w:ascii="仿宋_GB2312" w:hAnsi="宋体" w:eastAsia="仿宋_GB2312"/>
          <w:kern w:val="0"/>
          <w:sz w:val="24"/>
        </w:rPr>
        <w:t xml:space="preserve">  </w:t>
      </w:r>
      <w:r>
        <w:rPr>
          <w:rFonts w:hint="eastAsia" w:ascii="仿宋_GB2312" w:hAnsi="宋体" w:eastAsia="仿宋_GB2312"/>
          <w:kern w:val="0"/>
          <w:szCs w:val="21"/>
        </w:rPr>
        <w:t xml:space="preserve"> </w:t>
      </w:r>
      <w:r>
        <w:rPr>
          <w:rFonts w:hint="eastAsia" w:ascii="仿宋_GB2312" w:hAnsi="宋体" w:eastAsia="仿宋_GB2312"/>
          <w:kern w:val="0"/>
          <w:sz w:val="24"/>
        </w:rPr>
        <w:t xml:space="preserve">                                              单位：万元</w:t>
      </w:r>
    </w:p>
    <w:tbl>
      <w:tblPr>
        <w:tblStyle w:val="7"/>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spacing w:line="280" w:lineRule="exact"/>
        <w:jc w:val="left"/>
        <w:outlineLvl w:val="1"/>
        <w:rPr>
          <w:rFonts w:ascii="仿宋_GB2312" w:hAnsi="宋体" w:eastAsia="仿宋_GB2312"/>
          <w:kern w:val="0"/>
          <w:sz w:val="32"/>
          <w:szCs w:val="32"/>
        </w:rPr>
      </w:pPr>
    </w:p>
    <w:p>
      <w:pPr>
        <w:widowControl/>
        <w:spacing w:line="280" w:lineRule="exact"/>
        <w:jc w:val="left"/>
        <w:outlineLvl w:val="1"/>
        <w:rPr>
          <w:rFonts w:hint="eastAsia" w:ascii="仿宋_GB2312" w:hAnsi="宋体" w:eastAsia="仿宋_GB2312"/>
          <w:kern w:val="0"/>
          <w:sz w:val="32"/>
          <w:szCs w:val="32"/>
          <w:lang w:eastAsia="zh-CN"/>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r>
        <w:rPr>
          <w:rFonts w:hint="eastAsia" w:ascii="仿宋_GB2312" w:hAnsi="宋体" w:eastAsia="仿宋_GB2312"/>
          <w:kern w:val="0"/>
          <w:sz w:val="32"/>
          <w:szCs w:val="32"/>
          <w:lang w:eastAsia="zh-CN"/>
        </w:rPr>
        <w:t>备注：克州行政服务和公共资源交易中心无政府性基金预算拨款情况说明支出本表为空</w:t>
      </w:r>
    </w:p>
    <w:p>
      <w:pPr>
        <w:spacing w:line="560" w:lineRule="exact"/>
        <w:jc w:val="center"/>
        <w:rPr>
          <w:rFonts w:ascii="黑体" w:hAnsi="黑体" w:eastAsia="黑体"/>
          <w:kern w:val="0"/>
          <w:sz w:val="32"/>
          <w:szCs w:val="32"/>
        </w:rPr>
      </w:pPr>
      <w:r>
        <w:rPr>
          <w:rFonts w:hint="eastAsia" w:ascii="黑体" w:hAnsi="黑体" w:eastAsia="黑体"/>
          <w:kern w:val="0"/>
          <w:sz w:val="32"/>
          <w:szCs w:val="32"/>
        </w:rPr>
        <w:t xml:space="preserve">第三部分  </w:t>
      </w:r>
      <w:r>
        <w:rPr>
          <w:rFonts w:hint="eastAsia" w:ascii="黑体" w:hAnsi="黑体" w:eastAsia="黑体"/>
          <w:kern w:val="0"/>
          <w:sz w:val="32"/>
          <w:szCs w:val="32"/>
          <w:lang w:val="en-US" w:eastAsia="zh-CN"/>
        </w:rPr>
        <w:t>2021</w:t>
      </w:r>
      <w:r>
        <w:rPr>
          <w:rFonts w:hint="eastAsia" w:ascii="黑体" w:hAnsi="黑体" w:eastAsia="黑体"/>
          <w:kern w:val="0"/>
          <w:sz w:val="32"/>
          <w:szCs w:val="32"/>
        </w:rPr>
        <w:t>年</w:t>
      </w:r>
      <w:r>
        <w:rPr>
          <w:rFonts w:hint="eastAsia" w:ascii="黑体" w:hAnsi="黑体" w:eastAsia="黑体"/>
          <w:kern w:val="0"/>
          <w:sz w:val="32"/>
          <w:szCs w:val="32"/>
          <w:lang w:eastAsia="zh-CN"/>
        </w:rPr>
        <w:t>克州政务服务和公共资源交易中心</w:t>
      </w:r>
      <w:r>
        <w:rPr>
          <w:rFonts w:hint="eastAsia" w:ascii="黑体" w:hAnsi="黑体" w:eastAsia="黑体"/>
          <w:kern w:val="0"/>
          <w:sz w:val="32"/>
          <w:szCs w:val="32"/>
        </w:rPr>
        <w:t>预算情况说明</w:t>
      </w: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宋体" w:eastAsia="黑体" w:cs="宋体"/>
          <w:kern w:val="0"/>
          <w:sz w:val="32"/>
          <w:szCs w:val="32"/>
          <w:lang w:eastAsia="zh-CN"/>
        </w:rPr>
        <w:t>克州政务服务和公共资源交易中心</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eastAsia="zh-CN"/>
        </w:rPr>
        <w:t>克州政务服务和公共资源交易中心</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年所有收入和支出均纳入</w:t>
      </w:r>
      <w:r>
        <w:rPr>
          <w:rFonts w:hint="eastAsia" w:ascii="仿宋_GB2312" w:hAnsi="宋体" w:eastAsia="仿宋_GB2312" w:cs="宋体"/>
          <w:kern w:val="0"/>
          <w:sz w:val="32"/>
          <w:szCs w:val="32"/>
          <w:lang w:eastAsia="zh-CN"/>
        </w:rPr>
        <w:t>部门（克州政务服务和公共资源交易中心</w:t>
      </w:r>
      <w:r>
        <w:rPr>
          <w:rFonts w:hint="eastAsia" w:ascii="仿宋_GB2312" w:hAnsi="宋体" w:eastAsia="仿宋_GB2312" w:cs="宋体"/>
          <w:kern w:val="0"/>
          <w:sz w:val="32"/>
          <w:szCs w:val="32"/>
        </w:rPr>
        <w:t>）预算管理。收支总预算</w:t>
      </w:r>
      <w:r>
        <w:rPr>
          <w:rFonts w:hint="eastAsia" w:ascii="仿宋_GB2312" w:hAnsi="宋体" w:eastAsia="仿宋_GB2312" w:cs="宋体"/>
          <w:kern w:val="0"/>
          <w:sz w:val="32"/>
          <w:szCs w:val="32"/>
          <w:lang w:val="en-US" w:eastAsia="zh-CN"/>
        </w:rPr>
        <w:t>254.67</w:t>
      </w:r>
      <w:r>
        <w:rPr>
          <w:rFonts w:hint="eastAsia" w:ascii="仿宋_GB2312" w:hAnsi="宋体" w:eastAsia="仿宋_GB2312" w:cs="宋体"/>
          <w:kern w:val="0"/>
          <w:sz w:val="32"/>
          <w:szCs w:val="32"/>
        </w:rPr>
        <w:t>万元。</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32"/>
          <w:szCs w:val="32"/>
          <w:lang w:val="en-US" w:eastAsia="zh-CN"/>
        </w:rPr>
        <w:t>254.67万元、</w:t>
      </w:r>
      <w:r>
        <w:rPr>
          <w:rFonts w:hint="eastAsia" w:ascii="仿宋_GB2312" w:hAnsi="宋体" w:eastAsia="仿宋_GB2312" w:cs="宋体"/>
          <w:kern w:val="0"/>
          <w:sz w:val="32"/>
          <w:szCs w:val="32"/>
        </w:rPr>
        <w:t>政府性基金预算</w:t>
      </w:r>
      <w:r>
        <w:rPr>
          <w:rFonts w:hint="eastAsia" w:ascii="仿宋_GB2312" w:hAnsi="宋体" w:eastAsia="仿宋_GB2312" w:cs="宋体"/>
          <w:kern w:val="0"/>
          <w:sz w:val="32"/>
          <w:szCs w:val="32"/>
          <w:lang w:val="en-US" w:eastAsia="zh-CN"/>
        </w:rPr>
        <w:t>0万元</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highlight w:val="none"/>
        </w:rPr>
        <w:t>国有</w:t>
      </w:r>
      <w:r>
        <w:rPr>
          <w:rFonts w:ascii="仿宋_GB2312" w:hAnsi="宋体" w:eastAsia="仿宋_GB2312" w:cs="宋体"/>
          <w:kern w:val="0"/>
          <w:sz w:val="32"/>
          <w:szCs w:val="32"/>
          <w:highlight w:val="none"/>
        </w:rPr>
        <w:t>资金经营预算</w:t>
      </w:r>
      <w:r>
        <w:rPr>
          <w:rFonts w:hint="eastAsia" w:ascii="仿宋_GB2312" w:hAnsi="宋体" w:eastAsia="仿宋_GB2312" w:cs="宋体"/>
          <w:kern w:val="0"/>
          <w:sz w:val="32"/>
          <w:szCs w:val="32"/>
          <w:highlight w:val="none"/>
          <w:lang w:val="en-US" w:eastAsia="zh-CN"/>
        </w:rPr>
        <w:t>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w:t>
      </w:r>
      <w:r>
        <w:rPr>
          <w:rFonts w:hint="eastAsia" w:ascii="仿宋_GB2312" w:hAnsi="宋体" w:eastAsia="仿宋_GB2312" w:cs="宋体"/>
          <w:kern w:val="0"/>
          <w:sz w:val="32"/>
          <w:szCs w:val="32"/>
          <w:lang w:val="en-US" w:eastAsia="zh-CN"/>
        </w:rPr>
        <w:t>254.67万元。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宋体" w:eastAsia="黑体" w:cs="宋体"/>
          <w:kern w:val="0"/>
          <w:sz w:val="32"/>
          <w:szCs w:val="32"/>
          <w:lang w:eastAsia="zh-CN"/>
        </w:rPr>
        <w:t>克州政务服务和公共资源交易中心</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克州政务服务和公共资源交易中心</w:t>
      </w:r>
      <w:r>
        <w:rPr>
          <w:rFonts w:hint="eastAsia" w:ascii="仿宋_GB2312" w:hAnsi="宋体" w:eastAsia="仿宋_GB2312" w:cs="宋体"/>
          <w:kern w:val="0"/>
          <w:sz w:val="32"/>
          <w:szCs w:val="32"/>
        </w:rPr>
        <w:t>收入预算</w:t>
      </w:r>
      <w:r>
        <w:rPr>
          <w:rFonts w:hint="eastAsia" w:ascii="仿宋_GB2312" w:hAnsi="宋体" w:eastAsia="仿宋_GB2312" w:cs="宋体"/>
          <w:kern w:val="0"/>
          <w:sz w:val="32"/>
          <w:szCs w:val="32"/>
          <w:lang w:val="en-US" w:eastAsia="zh-CN"/>
        </w:rPr>
        <w:t>254.67</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254.67</w:t>
      </w:r>
      <w:r>
        <w:rPr>
          <w:rFonts w:hint="eastAsia" w:ascii="仿宋_GB2312" w:hAnsi="宋体" w:eastAsia="仿宋_GB2312" w:cs="宋体"/>
          <w:kern w:val="0"/>
          <w:sz w:val="32"/>
          <w:szCs w:val="32"/>
        </w:rPr>
        <w:t xml:space="preserve">万元，占 </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 xml:space="preserve"> %，比上年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108.85</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机构合并</w:t>
      </w:r>
      <w:r>
        <w:rPr>
          <w:rFonts w:hint="eastAsia" w:ascii="仿宋_GB2312" w:hAnsi="宋体" w:eastAsia="仿宋_GB2312" w:cs="宋体"/>
          <w:kern w:val="0"/>
          <w:sz w:val="32"/>
          <w:szCs w:val="32"/>
        </w:rPr>
        <w:t xml:space="preserve">；    </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政府性基金预算未安排</w:t>
      </w:r>
      <w:r>
        <w:rPr>
          <w:rFonts w:hint="eastAsia" w:ascii="仿宋_GB2312" w:hAnsi="宋体" w:eastAsia="仿宋_GB2312" w:cs="宋体"/>
          <w:kern w:val="0"/>
          <w:sz w:val="32"/>
          <w:szCs w:val="32"/>
          <w:lang w:eastAsia="zh-CN"/>
        </w:rPr>
        <w:t>。</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国有资本经营预算未安排</w:t>
      </w:r>
      <w:r>
        <w:rPr>
          <w:rFonts w:hint="eastAsia" w:ascii="仿宋_GB2312" w:hAnsi="宋体" w:eastAsia="仿宋_GB2312" w:cs="宋体"/>
          <w:kern w:val="0"/>
          <w:sz w:val="32"/>
          <w:szCs w:val="32"/>
          <w:lang w:eastAsia="zh-CN"/>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宋体" w:eastAsia="黑体" w:cs="宋体"/>
          <w:kern w:val="0"/>
          <w:sz w:val="32"/>
          <w:szCs w:val="32"/>
          <w:lang w:eastAsia="zh-CN"/>
        </w:rPr>
        <w:t>克州政务服务和公共资源交易中心</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克州政务服务和公共资源交易中心</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 xml:space="preserve">年支出预算    </w:t>
      </w:r>
      <w:r>
        <w:rPr>
          <w:rFonts w:hint="eastAsia" w:ascii="仿宋_GB2312" w:hAnsi="宋体" w:eastAsia="仿宋_GB2312" w:cs="宋体"/>
          <w:kern w:val="0"/>
          <w:sz w:val="32"/>
          <w:szCs w:val="32"/>
          <w:lang w:val="en-US" w:eastAsia="zh-CN"/>
        </w:rPr>
        <w:t>254.67</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229.35</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90.06</w:t>
      </w:r>
      <w:r>
        <w:rPr>
          <w:rFonts w:hint="eastAsia" w:ascii="仿宋_GB2312" w:hAnsi="宋体" w:eastAsia="仿宋_GB2312" w:cs="宋体"/>
          <w:kern w:val="0"/>
          <w:sz w:val="32"/>
          <w:szCs w:val="32"/>
        </w:rPr>
        <w:t xml:space="preserve"> %，比上年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97.85</w:t>
      </w:r>
      <w:r>
        <w:rPr>
          <w:rFonts w:hint="eastAsia" w:ascii="仿宋_GB2312" w:hAnsi="宋体" w:eastAsia="仿宋_GB2312" w:cs="宋体"/>
          <w:kern w:val="0"/>
          <w:sz w:val="32"/>
          <w:szCs w:val="32"/>
        </w:rPr>
        <w:t xml:space="preserve"> 万元，主要原因是</w:t>
      </w:r>
      <w:r>
        <w:rPr>
          <w:rFonts w:hint="eastAsia" w:ascii="仿宋_GB2312" w:hAnsi="宋体" w:eastAsia="仿宋_GB2312" w:cs="宋体"/>
          <w:kern w:val="0"/>
          <w:sz w:val="32"/>
          <w:szCs w:val="32"/>
          <w:lang w:eastAsia="zh-CN"/>
        </w:rPr>
        <w:t>机构合并</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25.32</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9.94</w:t>
      </w:r>
      <w:r>
        <w:rPr>
          <w:rFonts w:hint="eastAsia" w:ascii="仿宋_GB2312" w:hAnsi="宋体" w:eastAsia="仿宋_GB2312" w:cs="宋体"/>
          <w:kern w:val="0"/>
          <w:sz w:val="32"/>
          <w:szCs w:val="32"/>
        </w:rPr>
        <w:t xml:space="preserve"> %，比上年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11</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机构合并</w:t>
      </w:r>
      <w:r>
        <w:rPr>
          <w:rFonts w:hint="eastAsia" w:ascii="仿宋_GB2312" w:hAnsi="宋体" w:eastAsia="仿宋_GB2312" w:cs="宋体"/>
          <w:kern w:val="0"/>
          <w:sz w:val="32"/>
          <w:szCs w:val="32"/>
        </w:rPr>
        <w:t>。</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宋体" w:eastAsia="黑体" w:cs="宋体"/>
          <w:kern w:val="0"/>
          <w:sz w:val="32"/>
          <w:szCs w:val="32"/>
          <w:lang w:eastAsia="zh-CN"/>
        </w:rPr>
        <w:t>克州政务服务和公共资源交易中心</w:t>
      </w:r>
      <w:r>
        <w:rPr>
          <w:rFonts w:hint="eastAsia" w:ascii="黑体" w:hAnsi="宋体" w:eastAsia="黑体" w:cs="宋体"/>
          <w:kern w:val="0"/>
          <w:sz w:val="32"/>
          <w:szCs w:val="32"/>
          <w:lang w:val="en-US" w:eastAsia="zh-CN"/>
        </w:rPr>
        <w:t>2021</w:t>
      </w:r>
      <w:r>
        <w:rPr>
          <w:rFonts w:hint="eastAsia" w:ascii="黑体" w:hAnsi="黑体" w:eastAsia="黑体" w:cs="宋体"/>
          <w:bCs/>
          <w:kern w:val="0"/>
          <w:sz w:val="32"/>
          <w:szCs w:val="32"/>
        </w:rPr>
        <w:t>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年财政拨款收支总预算</w:t>
      </w:r>
      <w:r>
        <w:rPr>
          <w:rFonts w:hint="eastAsia" w:ascii="仿宋_GB2312" w:hAnsi="宋体" w:eastAsia="仿宋_GB2312" w:cs="宋体"/>
          <w:kern w:val="0"/>
          <w:sz w:val="32"/>
          <w:szCs w:val="32"/>
          <w:lang w:val="en-US" w:eastAsia="zh-CN"/>
        </w:rPr>
        <w:t>254.67</w:t>
      </w:r>
      <w:r>
        <w:rPr>
          <w:rFonts w:hint="eastAsia" w:ascii="仿宋_GB2312" w:hAnsi="宋体" w:eastAsia="仿宋_GB2312" w:cs="宋体"/>
          <w:kern w:val="0"/>
          <w:sz w:val="32"/>
          <w:szCs w:val="32"/>
        </w:rPr>
        <w:t>万元。</w:t>
      </w:r>
    </w:p>
    <w:p>
      <w:pPr>
        <w:spacing w:line="560" w:lineRule="exact"/>
        <w:ind w:firstLine="616" w:firstLineChars="200"/>
        <w:rPr>
          <w:rFonts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收入全部为一般公共预算拨款，无政府性基金预算拨款和</w:t>
      </w:r>
      <w:r>
        <w:rPr>
          <w:rFonts w:ascii="仿宋_GB2312" w:hAnsi="宋体" w:eastAsia="仿宋_GB2312" w:cs="宋体"/>
          <w:spacing w:val="-6"/>
          <w:kern w:val="0"/>
          <w:sz w:val="32"/>
          <w:szCs w:val="32"/>
          <w:highlight w:val="none"/>
        </w:rPr>
        <w:t>国有资本经营预算</w:t>
      </w:r>
      <w:r>
        <w:rPr>
          <w:rFonts w:hint="eastAsia" w:ascii="仿宋_GB2312" w:hAnsi="宋体" w:eastAsia="仿宋_GB2312" w:cs="宋体"/>
          <w:spacing w:val="-6"/>
          <w:kern w:val="0"/>
          <w:sz w:val="32"/>
          <w:szCs w:val="32"/>
          <w:highlight w:val="none"/>
        </w:rPr>
        <w:t>。</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一般公共预算支出包括：一般公共服务支出</w:t>
      </w:r>
      <w:r>
        <w:rPr>
          <w:rFonts w:hint="eastAsia" w:ascii="仿宋_GB2312" w:hAnsi="宋体" w:eastAsia="仿宋_GB2312" w:cs="宋体"/>
          <w:kern w:val="0"/>
          <w:sz w:val="32"/>
          <w:szCs w:val="32"/>
          <w:lang w:val="en-US" w:eastAsia="zh-CN"/>
        </w:rPr>
        <w:t>254.67</w:t>
      </w:r>
      <w:r>
        <w:rPr>
          <w:rFonts w:hint="eastAsia" w:ascii="仿宋_GB2312" w:hAnsi="宋体" w:eastAsia="仿宋_GB2312" w:cs="宋体"/>
          <w:kern w:val="0"/>
          <w:sz w:val="32"/>
          <w:szCs w:val="32"/>
        </w:rPr>
        <w:t>万元，主要用于</w:t>
      </w:r>
      <w:r>
        <w:rPr>
          <w:rFonts w:hint="eastAsia" w:ascii="仿宋_GB2312" w:hAnsi="宋体" w:eastAsia="仿宋_GB2312" w:cs="宋体"/>
          <w:kern w:val="0"/>
          <w:sz w:val="32"/>
          <w:szCs w:val="32"/>
          <w:lang w:eastAsia="zh-CN"/>
        </w:rPr>
        <w:t>人员经费和公用经费支出</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宋体" w:eastAsia="黑体" w:cs="宋体"/>
          <w:kern w:val="0"/>
          <w:sz w:val="32"/>
          <w:szCs w:val="32"/>
          <w:lang w:eastAsia="zh-CN"/>
        </w:rPr>
        <w:t>克州政务服务和公共资源交易中心</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eastAsia="zh-CN"/>
        </w:rPr>
        <w:t>克州政务服务和公共资源交易中心</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lang w:eastAsia="zh-CN"/>
        </w:rPr>
        <w:t>年一般公共预算拨款合计</w:t>
      </w:r>
      <w:r>
        <w:rPr>
          <w:rFonts w:hint="eastAsia" w:ascii="仿宋_GB2312" w:hAnsi="宋体" w:eastAsia="仿宋_GB2312" w:cs="宋体"/>
          <w:kern w:val="0"/>
          <w:sz w:val="32"/>
          <w:szCs w:val="32"/>
          <w:lang w:val="en-US" w:eastAsia="zh-CN"/>
        </w:rPr>
        <w:t>254.67</w:t>
      </w:r>
      <w:r>
        <w:rPr>
          <w:rFonts w:hint="eastAsia" w:ascii="仿宋_GB2312" w:hAnsi="宋体" w:eastAsia="仿宋_GB2312" w:cs="宋体"/>
          <w:kern w:val="0"/>
          <w:sz w:val="32"/>
          <w:szCs w:val="32"/>
          <w:lang w:eastAsia="zh-CN"/>
        </w:rPr>
        <w:t>万元，其中：基本支出</w:t>
      </w:r>
      <w:r>
        <w:rPr>
          <w:rFonts w:hint="eastAsia" w:ascii="仿宋_GB2312" w:hAnsi="宋体" w:eastAsia="仿宋_GB2312" w:cs="宋体"/>
          <w:kern w:val="0"/>
          <w:sz w:val="32"/>
          <w:szCs w:val="32"/>
          <w:lang w:val="en-US" w:eastAsia="zh-CN"/>
        </w:rPr>
        <w:t>229.35万元，</w:t>
      </w:r>
      <w:r>
        <w:rPr>
          <w:rFonts w:hint="eastAsia" w:ascii="仿宋_GB2312" w:hAnsi="宋体" w:eastAsia="仿宋_GB2312" w:cs="宋体"/>
          <w:kern w:val="0"/>
          <w:sz w:val="32"/>
          <w:szCs w:val="32"/>
          <w:lang w:eastAsia="zh-CN"/>
        </w:rPr>
        <w:t>比上年预算增加</w:t>
      </w:r>
      <w:r>
        <w:rPr>
          <w:rFonts w:hint="eastAsia" w:ascii="仿宋_GB2312" w:hAnsi="宋体" w:eastAsia="仿宋_GB2312" w:cs="宋体"/>
          <w:kern w:val="0"/>
          <w:sz w:val="32"/>
          <w:szCs w:val="32"/>
          <w:lang w:val="en-US" w:eastAsia="zh-CN"/>
        </w:rPr>
        <w:t>97.85</w:t>
      </w:r>
      <w:r>
        <w:rPr>
          <w:rFonts w:hint="eastAsia" w:ascii="仿宋_GB2312" w:hAnsi="宋体" w:eastAsia="仿宋_GB2312" w:cs="宋体"/>
          <w:kern w:val="0"/>
          <w:sz w:val="32"/>
          <w:szCs w:val="32"/>
          <w:lang w:eastAsia="zh-CN"/>
        </w:rPr>
        <w:t>万元，增长</w:t>
      </w:r>
      <w:r>
        <w:rPr>
          <w:rFonts w:hint="eastAsia" w:ascii="仿宋_GB2312" w:hAnsi="宋体" w:eastAsia="仿宋_GB2312" w:cs="宋体"/>
          <w:kern w:val="0"/>
          <w:sz w:val="32"/>
          <w:szCs w:val="32"/>
          <w:lang w:val="en-US" w:eastAsia="zh-CN"/>
        </w:rPr>
        <w:t>74.41</w:t>
      </w:r>
      <w:r>
        <w:rPr>
          <w:rFonts w:hint="eastAsia" w:ascii="仿宋_GB2312" w:hAnsi="宋体" w:eastAsia="仿宋_GB2312" w:cs="宋体"/>
          <w:kern w:val="0"/>
          <w:sz w:val="32"/>
          <w:szCs w:val="32"/>
          <w:lang w:eastAsia="zh-CN"/>
        </w:rPr>
        <w:t>%。主要原因是：机构合并。项目支出</w:t>
      </w:r>
      <w:r>
        <w:rPr>
          <w:rFonts w:hint="eastAsia" w:ascii="仿宋_GB2312" w:hAnsi="宋体" w:eastAsia="仿宋_GB2312" w:cs="宋体"/>
          <w:kern w:val="0"/>
          <w:sz w:val="32"/>
          <w:szCs w:val="32"/>
          <w:lang w:val="en-US" w:eastAsia="zh-CN"/>
        </w:rPr>
        <w:t>25.32</w:t>
      </w:r>
      <w:r>
        <w:rPr>
          <w:rFonts w:hint="eastAsia" w:ascii="仿宋_GB2312" w:hAnsi="宋体" w:eastAsia="仿宋_GB2312" w:cs="宋体"/>
          <w:kern w:val="0"/>
          <w:sz w:val="32"/>
          <w:szCs w:val="32"/>
          <w:lang w:eastAsia="zh-CN"/>
        </w:rPr>
        <w:t>万元，比上年预算增加</w:t>
      </w:r>
      <w:r>
        <w:rPr>
          <w:rFonts w:hint="eastAsia" w:ascii="仿宋_GB2312" w:hAnsi="宋体" w:eastAsia="仿宋_GB2312" w:cs="宋体"/>
          <w:kern w:val="0"/>
          <w:sz w:val="32"/>
          <w:szCs w:val="32"/>
          <w:lang w:val="en-US" w:eastAsia="zh-CN"/>
        </w:rPr>
        <w:t>11</w:t>
      </w:r>
      <w:r>
        <w:rPr>
          <w:rFonts w:hint="eastAsia" w:ascii="仿宋_GB2312" w:hAnsi="宋体" w:eastAsia="仿宋_GB2312" w:cs="宋体"/>
          <w:kern w:val="0"/>
          <w:sz w:val="32"/>
          <w:szCs w:val="32"/>
          <w:lang w:eastAsia="zh-CN"/>
        </w:rPr>
        <w:t>万元，增长</w:t>
      </w:r>
      <w:r>
        <w:rPr>
          <w:rFonts w:hint="eastAsia" w:ascii="仿宋_GB2312" w:hAnsi="宋体" w:eastAsia="仿宋_GB2312" w:cs="宋体"/>
          <w:kern w:val="0"/>
          <w:sz w:val="32"/>
          <w:szCs w:val="32"/>
          <w:lang w:val="en-US" w:eastAsia="zh-CN"/>
        </w:rPr>
        <w:t>76.81</w:t>
      </w:r>
      <w:r>
        <w:rPr>
          <w:rFonts w:hint="eastAsia" w:ascii="仿宋_GB2312" w:hAnsi="宋体" w:eastAsia="仿宋_GB2312" w:cs="宋体"/>
          <w:kern w:val="0"/>
          <w:sz w:val="32"/>
          <w:szCs w:val="32"/>
          <w:lang w:eastAsia="zh-CN"/>
        </w:rPr>
        <w:t>%。主要原因是：机构合并 。</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1.一般公共服务（</w:t>
      </w:r>
      <w:r>
        <w:rPr>
          <w:rFonts w:hint="eastAsia" w:ascii="仿宋_GB2312" w:eastAsia="仿宋_GB2312"/>
          <w:sz w:val="32"/>
          <w:szCs w:val="32"/>
          <w:lang w:eastAsia="zh-CN"/>
        </w:rPr>
        <w:t>类：</w:t>
      </w:r>
      <w:r>
        <w:rPr>
          <w:rFonts w:hint="eastAsia" w:ascii="仿宋_GB2312" w:eastAsia="仿宋_GB2312"/>
          <w:sz w:val="32"/>
          <w:szCs w:val="32"/>
          <w:lang w:val="en-US" w:eastAsia="zh-CN"/>
        </w:rPr>
        <w:t>201</w:t>
      </w:r>
      <w:r>
        <w:rPr>
          <w:rFonts w:hint="eastAsia" w:ascii="仿宋_GB2312" w:eastAsia="仿宋_GB2312"/>
          <w:sz w:val="32"/>
          <w:szCs w:val="32"/>
        </w:rPr>
        <w:t>）</w:t>
      </w:r>
      <w:r>
        <w:rPr>
          <w:rFonts w:hint="eastAsia" w:ascii="仿宋_GB2312" w:eastAsia="仿宋_GB2312"/>
          <w:sz w:val="32"/>
          <w:szCs w:val="32"/>
          <w:lang w:val="en-US" w:eastAsia="zh-CN"/>
        </w:rPr>
        <w:t>254.67</w:t>
      </w:r>
      <w:r>
        <w:rPr>
          <w:rFonts w:hint="eastAsia" w:ascii="仿宋_GB2312" w:eastAsia="仿宋_GB2312"/>
          <w:sz w:val="32"/>
          <w:szCs w:val="32"/>
        </w:rPr>
        <w:t>万元，</w:t>
      </w:r>
      <w:r>
        <w:rPr>
          <w:rFonts w:hint="eastAsia" w:ascii="仿宋_GB2312" w:hAnsi="宋体" w:eastAsia="仿宋_GB2312" w:cs="宋体"/>
          <w:kern w:val="0"/>
          <w:sz w:val="32"/>
          <w:szCs w:val="32"/>
        </w:rPr>
        <w:t>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rPr>
      </w:pPr>
      <w:r>
        <w:rPr>
          <w:rFonts w:hint="eastAsia" w:ascii="楷体_GB2312" w:hAnsi="宋体" w:eastAsia="楷体_GB2312" w:cs="宋体"/>
          <w:kern w:val="0"/>
          <w:sz w:val="32"/>
          <w:szCs w:val="32"/>
          <w:lang w:val="en-US" w:eastAsia="zh-CN"/>
        </w:rPr>
        <w:t>1、</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lang w:val="en-US" w:eastAsia="zh-CN"/>
        </w:rPr>
        <w:t>201</w:t>
      </w:r>
      <w:r>
        <w:rPr>
          <w:rFonts w:ascii="仿宋_GB2312" w:hAnsi="宋体" w:eastAsia="仿宋_GB2312" w:cs="宋体"/>
          <w:kern w:val="0"/>
          <w:sz w:val="32"/>
          <w:szCs w:val="32"/>
        </w:rPr>
        <w:t>）财政事务（</w:t>
      </w:r>
      <w:r>
        <w:rPr>
          <w:rFonts w:hint="eastAsia" w:ascii="仿宋_GB2312" w:hAnsi="宋体" w:eastAsia="仿宋_GB2312" w:cs="宋体"/>
          <w:kern w:val="0"/>
          <w:sz w:val="32"/>
          <w:szCs w:val="32"/>
          <w:lang w:val="en-US" w:eastAsia="zh-CN"/>
        </w:rPr>
        <w:t>03</w:t>
      </w:r>
      <w:r>
        <w:rPr>
          <w:rFonts w:ascii="仿宋_GB2312" w:hAnsi="宋体" w:eastAsia="仿宋_GB2312" w:cs="宋体"/>
          <w:kern w:val="0"/>
          <w:sz w:val="32"/>
          <w:szCs w:val="32"/>
        </w:rPr>
        <w:t>）行政运行（</w:t>
      </w:r>
      <w:r>
        <w:rPr>
          <w:rFonts w:hint="eastAsia" w:ascii="仿宋_GB2312" w:hAnsi="宋体" w:eastAsia="仿宋_GB2312" w:cs="宋体"/>
          <w:kern w:val="0"/>
          <w:sz w:val="32"/>
          <w:szCs w:val="32"/>
          <w:lang w:val="en-US" w:eastAsia="zh-CN"/>
        </w:rPr>
        <w:t>01</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229.35</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97.85</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74.41</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机构合并。</w:t>
      </w:r>
      <w:r>
        <w:rPr>
          <w:rFonts w:hint="eastAsia" w:ascii="仿宋_GB2312" w:hAnsi="宋体" w:eastAsia="仿宋_GB2312" w:cs="宋体"/>
          <w:kern w:val="0"/>
          <w:sz w:val="32"/>
          <w:szCs w:val="32"/>
        </w:rPr>
        <w:t xml:space="preserve">     </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楷体_GB2312" w:hAnsi="宋体" w:eastAsia="楷体_GB2312" w:cs="宋体"/>
          <w:kern w:val="0"/>
          <w:sz w:val="32"/>
          <w:szCs w:val="32"/>
          <w:lang w:val="en-US" w:eastAsia="zh-CN"/>
        </w:rPr>
        <w:t>2</w:t>
      </w:r>
      <w:r>
        <w:rPr>
          <w:rFonts w:hint="eastAsia" w:ascii="楷体_GB2312" w:hAnsi="宋体" w:eastAsia="楷体_GB2312" w:cs="宋体"/>
          <w:kern w:val="0"/>
          <w:sz w:val="32"/>
          <w:szCs w:val="32"/>
        </w:rPr>
        <w:t>.</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lang w:val="en-US" w:eastAsia="zh-CN"/>
        </w:rPr>
        <w:t>201</w:t>
      </w:r>
      <w:r>
        <w:rPr>
          <w:rFonts w:ascii="仿宋_GB2312" w:hAnsi="宋体" w:eastAsia="仿宋_GB2312" w:cs="宋体"/>
          <w:kern w:val="0"/>
          <w:sz w:val="32"/>
          <w:szCs w:val="32"/>
        </w:rPr>
        <w:t>）财政事务（</w:t>
      </w:r>
      <w:r>
        <w:rPr>
          <w:rFonts w:hint="eastAsia" w:ascii="仿宋_GB2312" w:hAnsi="宋体" w:eastAsia="仿宋_GB2312" w:cs="宋体"/>
          <w:kern w:val="0"/>
          <w:sz w:val="32"/>
          <w:szCs w:val="32"/>
          <w:lang w:val="en-US" w:eastAsia="zh-CN"/>
        </w:rPr>
        <w:t>03</w:t>
      </w:r>
      <w:r>
        <w:rPr>
          <w:rFonts w:ascii="仿宋_GB2312" w:hAnsi="宋体" w:eastAsia="仿宋_GB2312" w:cs="宋体"/>
          <w:kern w:val="0"/>
          <w:sz w:val="32"/>
          <w:szCs w:val="32"/>
        </w:rPr>
        <w:t>）行政运行（</w:t>
      </w:r>
      <w:r>
        <w:rPr>
          <w:rFonts w:hint="eastAsia" w:ascii="仿宋_GB2312" w:hAnsi="宋体" w:eastAsia="仿宋_GB2312" w:cs="宋体"/>
          <w:kern w:val="0"/>
          <w:sz w:val="32"/>
          <w:szCs w:val="32"/>
          <w:lang w:val="en-US" w:eastAsia="zh-CN"/>
        </w:rPr>
        <w:t>99</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25.32</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11</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76.81</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机构合并。</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宋体" w:eastAsia="黑体" w:cs="宋体"/>
          <w:kern w:val="0"/>
          <w:sz w:val="32"/>
          <w:szCs w:val="32"/>
          <w:lang w:eastAsia="zh-CN"/>
        </w:rPr>
        <w:t>克州政务服务和公共资源交易中心</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克州政务服务和公共资源交易中心</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年一般公共预算基本支出</w:t>
      </w:r>
      <w:r>
        <w:rPr>
          <w:rFonts w:hint="eastAsia" w:ascii="仿宋_GB2312" w:hAnsi="宋体" w:eastAsia="仿宋_GB2312" w:cs="宋体"/>
          <w:kern w:val="0"/>
          <w:sz w:val="32"/>
          <w:szCs w:val="32"/>
          <w:lang w:val="en-US" w:eastAsia="zh-CN"/>
        </w:rPr>
        <w:t>229.35</w:t>
      </w:r>
      <w:r>
        <w:rPr>
          <w:rFonts w:hint="eastAsia" w:ascii="仿宋_GB2312" w:hAnsi="宋体" w:eastAsia="仿宋_GB2312" w:cs="宋体"/>
          <w:kern w:val="0"/>
          <w:sz w:val="32"/>
          <w:szCs w:val="32"/>
        </w:rPr>
        <w:t>万元， 其中：</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人员经费</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211.62</w:t>
      </w:r>
      <w:r>
        <w:rPr>
          <w:rFonts w:hint="eastAsia" w:ascii="仿宋_GB2312" w:hAnsi="宋体" w:eastAsia="仿宋_GB2312" w:cs="宋体"/>
          <w:color w:val="000000" w:themeColor="text1"/>
          <w:kern w:val="0"/>
          <w:sz w:val="32"/>
          <w:szCs w:val="32"/>
          <w14:textFill>
            <w14:solidFill>
              <w14:schemeClr w14:val="tx1"/>
            </w14:solidFill>
          </w14:textFill>
        </w:rPr>
        <w:t>万元，主要包括：基本工资</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67.16万元</w:t>
      </w:r>
      <w:r>
        <w:rPr>
          <w:rFonts w:hint="eastAsia" w:ascii="仿宋_GB2312" w:hAnsi="宋体" w:eastAsia="仿宋_GB2312" w:cs="宋体"/>
          <w:color w:val="000000" w:themeColor="text1"/>
          <w:kern w:val="0"/>
          <w:sz w:val="32"/>
          <w:szCs w:val="32"/>
          <w14:textFill>
            <w14:solidFill>
              <w14:schemeClr w14:val="tx1"/>
            </w14:solidFill>
          </w14:textFill>
        </w:rPr>
        <w:t>、津贴补贴</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88.74万元</w:t>
      </w:r>
      <w:r>
        <w:rPr>
          <w:rFonts w:hint="eastAsia" w:ascii="仿宋_GB2312" w:hAnsi="宋体" w:eastAsia="仿宋_GB2312" w:cs="宋体"/>
          <w:color w:val="000000" w:themeColor="text1"/>
          <w:kern w:val="0"/>
          <w:sz w:val="32"/>
          <w:szCs w:val="32"/>
          <w14:textFill>
            <w14:solidFill>
              <w14:schemeClr w14:val="tx1"/>
            </w14:solidFill>
          </w14:textFill>
        </w:rPr>
        <w:t>、奖金</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5.6万元</w:t>
      </w:r>
      <w:r>
        <w:rPr>
          <w:rFonts w:hint="eastAsia" w:ascii="仿宋_GB2312" w:hAnsi="宋体" w:eastAsia="仿宋_GB2312" w:cs="宋体"/>
          <w:color w:val="000000" w:themeColor="text1"/>
          <w:kern w:val="0"/>
          <w:sz w:val="32"/>
          <w:szCs w:val="32"/>
          <w14:textFill>
            <w14:solidFill>
              <w14:schemeClr w14:val="tx1"/>
            </w14:solidFill>
          </w14:textFill>
        </w:rPr>
        <w:t>、机关事业单位基本养老保险缴费</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22.9万元</w:t>
      </w:r>
      <w:r>
        <w:rPr>
          <w:rFonts w:hint="eastAsia" w:ascii="仿宋_GB2312" w:hAnsi="宋体" w:eastAsia="仿宋_GB2312" w:cs="宋体"/>
          <w:color w:val="000000" w:themeColor="text1"/>
          <w:kern w:val="0"/>
          <w:sz w:val="32"/>
          <w:szCs w:val="32"/>
          <w14:textFill>
            <w14:solidFill>
              <w14:schemeClr w14:val="tx1"/>
            </w14:solidFill>
          </w14:textFill>
        </w:rPr>
        <w:t>、其他社会保障缴费</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10.7万元</w:t>
      </w:r>
      <w:r>
        <w:rPr>
          <w:rFonts w:hint="eastAsia" w:ascii="仿宋_GB2312" w:hAnsi="宋体" w:eastAsia="仿宋_GB2312" w:cs="宋体"/>
          <w:color w:val="000000" w:themeColor="text1"/>
          <w:kern w:val="0"/>
          <w:sz w:val="32"/>
          <w:szCs w:val="32"/>
          <w14:textFill>
            <w14:solidFill>
              <w14:schemeClr w14:val="tx1"/>
            </w14:solidFill>
          </w14:textFill>
        </w:rPr>
        <w:t>、住房公积金</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16.51万元</w:t>
      </w:r>
      <w:r>
        <w:rPr>
          <w:rFonts w:hint="eastAsia" w:ascii="仿宋_GB2312" w:hAnsi="宋体" w:eastAsia="仿宋_GB2312" w:cs="宋体"/>
          <w:color w:val="000000" w:themeColor="text1"/>
          <w:kern w:val="0"/>
          <w:sz w:val="32"/>
          <w:szCs w:val="32"/>
          <w14:textFill>
            <w14:solidFill>
              <w14:schemeClr w14:val="tx1"/>
            </w14:solidFill>
          </w14:textFill>
        </w:rPr>
        <w:t>、奖励金</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0.02万元</w:t>
      </w:r>
      <w:r>
        <w:rPr>
          <w:rFonts w:hint="eastAsia" w:ascii="仿宋_GB2312" w:hAnsi="宋体" w:eastAsia="仿宋_GB2312" w:cs="宋体"/>
          <w:color w:val="000000" w:themeColor="text1"/>
          <w:kern w:val="0"/>
          <w:sz w:val="32"/>
          <w:szCs w:val="32"/>
          <w14:textFill>
            <w14:solidFill>
              <w14:schemeClr w14:val="tx1"/>
            </w14:solidFill>
          </w14:textFill>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17.73</w:t>
      </w:r>
      <w:r>
        <w:rPr>
          <w:rFonts w:hint="eastAsia" w:ascii="仿宋_GB2312" w:hAnsi="宋体" w:eastAsia="仿宋_GB2312" w:cs="宋体"/>
          <w:kern w:val="0"/>
          <w:sz w:val="32"/>
          <w:szCs w:val="32"/>
        </w:rPr>
        <w:t>万元，主要包括：办公费</w:t>
      </w:r>
      <w:r>
        <w:rPr>
          <w:rFonts w:hint="eastAsia" w:ascii="仿宋_GB2312" w:hAnsi="宋体" w:eastAsia="仿宋_GB2312" w:cs="宋体"/>
          <w:kern w:val="0"/>
          <w:sz w:val="32"/>
          <w:szCs w:val="32"/>
          <w:lang w:val="en-US" w:eastAsia="zh-CN"/>
        </w:rPr>
        <w:t>2万元</w:t>
      </w:r>
      <w:r>
        <w:rPr>
          <w:rFonts w:hint="eastAsia" w:ascii="仿宋_GB2312" w:hAnsi="宋体" w:eastAsia="仿宋_GB2312" w:cs="宋体"/>
          <w:kern w:val="0"/>
          <w:sz w:val="32"/>
          <w:szCs w:val="32"/>
        </w:rPr>
        <w:t>、印刷费</w:t>
      </w:r>
      <w:r>
        <w:rPr>
          <w:rFonts w:hint="eastAsia" w:ascii="仿宋_GB2312" w:hAnsi="宋体" w:eastAsia="仿宋_GB2312" w:cs="宋体"/>
          <w:kern w:val="0"/>
          <w:sz w:val="32"/>
          <w:szCs w:val="32"/>
          <w:lang w:val="en-US" w:eastAsia="zh-CN"/>
        </w:rPr>
        <w:t>1万元</w:t>
      </w:r>
      <w:r>
        <w:rPr>
          <w:rFonts w:hint="eastAsia" w:ascii="仿宋_GB2312" w:hAnsi="宋体" w:eastAsia="仿宋_GB2312" w:cs="宋体"/>
          <w:kern w:val="0"/>
          <w:sz w:val="32"/>
          <w:szCs w:val="32"/>
        </w:rPr>
        <w:t>、水费</w:t>
      </w:r>
      <w:r>
        <w:rPr>
          <w:rFonts w:hint="eastAsia" w:ascii="仿宋_GB2312" w:hAnsi="宋体" w:eastAsia="仿宋_GB2312" w:cs="宋体"/>
          <w:kern w:val="0"/>
          <w:sz w:val="32"/>
          <w:szCs w:val="32"/>
          <w:lang w:val="en-US" w:eastAsia="zh-CN"/>
        </w:rPr>
        <w:t>0.1万元</w:t>
      </w:r>
      <w:r>
        <w:rPr>
          <w:rFonts w:hint="eastAsia" w:ascii="仿宋_GB2312" w:hAnsi="宋体" w:eastAsia="仿宋_GB2312" w:cs="宋体"/>
          <w:kern w:val="0"/>
          <w:sz w:val="32"/>
          <w:szCs w:val="32"/>
        </w:rPr>
        <w:t>、电费</w:t>
      </w:r>
      <w:r>
        <w:rPr>
          <w:rFonts w:hint="eastAsia" w:ascii="仿宋_GB2312" w:hAnsi="宋体" w:eastAsia="仿宋_GB2312" w:cs="宋体"/>
          <w:kern w:val="0"/>
          <w:sz w:val="32"/>
          <w:szCs w:val="32"/>
          <w:lang w:val="en-US" w:eastAsia="zh-CN"/>
        </w:rPr>
        <w:t>1.2万元</w:t>
      </w:r>
      <w:r>
        <w:rPr>
          <w:rFonts w:hint="eastAsia" w:ascii="仿宋_GB2312" w:hAnsi="宋体" w:eastAsia="仿宋_GB2312" w:cs="宋体"/>
          <w:kern w:val="0"/>
          <w:sz w:val="32"/>
          <w:szCs w:val="32"/>
        </w:rPr>
        <w:t>、邮电费</w:t>
      </w:r>
      <w:r>
        <w:rPr>
          <w:rFonts w:hint="eastAsia" w:ascii="仿宋_GB2312" w:hAnsi="宋体" w:eastAsia="仿宋_GB2312" w:cs="宋体"/>
          <w:kern w:val="0"/>
          <w:sz w:val="32"/>
          <w:szCs w:val="32"/>
          <w:lang w:val="en-US" w:eastAsia="zh-CN"/>
        </w:rPr>
        <w:t>1万元</w:t>
      </w:r>
      <w:r>
        <w:rPr>
          <w:rFonts w:hint="eastAsia" w:ascii="仿宋_GB2312" w:hAnsi="宋体" w:eastAsia="仿宋_GB2312" w:cs="宋体"/>
          <w:kern w:val="0"/>
          <w:sz w:val="32"/>
          <w:szCs w:val="32"/>
        </w:rPr>
        <w:t>、物业管理费</w:t>
      </w:r>
      <w:r>
        <w:rPr>
          <w:rFonts w:hint="eastAsia" w:ascii="仿宋_GB2312" w:hAnsi="宋体" w:eastAsia="仿宋_GB2312" w:cs="宋体"/>
          <w:kern w:val="0"/>
          <w:sz w:val="32"/>
          <w:szCs w:val="32"/>
          <w:lang w:val="en-US" w:eastAsia="zh-CN"/>
        </w:rPr>
        <w:t>0.2万元</w:t>
      </w:r>
      <w:r>
        <w:rPr>
          <w:rFonts w:hint="eastAsia" w:ascii="仿宋_GB2312" w:hAnsi="宋体" w:eastAsia="仿宋_GB2312" w:cs="宋体"/>
          <w:kern w:val="0"/>
          <w:sz w:val="32"/>
          <w:szCs w:val="32"/>
        </w:rPr>
        <w:t>、差旅费</w:t>
      </w:r>
      <w:r>
        <w:rPr>
          <w:rFonts w:hint="eastAsia" w:ascii="仿宋_GB2312" w:hAnsi="宋体" w:eastAsia="仿宋_GB2312" w:cs="宋体"/>
          <w:kern w:val="0"/>
          <w:sz w:val="32"/>
          <w:szCs w:val="32"/>
          <w:lang w:val="en-US" w:eastAsia="zh-CN"/>
        </w:rPr>
        <w:t>0.5万元</w:t>
      </w:r>
      <w:r>
        <w:rPr>
          <w:rFonts w:hint="eastAsia" w:ascii="仿宋_GB2312" w:hAnsi="宋体" w:eastAsia="仿宋_GB2312" w:cs="宋体"/>
          <w:kern w:val="0"/>
          <w:sz w:val="32"/>
          <w:szCs w:val="32"/>
        </w:rPr>
        <w:t>、维修（护）费</w:t>
      </w:r>
      <w:r>
        <w:rPr>
          <w:rFonts w:hint="eastAsia" w:ascii="仿宋_GB2312" w:hAnsi="宋体" w:eastAsia="仿宋_GB2312" w:cs="宋体"/>
          <w:kern w:val="0"/>
          <w:sz w:val="32"/>
          <w:szCs w:val="32"/>
          <w:lang w:val="en-US" w:eastAsia="zh-CN"/>
        </w:rPr>
        <w:t>1万元</w:t>
      </w:r>
      <w:r>
        <w:rPr>
          <w:rFonts w:hint="eastAsia" w:ascii="仿宋_GB2312" w:hAnsi="宋体" w:eastAsia="仿宋_GB2312" w:cs="宋体"/>
          <w:kern w:val="0"/>
          <w:sz w:val="32"/>
          <w:szCs w:val="32"/>
        </w:rPr>
        <w:t>、租赁费</w:t>
      </w:r>
      <w:r>
        <w:rPr>
          <w:rFonts w:hint="eastAsia" w:ascii="仿宋_GB2312" w:hAnsi="宋体" w:eastAsia="仿宋_GB2312" w:cs="宋体"/>
          <w:kern w:val="0"/>
          <w:sz w:val="32"/>
          <w:szCs w:val="32"/>
          <w:lang w:val="en-US" w:eastAsia="zh-CN"/>
        </w:rPr>
        <w:t>1.2万元</w:t>
      </w:r>
      <w:r>
        <w:rPr>
          <w:rFonts w:hint="eastAsia" w:ascii="仿宋_GB2312" w:hAnsi="宋体" w:eastAsia="仿宋_GB2312" w:cs="宋体"/>
          <w:kern w:val="0"/>
          <w:sz w:val="32"/>
          <w:szCs w:val="32"/>
        </w:rPr>
        <w:t>、培训费</w:t>
      </w:r>
      <w:r>
        <w:rPr>
          <w:rFonts w:hint="eastAsia" w:ascii="仿宋_GB2312" w:hAnsi="宋体" w:eastAsia="仿宋_GB2312" w:cs="宋体"/>
          <w:kern w:val="0"/>
          <w:sz w:val="32"/>
          <w:szCs w:val="32"/>
          <w:lang w:val="en-US" w:eastAsia="zh-CN"/>
        </w:rPr>
        <w:t>0.1万元</w:t>
      </w:r>
      <w:r>
        <w:rPr>
          <w:rFonts w:hint="eastAsia" w:ascii="仿宋_GB2312" w:hAnsi="宋体" w:eastAsia="仿宋_GB2312" w:cs="宋体"/>
          <w:kern w:val="0"/>
          <w:sz w:val="32"/>
          <w:szCs w:val="32"/>
        </w:rPr>
        <w:t>、公务接待费</w:t>
      </w:r>
      <w:r>
        <w:rPr>
          <w:rFonts w:hint="eastAsia" w:ascii="仿宋_GB2312" w:hAnsi="宋体" w:eastAsia="仿宋_GB2312" w:cs="宋体"/>
          <w:kern w:val="0"/>
          <w:sz w:val="32"/>
          <w:szCs w:val="32"/>
          <w:lang w:val="en-US" w:eastAsia="zh-CN"/>
        </w:rPr>
        <w:t>0.3万元</w:t>
      </w:r>
      <w:r>
        <w:rPr>
          <w:rFonts w:hint="eastAsia" w:ascii="仿宋_GB2312" w:hAnsi="宋体" w:eastAsia="仿宋_GB2312" w:cs="宋体"/>
          <w:kern w:val="0"/>
          <w:sz w:val="32"/>
          <w:szCs w:val="32"/>
        </w:rPr>
        <w:t>、工会经费</w:t>
      </w:r>
      <w:r>
        <w:rPr>
          <w:rFonts w:hint="eastAsia" w:ascii="仿宋_GB2312" w:hAnsi="宋体" w:eastAsia="仿宋_GB2312" w:cs="宋体"/>
          <w:kern w:val="0"/>
          <w:sz w:val="32"/>
          <w:szCs w:val="32"/>
          <w:lang w:val="en-US" w:eastAsia="zh-CN"/>
        </w:rPr>
        <w:t>0.97万元</w:t>
      </w:r>
      <w:r>
        <w:rPr>
          <w:rFonts w:hint="eastAsia" w:ascii="仿宋_GB2312" w:hAnsi="宋体" w:eastAsia="仿宋_GB2312" w:cs="宋体"/>
          <w:kern w:val="0"/>
          <w:sz w:val="32"/>
          <w:szCs w:val="32"/>
        </w:rPr>
        <w:t>、福利费</w:t>
      </w:r>
      <w:r>
        <w:rPr>
          <w:rFonts w:hint="eastAsia" w:ascii="仿宋_GB2312" w:hAnsi="宋体" w:eastAsia="仿宋_GB2312" w:cs="宋体"/>
          <w:kern w:val="0"/>
          <w:sz w:val="32"/>
          <w:szCs w:val="32"/>
          <w:lang w:val="en-US" w:eastAsia="zh-CN"/>
        </w:rPr>
        <w:t>1.75万元</w:t>
      </w:r>
      <w:r>
        <w:rPr>
          <w:rFonts w:hint="eastAsia" w:ascii="仿宋_GB2312" w:hAnsi="宋体" w:eastAsia="仿宋_GB2312" w:cs="宋体"/>
          <w:kern w:val="0"/>
          <w:sz w:val="32"/>
          <w:szCs w:val="32"/>
        </w:rPr>
        <w:t>、办公设备购置</w:t>
      </w:r>
      <w:r>
        <w:rPr>
          <w:rFonts w:hint="eastAsia" w:ascii="仿宋_GB2312" w:hAnsi="宋体" w:eastAsia="仿宋_GB2312" w:cs="宋体"/>
          <w:kern w:val="0"/>
          <w:sz w:val="32"/>
          <w:szCs w:val="32"/>
          <w:lang w:val="en-US" w:eastAsia="zh-CN"/>
        </w:rPr>
        <w:t>6.4万元</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w:t>
      </w:r>
      <w:r>
        <w:rPr>
          <w:rFonts w:hint="eastAsia" w:ascii="黑体" w:hAnsi="宋体" w:eastAsia="黑体" w:cs="宋体"/>
          <w:kern w:val="0"/>
          <w:sz w:val="32"/>
          <w:szCs w:val="32"/>
          <w:lang w:eastAsia="zh-CN"/>
        </w:rPr>
        <w:t>克州政务服务和公共资源交易中心</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年一般公共预算项目支出情况说明</w:t>
      </w:r>
    </w:p>
    <w:p>
      <w:pPr>
        <w:widowControl/>
        <w:spacing w:line="580" w:lineRule="exact"/>
        <w:jc w:val="left"/>
        <w:rPr>
          <w:rFonts w:hint="eastAsia" w:ascii="仿宋_GB2312" w:hAnsi="黑体" w:eastAsia="仿宋_GB2312"/>
          <w:sz w:val="32"/>
          <w:szCs w:val="32"/>
          <w:lang w:val="en-US" w:eastAsia="zh-CN"/>
        </w:rPr>
      </w:pPr>
    </w:p>
    <w:p>
      <w:pPr>
        <w:widowControl/>
        <w:spacing w:line="580" w:lineRule="exact"/>
        <w:ind w:firstLine="640" w:firstLineChars="200"/>
        <w:jc w:val="left"/>
        <w:rPr>
          <w:rFonts w:hint="eastAsia" w:ascii="仿宋_GB2312" w:hAnsi="黑体" w:eastAsia="仿宋_GB2312"/>
          <w:sz w:val="32"/>
          <w:szCs w:val="32"/>
          <w:lang w:val="en-US" w:eastAsia="zh-CN"/>
        </w:rPr>
      </w:pPr>
    </w:p>
    <w:p>
      <w:pPr>
        <w:widowControl/>
        <w:spacing w:line="580" w:lineRule="exact"/>
        <w:jc w:val="left"/>
        <w:rPr>
          <w:rFonts w:hint="eastAsia" w:ascii="仿宋_GB2312" w:hAnsi="黑体" w:eastAsia="仿宋_GB2312"/>
          <w:sz w:val="32"/>
          <w:szCs w:val="32"/>
          <w:lang w:val="en-US" w:eastAsia="zh-CN"/>
        </w:rPr>
      </w:pP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情况一：（项目支出、专项业务费按下列内容说明）</w:t>
      </w:r>
    </w:p>
    <w:p>
      <w:pPr>
        <w:widowControl/>
        <w:spacing w:line="580" w:lineRule="exact"/>
        <w:ind w:firstLine="640" w:firstLineChars="200"/>
        <w:jc w:val="left"/>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1、业务经费</w:t>
      </w:r>
    </w:p>
    <w:p>
      <w:pPr>
        <w:widowControl/>
        <w:spacing w:line="580" w:lineRule="exact"/>
        <w:ind w:firstLine="640" w:firstLineChars="200"/>
        <w:jc w:val="left"/>
        <w:rPr>
          <w:rFonts w:hint="eastAsia" w:ascii="仿宋_GB2312" w:hAnsi="宋体" w:eastAsia="仿宋_GB2312" w:cs="宋体"/>
          <w:kern w:val="0"/>
          <w:sz w:val="32"/>
          <w:szCs w:val="32"/>
          <w:lang w:eastAsia="zh-CN"/>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业务经费</w:t>
      </w:r>
    </w:p>
    <w:p>
      <w:pPr>
        <w:widowControl/>
        <w:spacing w:line="560" w:lineRule="exact"/>
        <w:ind w:firstLine="640" w:firstLineChars="200"/>
        <w:jc w:val="left"/>
        <w:rPr>
          <w:rFonts w:hint="eastAsia"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根据</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年财政预算编制内容</w:t>
      </w:r>
    </w:p>
    <w:p>
      <w:pPr>
        <w:widowControl/>
        <w:spacing w:line="580" w:lineRule="exact"/>
        <w:ind w:firstLine="640"/>
        <w:jc w:val="left"/>
        <w:rPr>
          <w:rFonts w:hint="eastAsia" w:ascii="仿宋_GB2312" w:hAnsi="黑体" w:eastAsia="仿宋_GB2312"/>
          <w:sz w:val="32"/>
          <w:szCs w:val="32"/>
          <w:lang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6万元</w:t>
      </w:r>
    </w:p>
    <w:p>
      <w:pPr>
        <w:widowControl/>
        <w:spacing w:line="580" w:lineRule="exact"/>
        <w:ind w:firstLine="640"/>
        <w:jc w:val="left"/>
        <w:rPr>
          <w:rFonts w:hint="eastAsia" w:ascii="仿宋_GB2312" w:hAnsi="宋体" w:eastAsia="仿宋_GB2312" w:cs="宋体"/>
          <w:kern w:val="0"/>
          <w:sz w:val="32"/>
          <w:szCs w:val="32"/>
          <w:lang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克州政务服务和公共资源交易中心</w:t>
      </w:r>
    </w:p>
    <w:p>
      <w:pPr>
        <w:widowControl/>
        <w:spacing w:line="580" w:lineRule="exact"/>
        <w:ind w:firstLine="640"/>
        <w:jc w:val="left"/>
        <w:rPr>
          <w:rFonts w:hint="eastAsia" w:ascii="仿宋_GB2312" w:hAnsi="仿宋" w:eastAsia="仿宋_GB2312"/>
          <w:color w:val="000000"/>
          <w:sz w:val="32"/>
          <w:szCs w:val="32"/>
          <w:lang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克州政务服务和公共资源交易中心</w:t>
      </w:r>
      <w:r>
        <w:rPr>
          <w:rStyle w:val="10"/>
          <w:rFonts w:hint="eastAsia" w:ascii="仿宋_GB2312" w:hAnsi="楷体" w:eastAsia="仿宋_GB2312"/>
          <w:b w:val="0"/>
          <w:color w:val="000000"/>
          <w:spacing w:val="-4"/>
          <w:sz w:val="32"/>
          <w:szCs w:val="32"/>
        </w:rPr>
        <w:t>为财政全额补助事业单位，</w:t>
      </w:r>
      <w:r>
        <w:rPr>
          <w:rFonts w:hint="eastAsia" w:ascii="仿宋_GB2312" w:hAnsi="仿宋" w:eastAsia="仿宋_GB2312"/>
          <w:color w:val="000000"/>
          <w:sz w:val="32"/>
          <w:szCs w:val="32"/>
        </w:rPr>
        <w:t>独立核算机构</w:t>
      </w:r>
      <w:r>
        <w:rPr>
          <w:rFonts w:hint="eastAsia" w:ascii="仿宋_GB2312" w:hAnsi="仿宋" w:eastAsia="仿宋_GB2312"/>
          <w:b/>
          <w:bCs/>
          <w:color w:val="000000"/>
          <w:sz w:val="32"/>
          <w:szCs w:val="32"/>
        </w:rPr>
        <w:t>，</w:t>
      </w:r>
      <w:r>
        <w:rPr>
          <w:rStyle w:val="10"/>
          <w:rFonts w:hint="eastAsia" w:ascii="仿宋_GB2312" w:hAnsi="楷体" w:eastAsia="仿宋_GB2312"/>
          <w:b w:val="0"/>
          <w:color w:val="000000"/>
          <w:spacing w:val="-4"/>
          <w:sz w:val="32"/>
          <w:szCs w:val="32"/>
        </w:rPr>
        <w:t>编制人数</w:t>
      </w:r>
      <w:r>
        <w:rPr>
          <w:rStyle w:val="10"/>
          <w:rFonts w:hint="eastAsia" w:ascii="仿宋_GB2312" w:hAnsi="楷体" w:eastAsia="仿宋_GB2312"/>
          <w:b w:val="0"/>
          <w:color w:val="000000"/>
          <w:spacing w:val="-4"/>
          <w:sz w:val="32"/>
          <w:szCs w:val="32"/>
          <w:lang w:val="en-US" w:eastAsia="zh-CN"/>
        </w:rPr>
        <w:t>24</w:t>
      </w:r>
      <w:r>
        <w:rPr>
          <w:rStyle w:val="10"/>
          <w:rFonts w:hint="eastAsia" w:ascii="仿宋_GB2312" w:hAnsi="楷体" w:eastAsia="仿宋_GB2312"/>
          <w:b w:val="0"/>
          <w:color w:val="000000"/>
          <w:spacing w:val="-4"/>
          <w:sz w:val="32"/>
          <w:szCs w:val="32"/>
        </w:rPr>
        <w:t>人，20</w:t>
      </w:r>
      <w:r>
        <w:rPr>
          <w:rStyle w:val="10"/>
          <w:rFonts w:hint="eastAsia" w:ascii="仿宋_GB2312" w:hAnsi="楷体" w:eastAsia="仿宋_GB2312"/>
          <w:b w:val="0"/>
          <w:color w:val="000000"/>
          <w:spacing w:val="-4"/>
          <w:sz w:val="32"/>
          <w:szCs w:val="32"/>
          <w:lang w:val="en-US" w:eastAsia="zh-CN"/>
        </w:rPr>
        <w:t>21</w:t>
      </w:r>
      <w:r>
        <w:rPr>
          <w:rStyle w:val="10"/>
          <w:rFonts w:hint="eastAsia" w:ascii="仿宋_GB2312" w:hAnsi="楷体" w:eastAsia="仿宋_GB2312"/>
          <w:b w:val="0"/>
          <w:color w:val="000000"/>
          <w:spacing w:val="-4"/>
          <w:sz w:val="32"/>
          <w:szCs w:val="32"/>
        </w:rPr>
        <w:t>年在职人数</w:t>
      </w:r>
      <w:r>
        <w:rPr>
          <w:rStyle w:val="10"/>
          <w:rFonts w:hint="eastAsia" w:ascii="仿宋_GB2312" w:hAnsi="楷体" w:eastAsia="仿宋_GB2312"/>
          <w:b w:val="0"/>
          <w:color w:val="000000"/>
          <w:spacing w:val="-4"/>
          <w:sz w:val="32"/>
          <w:szCs w:val="32"/>
          <w:lang w:val="en-US" w:eastAsia="zh-CN"/>
        </w:rPr>
        <w:t>19</w:t>
      </w:r>
      <w:r>
        <w:rPr>
          <w:rStyle w:val="10"/>
          <w:rFonts w:hint="eastAsia" w:ascii="仿宋_GB2312" w:hAnsi="楷体" w:eastAsia="仿宋_GB2312"/>
          <w:b w:val="0"/>
          <w:color w:val="000000"/>
          <w:spacing w:val="-4"/>
          <w:sz w:val="32"/>
          <w:szCs w:val="32"/>
        </w:rPr>
        <w:t>人，处级领导</w:t>
      </w:r>
      <w:r>
        <w:rPr>
          <w:rStyle w:val="10"/>
          <w:rFonts w:hint="eastAsia" w:ascii="仿宋_GB2312" w:hAnsi="楷体" w:eastAsia="仿宋_GB2312"/>
          <w:b w:val="0"/>
          <w:color w:val="000000"/>
          <w:spacing w:val="-4"/>
          <w:sz w:val="32"/>
          <w:szCs w:val="32"/>
          <w:lang w:val="en-US" w:eastAsia="zh-CN"/>
        </w:rPr>
        <w:t>2</w:t>
      </w:r>
      <w:r>
        <w:rPr>
          <w:rStyle w:val="10"/>
          <w:rFonts w:hint="eastAsia" w:ascii="仿宋_GB2312" w:hAnsi="楷体" w:eastAsia="仿宋_GB2312"/>
          <w:b w:val="0"/>
          <w:color w:val="000000"/>
          <w:spacing w:val="-4"/>
          <w:sz w:val="32"/>
          <w:szCs w:val="32"/>
          <w:lang w:eastAsia="zh-CN"/>
        </w:rPr>
        <w:t>人</w:t>
      </w:r>
      <w:r>
        <w:rPr>
          <w:rStyle w:val="10"/>
          <w:rFonts w:hint="eastAsia" w:ascii="仿宋_GB2312" w:hAnsi="楷体" w:eastAsia="仿宋_GB2312"/>
          <w:b w:val="0"/>
          <w:color w:val="000000"/>
          <w:spacing w:val="-4"/>
          <w:sz w:val="32"/>
          <w:szCs w:val="32"/>
        </w:rPr>
        <w:t>（主任职务1</w:t>
      </w:r>
      <w:r>
        <w:rPr>
          <w:rStyle w:val="10"/>
          <w:rFonts w:hint="eastAsia" w:ascii="仿宋_GB2312" w:hAnsi="楷体" w:eastAsia="仿宋_GB2312"/>
          <w:b w:val="0"/>
          <w:color w:val="000000"/>
          <w:spacing w:val="-4"/>
          <w:sz w:val="32"/>
          <w:szCs w:val="32"/>
          <w:lang w:eastAsia="zh-CN"/>
        </w:rPr>
        <w:t>人</w:t>
      </w:r>
      <w:r>
        <w:rPr>
          <w:rStyle w:val="10"/>
          <w:rFonts w:hint="eastAsia" w:ascii="仿宋_GB2312" w:hAnsi="楷体" w:eastAsia="仿宋_GB2312"/>
          <w:b w:val="0"/>
          <w:color w:val="000000"/>
          <w:spacing w:val="-4"/>
          <w:sz w:val="32"/>
          <w:szCs w:val="32"/>
        </w:rPr>
        <w:t>，副主任职务</w:t>
      </w:r>
      <w:r>
        <w:rPr>
          <w:rStyle w:val="10"/>
          <w:rFonts w:hint="eastAsia" w:ascii="仿宋_GB2312" w:hAnsi="楷体" w:eastAsia="仿宋_GB2312"/>
          <w:b w:val="0"/>
          <w:color w:val="000000"/>
          <w:spacing w:val="-4"/>
          <w:sz w:val="32"/>
          <w:szCs w:val="32"/>
          <w:lang w:val="en-US" w:eastAsia="zh-CN"/>
        </w:rPr>
        <w:t>1</w:t>
      </w:r>
      <w:r>
        <w:rPr>
          <w:rStyle w:val="10"/>
          <w:rFonts w:hint="eastAsia" w:ascii="仿宋_GB2312" w:hAnsi="楷体" w:eastAsia="仿宋_GB2312"/>
          <w:b w:val="0"/>
          <w:color w:val="000000"/>
          <w:spacing w:val="-4"/>
          <w:sz w:val="32"/>
          <w:szCs w:val="32"/>
          <w:lang w:eastAsia="zh-CN"/>
        </w:rPr>
        <w:t>人</w:t>
      </w:r>
      <w:r>
        <w:rPr>
          <w:rStyle w:val="10"/>
          <w:rFonts w:hint="eastAsia" w:ascii="仿宋_GB2312" w:hAnsi="楷体" w:eastAsia="仿宋_GB2312"/>
          <w:b w:val="0"/>
          <w:color w:val="000000"/>
          <w:spacing w:val="-4"/>
          <w:sz w:val="32"/>
          <w:szCs w:val="32"/>
        </w:rPr>
        <w:t>），</w:t>
      </w:r>
      <w:r>
        <w:rPr>
          <w:rFonts w:hint="eastAsia" w:ascii="仿宋_GB2312" w:hAnsi="仿宋" w:eastAsia="仿宋_GB2312"/>
          <w:color w:val="000000" w:themeColor="text1"/>
          <w:sz w:val="32"/>
          <w:szCs w:val="32"/>
          <w14:textFill>
            <w14:solidFill>
              <w14:schemeClr w14:val="tx1"/>
            </w14:solidFill>
          </w14:textFill>
        </w:rPr>
        <w:t>内设</w:t>
      </w:r>
      <w:r>
        <w:rPr>
          <w:rFonts w:hint="eastAsia" w:ascii="仿宋_GB2312" w:hAnsi="仿宋" w:eastAsia="仿宋_GB2312"/>
          <w:color w:val="000000" w:themeColor="text1"/>
          <w:sz w:val="32"/>
          <w:szCs w:val="32"/>
          <w:lang w:val="en-US" w:eastAsia="zh-CN"/>
          <w14:textFill>
            <w14:solidFill>
              <w14:schemeClr w14:val="tx1"/>
            </w14:solidFill>
          </w14:textFill>
        </w:rPr>
        <w:t>7</w:t>
      </w:r>
      <w:r>
        <w:rPr>
          <w:rFonts w:hint="eastAsia" w:ascii="仿宋_GB2312" w:hAnsi="仿宋" w:eastAsia="仿宋_GB2312"/>
          <w:color w:val="000000" w:themeColor="text1"/>
          <w:sz w:val="32"/>
          <w:szCs w:val="32"/>
          <w14:textFill>
            <w14:solidFill>
              <w14:schemeClr w14:val="tx1"/>
            </w14:solidFill>
          </w14:textFill>
        </w:rPr>
        <w:t>个职能科（室），</w:t>
      </w:r>
      <w:r>
        <w:rPr>
          <w:rFonts w:hint="eastAsia" w:ascii="仿宋_GB2312" w:hAnsi="仿宋" w:eastAsia="仿宋_GB2312"/>
          <w:color w:val="000000" w:themeColor="text1"/>
          <w:sz w:val="32"/>
          <w:szCs w:val="32"/>
          <w:lang w:eastAsia="zh-CN"/>
          <w14:textFill>
            <w14:solidFill>
              <w14:schemeClr w14:val="tx1"/>
            </w14:solidFill>
          </w14:textFill>
        </w:rPr>
        <w:t>进驻中心办事单位</w:t>
      </w:r>
      <w:r>
        <w:rPr>
          <w:rFonts w:hint="eastAsia" w:ascii="仿宋_GB2312" w:hAnsi="仿宋" w:eastAsia="仿宋_GB2312"/>
          <w:color w:val="000000" w:themeColor="text1"/>
          <w:sz w:val="32"/>
          <w:szCs w:val="32"/>
          <w:lang w:val="en-US" w:eastAsia="zh-CN"/>
          <w14:textFill>
            <w14:solidFill>
              <w14:schemeClr w14:val="tx1"/>
            </w14:solidFill>
          </w14:textFill>
        </w:rPr>
        <w:t>41</w:t>
      </w:r>
      <w:r>
        <w:rPr>
          <w:rFonts w:hint="eastAsia" w:ascii="仿宋_GB2312" w:hAnsi="仿宋" w:eastAsia="仿宋_GB2312"/>
          <w:color w:val="000000" w:themeColor="text1"/>
          <w:sz w:val="32"/>
          <w:szCs w:val="32"/>
          <w:lang w:eastAsia="zh-CN"/>
          <w14:textFill>
            <w14:solidFill>
              <w14:schemeClr w14:val="tx1"/>
            </w14:solidFill>
          </w14:textFill>
        </w:rPr>
        <w:t>个，</w:t>
      </w:r>
      <w:r>
        <w:rPr>
          <w:rFonts w:hint="eastAsia" w:ascii="仿宋_GB2312" w:hAnsi="仿宋" w:eastAsia="仿宋_GB2312"/>
          <w:color w:val="000000"/>
          <w:sz w:val="32"/>
          <w:szCs w:val="32"/>
          <w:lang w:eastAsia="zh-CN"/>
        </w:rPr>
        <w:t>窗口工作人员</w:t>
      </w:r>
      <w:r>
        <w:rPr>
          <w:rFonts w:hint="eastAsia" w:ascii="仿宋_GB2312" w:hAnsi="仿宋" w:eastAsia="仿宋_GB2312"/>
          <w:color w:val="000000"/>
          <w:sz w:val="32"/>
          <w:szCs w:val="32"/>
          <w:lang w:val="en-US" w:eastAsia="zh-CN"/>
        </w:rPr>
        <w:t>100余人</w:t>
      </w:r>
      <w:r>
        <w:rPr>
          <w:rFonts w:hint="eastAsia" w:ascii="仿宋_GB2312" w:hAnsi="仿宋" w:eastAsia="仿宋_GB2312"/>
          <w:color w:val="000000"/>
          <w:sz w:val="32"/>
          <w:szCs w:val="32"/>
          <w:lang w:eastAsia="zh-CN"/>
        </w:rPr>
        <w:t>，该资金</w:t>
      </w:r>
      <w:r>
        <w:rPr>
          <w:rFonts w:hint="eastAsia" w:ascii="仿宋_GB2312" w:eastAsia="仿宋_GB2312"/>
          <w:color w:val="000000"/>
          <w:sz w:val="32"/>
          <w:szCs w:val="32"/>
        </w:rPr>
        <w:t>主要弥补中心公用经费，主要用途是用于大厅花卉费、报刊杂志订阅、大厅办公用品、办公耗材、印制办事指南等</w:t>
      </w:r>
      <w:r>
        <w:rPr>
          <w:rFonts w:hint="eastAsia" w:ascii="仿宋_GB2312" w:eastAsia="仿宋_GB2312"/>
          <w:color w:val="000000"/>
          <w:sz w:val="32"/>
          <w:szCs w:val="32"/>
          <w:lang w:eastAsia="zh-CN"/>
        </w:rPr>
        <w:t>为群众服务</w:t>
      </w:r>
      <w:r>
        <w:rPr>
          <w:rFonts w:hint="eastAsia" w:ascii="仿宋_GB2312" w:eastAsia="仿宋_GB2312"/>
          <w:color w:val="000000"/>
          <w:sz w:val="32"/>
          <w:szCs w:val="32"/>
        </w:rPr>
        <w:t>，以达到更优质、更加高效、更加便捷的服务办事群众的目标。经中心核算预算需要业务经费60000元/年。</w:t>
      </w:r>
    </w:p>
    <w:p>
      <w:pPr>
        <w:widowControl/>
        <w:spacing w:line="580" w:lineRule="exact"/>
        <w:ind w:firstLine="640"/>
        <w:jc w:val="left"/>
        <w:rPr>
          <w:rFonts w:hint="eastAsia"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2021年1-12月</w:t>
      </w:r>
    </w:p>
    <w:p>
      <w:pPr>
        <w:widowControl/>
        <w:spacing w:line="580" w:lineRule="exact"/>
        <w:ind w:firstLine="640" w:firstLineChars="200"/>
        <w:jc w:val="left"/>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2、车辆维修费</w:t>
      </w:r>
    </w:p>
    <w:p>
      <w:pPr>
        <w:widowControl/>
        <w:spacing w:line="580" w:lineRule="exact"/>
        <w:ind w:firstLine="640" w:firstLineChars="200"/>
        <w:jc w:val="left"/>
        <w:rPr>
          <w:rFonts w:hint="eastAsia" w:ascii="仿宋_GB2312" w:hAnsi="宋体" w:eastAsia="仿宋_GB2312" w:cs="宋体"/>
          <w:kern w:val="0"/>
          <w:sz w:val="32"/>
          <w:szCs w:val="32"/>
          <w:lang w:eastAsia="zh-CN"/>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车辆维修费</w:t>
      </w:r>
    </w:p>
    <w:p>
      <w:pPr>
        <w:widowControl/>
        <w:spacing w:line="560" w:lineRule="exact"/>
        <w:ind w:firstLine="640" w:firstLineChars="200"/>
        <w:jc w:val="left"/>
        <w:rPr>
          <w:rFonts w:hint="eastAsia" w:ascii="仿宋_GB2312" w:hAnsi="黑体" w:eastAsia="仿宋_GB2312"/>
          <w:sz w:val="32"/>
          <w:szCs w:val="32"/>
          <w:lang w:eastAsia="zh-CN"/>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根据</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年财政预算编制内容</w:t>
      </w:r>
    </w:p>
    <w:p>
      <w:pPr>
        <w:widowControl/>
        <w:spacing w:line="580" w:lineRule="exact"/>
        <w:ind w:firstLine="640"/>
        <w:jc w:val="left"/>
        <w:rPr>
          <w:rFonts w:hint="eastAsia" w:ascii="仿宋_GB2312" w:hAnsi="黑体" w:eastAsia="仿宋_GB2312"/>
          <w:sz w:val="32"/>
          <w:szCs w:val="32"/>
          <w:lang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4万元</w:t>
      </w:r>
    </w:p>
    <w:p>
      <w:pPr>
        <w:widowControl/>
        <w:spacing w:line="580" w:lineRule="exact"/>
        <w:ind w:firstLine="640"/>
        <w:jc w:val="left"/>
        <w:rPr>
          <w:rFonts w:hint="eastAsia" w:ascii="仿宋_GB2312" w:hAnsi="宋体" w:eastAsia="仿宋_GB2312" w:cs="宋体"/>
          <w:kern w:val="0"/>
          <w:sz w:val="32"/>
          <w:szCs w:val="32"/>
          <w:lang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克州政务服务和公共资源交易中心</w:t>
      </w:r>
    </w:p>
    <w:p>
      <w:pPr>
        <w:spacing w:line="520" w:lineRule="exact"/>
        <w:ind w:firstLine="640"/>
        <w:rPr>
          <w:rFonts w:hint="eastAsia" w:ascii="仿宋_GB2312" w:hAnsi="仿宋" w:eastAsia="仿宋_GB2312"/>
          <w:color w:val="000000"/>
          <w:sz w:val="32"/>
          <w:szCs w:val="32"/>
          <w:lang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仿宋" w:eastAsia="仿宋_GB2312"/>
          <w:color w:val="000000"/>
          <w:sz w:val="32"/>
          <w:szCs w:val="32"/>
          <w:lang w:val="en-US" w:eastAsia="zh-CN"/>
        </w:rPr>
        <w:t>2020年</w:t>
      </w:r>
      <w:r>
        <w:rPr>
          <w:rFonts w:hint="eastAsia" w:ascii="仿宋_GB2312" w:hAnsi="仿宋" w:eastAsia="仿宋_GB2312"/>
          <w:color w:val="000000"/>
          <w:sz w:val="32"/>
          <w:szCs w:val="32"/>
          <w:lang w:eastAsia="zh-CN"/>
        </w:rPr>
        <w:t>机构合并，原克州公共资源交易中心车辆调拨到我中心，目前，中心共有车辆</w:t>
      </w:r>
      <w:r>
        <w:rPr>
          <w:rFonts w:hint="eastAsia" w:ascii="仿宋_GB2312" w:hAnsi="仿宋" w:eastAsia="仿宋_GB2312"/>
          <w:color w:val="000000"/>
          <w:sz w:val="32"/>
          <w:szCs w:val="32"/>
          <w:lang w:val="en-US" w:eastAsia="zh-CN"/>
        </w:rPr>
        <w:t>2辆</w:t>
      </w:r>
      <w:r>
        <w:rPr>
          <w:rFonts w:hint="eastAsia" w:ascii="仿宋_GB2312" w:hAnsi="仿宋" w:eastAsia="仿宋_GB2312"/>
          <w:color w:val="000000"/>
          <w:sz w:val="32"/>
          <w:szCs w:val="32"/>
        </w:rPr>
        <w:t>。该</w:t>
      </w:r>
      <w:r>
        <w:rPr>
          <w:rFonts w:hint="eastAsia" w:ascii="仿宋_GB2312" w:hAnsi="仿宋" w:eastAsia="仿宋_GB2312"/>
          <w:color w:val="000000"/>
          <w:sz w:val="32"/>
          <w:szCs w:val="32"/>
          <w:lang w:val="en-US" w:eastAsia="zh-CN"/>
        </w:rPr>
        <w:t>2辆</w:t>
      </w:r>
      <w:r>
        <w:rPr>
          <w:rFonts w:hint="eastAsia" w:ascii="仿宋_GB2312" w:hAnsi="仿宋" w:eastAsia="仿宋_GB2312"/>
          <w:color w:val="000000"/>
          <w:sz w:val="32"/>
          <w:szCs w:val="32"/>
        </w:rPr>
        <w:t>车年限较长，为确保行车安全，车辆后期的维护、保养及保险</w:t>
      </w:r>
      <w:r>
        <w:rPr>
          <w:rFonts w:hint="eastAsia" w:ascii="仿宋_GB2312" w:eastAsia="仿宋_GB2312"/>
          <w:color w:val="000000"/>
          <w:sz w:val="32"/>
          <w:szCs w:val="32"/>
        </w:rPr>
        <w:t>费、燃油费等预算使用</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0000元</w:t>
      </w:r>
      <w:r>
        <w:rPr>
          <w:rFonts w:hint="eastAsia" w:ascii="仿宋_GB2312" w:eastAsia="仿宋_GB2312"/>
          <w:color w:val="000000"/>
          <w:sz w:val="32"/>
          <w:szCs w:val="32"/>
          <w:lang w:eastAsia="zh-CN"/>
        </w:rPr>
        <w:t>，弥补中心公用经费</w:t>
      </w:r>
      <w:r>
        <w:rPr>
          <w:rFonts w:hint="eastAsia" w:ascii="仿宋_GB2312" w:eastAsia="仿宋_GB2312"/>
          <w:color w:val="000000"/>
          <w:sz w:val="32"/>
          <w:szCs w:val="32"/>
          <w:lang w:val="en-US" w:eastAsia="zh-CN"/>
        </w:rPr>
        <w:t>10000元</w:t>
      </w:r>
      <w:r>
        <w:rPr>
          <w:rFonts w:hint="eastAsia" w:ascii="仿宋_GB2312" w:eastAsia="仿宋_GB2312"/>
          <w:color w:val="000000"/>
          <w:sz w:val="32"/>
          <w:szCs w:val="32"/>
        </w:rPr>
        <w:t>。</w:t>
      </w:r>
    </w:p>
    <w:p>
      <w:pPr>
        <w:widowControl/>
        <w:spacing w:line="580" w:lineRule="exact"/>
        <w:ind w:firstLine="640"/>
        <w:jc w:val="left"/>
        <w:rPr>
          <w:rFonts w:hint="eastAsia"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2021年1-12月</w:t>
      </w:r>
    </w:p>
    <w:p>
      <w:pPr>
        <w:widowControl/>
        <w:spacing w:line="560" w:lineRule="exact"/>
        <w:ind w:firstLine="640" w:firstLineChars="200"/>
        <w:jc w:val="left"/>
        <w:rPr>
          <w:rFonts w:hint="eastAsia" w:ascii="黑体" w:hAnsi="宋体" w:eastAsia="黑体" w:cs="宋体"/>
          <w:b/>
          <w:kern w:val="0"/>
          <w:sz w:val="32"/>
          <w:szCs w:val="32"/>
        </w:rPr>
      </w:pPr>
      <w:r>
        <w:rPr>
          <w:rFonts w:hint="eastAsia" w:ascii="仿宋_GB2312" w:hAnsi="黑体" w:eastAsia="仿宋_GB2312" w:cs="Times New Roman"/>
          <w:sz w:val="32"/>
          <w:szCs w:val="32"/>
          <w:lang w:val="en-US" w:eastAsia="zh-CN"/>
        </w:rPr>
        <w:t>3</w:t>
      </w:r>
      <w:r>
        <w:rPr>
          <w:rFonts w:hint="eastAsia" w:ascii="仿宋_GB2312" w:hAnsi="黑体" w:eastAsia="仿宋_GB2312" w:cs="Times New Roman"/>
          <w:sz w:val="32"/>
          <w:szCs w:val="32"/>
          <w:lang w:eastAsia="zh-CN"/>
        </w:rPr>
        <w:t>、交易</w:t>
      </w:r>
      <w:r>
        <w:rPr>
          <w:rFonts w:hint="eastAsia" w:ascii="仿宋_GB2312" w:hAnsi="黑体" w:eastAsia="仿宋_GB2312"/>
          <w:sz w:val="32"/>
          <w:szCs w:val="32"/>
          <w:lang w:eastAsia="zh-CN"/>
        </w:rPr>
        <w:t>平台网络运行费</w:t>
      </w:r>
    </w:p>
    <w:p>
      <w:pPr>
        <w:widowControl/>
        <w:spacing w:line="560" w:lineRule="exact"/>
        <w:ind w:firstLine="640" w:firstLineChars="200"/>
        <w:jc w:val="left"/>
        <w:rPr>
          <w:rFonts w:hint="eastAsia" w:ascii="仿宋_GB2312" w:hAnsi="宋体" w:eastAsia="仿宋_GB2312" w:cs="宋体"/>
          <w:kern w:val="0"/>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黑体" w:eastAsia="仿宋_GB2312"/>
          <w:sz w:val="32"/>
          <w:szCs w:val="32"/>
          <w:lang w:eastAsia="zh-CN"/>
        </w:rPr>
        <w:t>交易平台网络运行费</w:t>
      </w:r>
    </w:p>
    <w:p>
      <w:pPr>
        <w:widowControl/>
        <w:spacing w:line="560" w:lineRule="exact"/>
        <w:ind w:firstLine="640" w:firstLineChars="200"/>
        <w:jc w:val="left"/>
        <w:rPr>
          <w:rFonts w:hint="eastAsia"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根据</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年财政预算编制内容</w:t>
      </w:r>
    </w:p>
    <w:p>
      <w:pPr>
        <w:widowControl/>
        <w:spacing w:line="560" w:lineRule="exact"/>
        <w:ind w:firstLine="640" w:firstLineChars="20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：2万元</w:t>
      </w:r>
    </w:p>
    <w:p>
      <w:pPr>
        <w:widowControl/>
        <w:spacing w:line="560" w:lineRule="exact"/>
        <w:ind w:firstLine="640" w:firstLineChars="200"/>
        <w:jc w:val="left"/>
        <w:rPr>
          <w:rFonts w:hint="eastAsia"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克州政务服务和公共资源交易中心</w:t>
      </w:r>
    </w:p>
    <w:p>
      <w:pPr>
        <w:widowControl/>
        <w:spacing w:line="580" w:lineRule="exact"/>
        <w:ind w:firstLine="640"/>
        <w:jc w:val="left"/>
        <w:rPr>
          <w:rFonts w:hint="eastAsia" w:ascii="仿宋_GB2312" w:hAnsi="宋体" w:eastAsia="仿宋_GB2312" w:cs="宋体"/>
          <w:kern w:val="0"/>
          <w:sz w:val="32"/>
          <w:szCs w:val="32"/>
          <w:lang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sz w:val="32"/>
          <w:szCs w:val="32"/>
          <w:lang w:eastAsia="zh-CN"/>
        </w:rPr>
        <w:t>系统网络安全防护运行费、维护费</w:t>
      </w:r>
    </w:p>
    <w:p>
      <w:pPr>
        <w:widowControl/>
        <w:spacing w:line="580" w:lineRule="exact"/>
        <w:ind w:firstLine="640"/>
        <w:jc w:val="left"/>
        <w:rPr>
          <w:rFonts w:hint="eastAsia"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2021年1-12月</w:t>
      </w:r>
    </w:p>
    <w:p>
      <w:pPr>
        <w:spacing w:line="560" w:lineRule="exact"/>
        <w:ind w:firstLine="643" w:firstLineChars="200"/>
        <w:rPr>
          <w:rFonts w:hint="eastAsia" w:ascii="仿宋_GB2312" w:hAnsi="黑体" w:eastAsia="仿宋_GB2312"/>
          <w:b/>
          <w:sz w:val="32"/>
          <w:szCs w:val="32"/>
          <w:lang w:eastAsia="zh-CN"/>
        </w:rPr>
      </w:pPr>
      <w:r>
        <w:rPr>
          <w:rFonts w:hint="eastAsia" w:ascii="仿宋_GB2312" w:hAnsi="黑体" w:eastAsia="仿宋_GB2312"/>
          <w:b/>
          <w:sz w:val="32"/>
          <w:szCs w:val="32"/>
        </w:rPr>
        <w:t>情况二：（</w:t>
      </w:r>
      <w:r>
        <w:rPr>
          <w:rFonts w:ascii="仿宋_GB2312" w:hAnsi="宋体" w:eastAsia="仿宋_GB2312"/>
          <w:b/>
          <w:sz w:val="32"/>
          <w:szCs w:val="22"/>
        </w:rPr>
        <w:t>属于</w:t>
      </w:r>
      <w:r>
        <w:rPr>
          <w:rFonts w:ascii="仿宋_GB2312" w:hAnsi="宋体" w:eastAsia="仿宋_GB2312"/>
          <w:b/>
          <w:spacing w:val="-8"/>
          <w:sz w:val="32"/>
          <w:szCs w:val="22"/>
        </w:rPr>
        <w:t>对个人补贴的项目支出</w:t>
      </w:r>
      <w:r>
        <w:rPr>
          <w:rFonts w:hint="eastAsia" w:ascii="仿宋_GB2312" w:hAnsi="黑体" w:eastAsia="仿宋_GB2312"/>
          <w:b/>
          <w:sz w:val="32"/>
          <w:szCs w:val="32"/>
        </w:rPr>
        <w:t>按下列内容说明）</w:t>
      </w:r>
    </w:p>
    <w:p>
      <w:pPr>
        <w:widowControl/>
        <w:spacing w:line="580" w:lineRule="exact"/>
        <w:ind w:firstLine="640" w:firstLineChars="200"/>
        <w:jc w:val="left"/>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1、</w:t>
      </w:r>
      <w:r>
        <w:rPr>
          <w:rFonts w:hint="eastAsia" w:ascii="仿宋_GB2312" w:hAnsi="黑体" w:eastAsia="仿宋_GB2312"/>
          <w:sz w:val="32"/>
          <w:szCs w:val="32"/>
        </w:rPr>
        <w:t>大厅保洁员工资</w:t>
      </w:r>
    </w:p>
    <w:p>
      <w:pPr>
        <w:widowControl/>
        <w:spacing w:line="58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：大厅保洁员工资</w:t>
      </w:r>
    </w:p>
    <w:p>
      <w:pPr>
        <w:widowControl/>
        <w:spacing w:line="560" w:lineRule="exact"/>
        <w:ind w:firstLine="640" w:firstLineChars="200"/>
        <w:jc w:val="left"/>
        <w:rPr>
          <w:rFonts w:hint="eastAsia" w:ascii="仿宋_GB2312" w:hAnsi="宋体" w:eastAsia="仿宋_GB2312" w:cs="宋体"/>
          <w:kern w:val="0"/>
          <w:sz w:val="32"/>
          <w:szCs w:val="32"/>
          <w:lang w:eastAsia="zh-CN"/>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黑体" w:eastAsia="仿宋_GB2312"/>
          <w:sz w:val="32"/>
          <w:szCs w:val="32"/>
          <w:lang w:eastAsia="zh-CN"/>
        </w:rPr>
        <w:t>交易平台网络运行费</w:t>
      </w:r>
    </w:p>
    <w:p>
      <w:pPr>
        <w:widowControl/>
        <w:spacing w:line="580" w:lineRule="exact"/>
        <w:ind w:firstLine="640"/>
        <w:jc w:val="left"/>
        <w:rPr>
          <w:rFonts w:hint="eastAsia" w:ascii="仿宋_GB2312" w:hAnsi="宋体" w:eastAsia="仿宋_GB2312" w:cs="宋体"/>
          <w:kern w:val="0"/>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4.32万元</w:t>
      </w:r>
    </w:p>
    <w:p>
      <w:pPr>
        <w:widowControl/>
        <w:spacing w:line="560" w:lineRule="exact"/>
        <w:ind w:firstLine="640" w:firstLineChars="200"/>
        <w:jc w:val="left"/>
        <w:rPr>
          <w:rFonts w:hint="eastAsia" w:ascii="仿宋_GB2312" w:hAnsi="黑体" w:eastAsia="仿宋_GB2312"/>
          <w:sz w:val="32"/>
          <w:szCs w:val="32"/>
          <w:lang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克州政务服务和公共资源交易中心</w:t>
      </w:r>
    </w:p>
    <w:p>
      <w:pPr>
        <w:widowControl/>
        <w:spacing w:line="560" w:lineRule="exact"/>
        <w:ind w:firstLine="640" w:firstLineChars="200"/>
        <w:jc w:val="left"/>
        <w:rPr>
          <w:rFonts w:hint="eastAsia" w:ascii="仿宋_GB2312" w:eastAsia="仿宋_GB2312"/>
          <w:color w:val="000000"/>
          <w:sz w:val="32"/>
          <w:szCs w:val="32"/>
          <w:lang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克州政务服务和公共资源交易中心一楼主要为进驻大厅窗口单位提供办事窗口，</w:t>
      </w:r>
      <w:r>
        <w:rPr>
          <w:rFonts w:hint="eastAsia" w:ascii="仿宋_GB2312" w:eastAsia="仿宋_GB2312"/>
          <w:color w:val="000000"/>
          <w:sz w:val="32"/>
          <w:szCs w:val="32"/>
        </w:rPr>
        <w:t>面积1300平方米，每日办事群众人均流量约2000人次，为营造更加舒适、干净、整洁的工作环境，外聘两名保洁员专职负责保持大厅公共环境卫生。2人*1800/月*12个月=43200元/年</w:t>
      </w:r>
      <w:r>
        <w:rPr>
          <w:rFonts w:hint="eastAsia" w:ascii="仿宋_GB2312" w:eastAsia="仿宋_GB2312"/>
          <w:color w:val="000000"/>
          <w:sz w:val="32"/>
          <w:szCs w:val="32"/>
          <w:lang w:eastAsia="zh-CN"/>
        </w:rPr>
        <w:t>。</w:t>
      </w:r>
    </w:p>
    <w:p>
      <w:pPr>
        <w:widowControl/>
        <w:spacing w:line="580" w:lineRule="exact"/>
        <w:ind w:firstLine="640"/>
        <w:jc w:val="left"/>
        <w:rPr>
          <w:rFonts w:hint="eastAsia"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2021年1月-12月</w:t>
      </w:r>
    </w:p>
    <w:p>
      <w:pPr>
        <w:widowControl/>
        <w:spacing w:line="580" w:lineRule="exact"/>
        <w:ind w:firstLine="640"/>
        <w:jc w:val="left"/>
        <w:rPr>
          <w:rFonts w:hint="eastAsia" w:ascii="仿宋_GB2312" w:hAnsi="宋体" w:eastAsia="仿宋_GB2312"/>
          <w:sz w:val="32"/>
          <w:szCs w:val="22"/>
          <w:lang w:eastAsia="zh-CN"/>
        </w:rPr>
      </w:pPr>
      <w:r>
        <w:rPr>
          <w:rFonts w:ascii="仿宋_GB2312" w:hAnsi="宋体" w:eastAsia="仿宋_GB2312"/>
          <w:sz w:val="32"/>
          <w:szCs w:val="22"/>
        </w:rPr>
        <w:t>资金来源</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财政拨款</w:t>
      </w:r>
    </w:p>
    <w:p>
      <w:pPr>
        <w:widowControl/>
        <w:spacing w:line="580" w:lineRule="exact"/>
        <w:ind w:firstLine="640"/>
        <w:jc w:val="left"/>
        <w:rPr>
          <w:rFonts w:hint="eastAsia" w:ascii="仿宋_GB2312" w:hAnsi="宋体" w:eastAsia="仿宋_GB2312" w:cs="宋体"/>
          <w:kern w:val="0"/>
          <w:sz w:val="32"/>
          <w:szCs w:val="32"/>
          <w:lang w:val="en-US" w:eastAsia="zh-CN"/>
        </w:rPr>
      </w:pPr>
      <w:r>
        <w:rPr>
          <w:rFonts w:ascii="仿宋_GB2312" w:hAnsi="宋体" w:eastAsia="仿宋_GB2312"/>
          <w:sz w:val="32"/>
          <w:szCs w:val="22"/>
        </w:rPr>
        <w:t>补贴人数</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w:t>
      </w:r>
    </w:p>
    <w:p>
      <w:pPr>
        <w:widowControl/>
        <w:spacing w:line="580" w:lineRule="exact"/>
        <w:ind w:firstLine="640"/>
        <w:jc w:val="left"/>
        <w:rPr>
          <w:rFonts w:hint="default" w:ascii="仿宋_GB2312" w:hAnsi="宋体" w:eastAsia="仿宋_GB2312" w:cs="宋体"/>
          <w:kern w:val="0"/>
          <w:sz w:val="32"/>
          <w:szCs w:val="32"/>
          <w:lang w:val="en-US" w:eastAsia="zh-CN"/>
        </w:rPr>
      </w:pPr>
      <w:r>
        <w:rPr>
          <w:rFonts w:ascii="仿宋_GB2312" w:hAnsi="宋体" w:eastAsia="仿宋_GB2312"/>
          <w:sz w:val="32"/>
          <w:szCs w:val="22"/>
        </w:rPr>
        <w:t>补贴标准</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3600元/2人/月</w:t>
      </w:r>
    </w:p>
    <w:p>
      <w:pPr>
        <w:widowControl/>
        <w:spacing w:line="560" w:lineRule="exact"/>
        <w:ind w:firstLine="640" w:firstLineChars="200"/>
        <w:jc w:val="left"/>
        <w:rPr>
          <w:rFonts w:hint="eastAsia" w:ascii="仿宋_GB2312" w:hAnsi="宋体" w:eastAsia="仿宋_GB2312" w:cs="宋体"/>
          <w:color w:val="000000"/>
          <w:kern w:val="0"/>
          <w:sz w:val="32"/>
          <w:szCs w:val="32"/>
          <w:lang w:eastAsia="zh-CN"/>
        </w:rPr>
      </w:pPr>
      <w:r>
        <w:rPr>
          <w:rFonts w:ascii="仿宋_GB2312" w:hAnsi="宋体" w:eastAsia="仿宋_GB2312"/>
          <w:sz w:val="32"/>
          <w:szCs w:val="22"/>
        </w:rPr>
        <w:t>补贴范围</w:t>
      </w:r>
      <w:r>
        <w:rPr>
          <w:rFonts w:hint="eastAsia" w:ascii="仿宋_GB2312" w:hAnsi="黑体" w:eastAsia="仿宋_GB2312"/>
          <w:sz w:val="32"/>
          <w:szCs w:val="32"/>
        </w:rPr>
        <w:t>：</w:t>
      </w:r>
      <w:r>
        <w:rPr>
          <w:rFonts w:hint="eastAsia" w:ascii="仿宋_GB2312" w:hAnsi="宋体" w:eastAsia="仿宋_GB2312" w:cs="宋体"/>
          <w:color w:val="000000"/>
          <w:kern w:val="0"/>
          <w:sz w:val="32"/>
          <w:szCs w:val="32"/>
          <w:lang w:eastAsia="zh-CN"/>
        </w:rPr>
        <w:t>大厅外聘两名保洁员劳务报酬</w:t>
      </w:r>
    </w:p>
    <w:p>
      <w:pPr>
        <w:widowControl/>
        <w:spacing w:line="560" w:lineRule="exact"/>
        <w:ind w:firstLine="640" w:firstLineChars="200"/>
        <w:jc w:val="left"/>
        <w:rPr>
          <w:rFonts w:hint="eastAsia" w:ascii="仿宋_GB2312" w:hAnsi="宋体" w:eastAsia="仿宋_GB2312" w:cs="宋体"/>
          <w:color w:val="000000"/>
          <w:kern w:val="0"/>
          <w:sz w:val="32"/>
          <w:szCs w:val="32"/>
          <w:lang w:val="en-US" w:eastAsia="zh-CN"/>
        </w:rPr>
      </w:pPr>
      <w:r>
        <w:rPr>
          <w:rFonts w:ascii="仿宋_GB2312" w:hAnsi="宋体" w:eastAsia="仿宋_GB2312"/>
          <w:sz w:val="32"/>
          <w:szCs w:val="22"/>
        </w:rPr>
        <w:t>补贴方式</w:t>
      </w:r>
      <w:r>
        <w:rPr>
          <w:rFonts w:hint="eastAsia" w:ascii="仿宋_GB2312" w:hAnsi="黑体" w:eastAsia="仿宋_GB2312"/>
          <w:sz w:val="32"/>
          <w:szCs w:val="32"/>
        </w:rPr>
        <w:t>：</w:t>
      </w:r>
      <w:r>
        <w:rPr>
          <w:rFonts w:hint="eastAsia" w:ascii="仿宋_GB2312" w:hAnsi="宋体" w:eastAsia="仿宋_GB2312" w:cs="宋体"/>
          <w:color w:val="000000"/>
          <w:kern w:val="0"/>
          <w:sz w:val="32"/>
          <w:szCs w:val="32"/>
          <w:lang w:eastAsia="zh-CN"/>
        </w:rPr>
        <w:t>劳务报酬转账</w:t>
      </w:r>
      <w:r>
        <w:rPr>
          <w:rFonts w:hint="eastAsia" w:ascii="仿宋_GB2312" w:hAnsi="宋体" w:eastAsia="仿宋_GB2312" w:cs="宋体"/>
          <w:color w:val="000000"/>
          <w:kern w:val="0"/>
          <w:sz w:val="32"/>
          <w:szCs w:val="32"/>
          <w:lang w:val="en-US" w:eastAsia="zh-CN"/>
        </w:rPr>
        <w:t>/现金</w:t>
      </w:r>
    </w:p>
    <w:p>
      <w:pPr>
        <w:widowControl/>
        <w:spacing w:line="560" w:lineRule="exact"/>
        <w:ind w:firstLine="640" w:firstLineChars="200"/>
        <w:jc w:val="left"/>
        <w:rPr>
          <w:rFonts w:hint="eastAsia" w:ascii="仿宋_GB2312" w:hAnsi="宋体" w:eastAsia="仿宋_GB2312" w:cs="宋体"/>
          <w:color w:val="000000"/>
          <w:kern w:val="0"/>
          <w:sz w:val="32"/>
          <w:szCs w:val="32"/>
          <w:lang w:eastAsia="zh-CN"/>
        </w:rPr>
      </w:pPr>
      <w:r>
        <w:rPr>
          <w:rFonts w:hint="eastAsia" w:ascii="仿宋_GB2312" w:hAnsi="宋体" w:eastAsia="仿宋_GB2312" w:cs="宋体"/>
          <w:kern w:val="0"/>
          <w:sz w:val="32"/>
          <w:szCs w:val="32"/>
        </w:rPr>
        <w:t>发放程序：</w:t>
      </w:r>
      <w:r>
        <w:rPr>
          <w:rFonts w:hint="eastAsia" w:ascii="仿宋_GB2312" w:hAnsi="宋体" w:eastAsia="仿宋_GB2312" w:cs="宋体"/>
          <w:color w:val="000000"/>
          <w:kern w:val="0"/>
          <w:sz w:val="32"/>
          <w:szCs w:val="32"/>
          <w:lang w:eastAsia="zh-CN"/>
        </w:rPr>
        <w:t>月底综合科根据保洁员工作情况制定工资表、由财务人员依据审批程序进行发放，以转账或现金的形式发放工资。</w:t>
      </w:r>
    </w:p>
    <w:p>
      <w:pPr>
        <w:widowControl/>
        <w:spacing w:line="560" w:lineRule="exact"/>
        <w:ind w:firstLine="640" w:firstLineChars="200"/>
        <w:jc w:val="left"/>
        <w:rPr>
          <w:rFonts w:hint="eastAsia" w:ascii="仿宋_GB2312" w:hAnsi="宋体" w:eastAsia="仿宋_GB2312" w:cs="宋体"/>
          <w:color w:val="000000"/>
          <w:kern w:val="0"/>
          <w:sz w:val="32"/>
          <w:szCs w:val="32"/>
          <w:lang w:eastAsia="zh-CN"/>
        </w:rPr>
      </w:pPr>
      <w:r>
        <w:rPr>
          <w:rFonts w:ascii="仿宋_GB2312" w:hAnsi="宋体" w:eastAsia="仿宋_GB2312"/>
          <w:color w:val="000000"/>
          <w:sz w:val="32"/>
        </w:rPr>
        <w:t>受益人群和社会效益</w:t>
      </w:r>
      <w:r>
        <w:rPr>
          <w:rFonts w:hint="eastAsia" w:ascii="仿宋_GB2312" w:hAnsi="黑体" w:eastAsia="仿宋_GB2312"/>
          <w:color w:val="000000"/>
          <w:sz w:val="32"/>
          <w:szCs w:val="32"/>
        </w:rPr>
        <w:t>：</w:t>
      </w:r>
      <w:r>
        <w:rPr>
          <w:rFonts w:hint="eastAsia" w:ascii="仿宋_GB2312" w:hAnsi="宋体" w:eastAsia="仿宋_GB2312" w:cs="宋体"/>
          <w:color w:val="000000"/>
          <w:kern w:val="0"/>
          <w:sz w:val="32"/>
          <w:szCs w:val="32"/>
          <w:lang w:eastAsia="zh-CN"/>
        </w:rPr>
        <w:t>社会贫困人群、解决和增加社会无业人员、贫困人就业问题。</w:t>
      </w:r>
    </w:p>
    <w:p>
      <w:pPr>
        <w:widowControl/>
        <w:spacing w:line="560" w:lineRule="exact"/>
        <w:ind w:firstLine="640" w:firstLineChars="200"/>
        <w:jc w:val="left"/>
        <w:rPr>
          <w:rFonts w:hint="eastAsia" w:ascii="黑体" w:hAnsi="宋体" w:eastAsia="黑体" w:cs="宋体"/>
          <w:b/>
          <w:kern w:val="0"/>
          <w:sz w:val="32"/>
          <w:szCs w:val="32"/>
        </w:rPr>
      </w:pPr>
      <w:r>
        <w:rPr>
          <w:rFonts w:hint="eastAsia" w:ascii="仿宋_GB2312" w:hAnsi="黑体" w:eastAsia="仿宋_GB2312" w:cs="Times New Roman"/>
          <w:sz w:val="32"/>
          <w:szCs w:val="32"/>
          <w:lang w:val="en-US" w:eastAsia="zh-CN"/>
        </w:rPr>
        <w:t>2</w:t>
      </w:r>
      <w:r>
        <w:rPr>
          <w:rFonts w:hint="eastAsia" w:ascii="仿宋_GB2312" w:hAnsi="黑体" w:eastAsia="仿宋_GB2312" w:cs="Times New Roman"/>
          <w:sz w:val="32"/>
          <w:szCs w:val="32"/>
        </w:rPr>
        <w:t>、聘</w:t>
      </w:r>
      <w:r>
        <w:rPr>
          <w:rFonts w:hint="eastAsia" w:ascii="仿宋_GB2312" w:hAnsi="黑体" w:eastAsia="仿宋_GB2312"/>
          <w:sz w:val="32"/>
          <w:szCs w:val="32"/>
        </w:rPr>
        <w:t>用人员经费</w:t>
      </w:r>
    </w:p>
    <w:p>
      <w:pPr>
        <w:widowControl/>
        <w:spacing w:line="560" w:lineRule="exact"/>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：聘用人员经费</w:t>
      </w:r>
    </w:p>
    <w:p>
      <w:pPr>
        <w:widowControl/>
        <w:spacing w:line="560" w:lineRule="exact"/>
        <w:ind w:firstLine="640" w:firstLineChars="200"/>
        <w:jc w:val="left"/>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根据</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年财政预算编制内容</w:t>
      </w:r>
    </w:p>
    <w:p>
      <w:pPr>
        <w:widowControl/>
        <w:spacing w:line="560" w:lineRule="exact"/>
        <w:ind w:firstLine="640" w:firstLineChars="200"/>
        <w:jc w:val="left"/>
        <w:rPr>
          <w:rFonts w:hint="eastAsia"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：9万元</w:t>
      </w:r>
    </w:p>
    <w:p>
      <w:pPr>
        <w:widowControl/>
        <w:spacing w:line="560" w:lineRule="exact"/>
        <w:ind w:firstLine="640" w:firstLineChars="200"/>
        <w:jc w:val="left"/>
        <w:rPr>
          <w:rFonts w:hint="eastAsia"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克州政务服务和公共资源交易中心</w:t>
      </w:r>
    </w:p>
    <w:p>
      <w:pPr>
        <w:widowControl/>
        <w:spacing w:line="560" w:lineRule="exact"/>
        <w:ind w:firstLine="640" w:firstLineChars="200"/>
        <w:jc w:val="left"/>
        <w:rPr>
          <w:rFonts w:hint="default" w:ascii="仿宋_GB2312" w:eastAsia="仿宋_GB2312"/>
          <w:color w:val="000000"/>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sz w:val="32"/>
          <w:szCs w:val="32"/>
          <w:lang w:val="en-US" w:eastAsia="zh-CN"/>
        </w:rPr>
        <w:t>1、</w:t>
      </w:r>
      <w:r>
        <w:rPr>
          <w:rFonts w:hint="eastAsia" w:ascii="仿宋_GB2312" w:hAnsi="宋体" w:eastAsia="仿宋_GB2312" w:cs="宋体"/>
          <w:kern w:val="0"/>
          <w:sz w:val="32"/>
          <w:szCs w:val="32"/>
          <w:lang w:eastAsia="zh-CN"/>
        </w:rPr>
        <w:t>克州政务服务和公共资源交易中心二楼主要为招投标企业提供办公场所，</w:t>
      </w:r>
      <w:r>
        <w:rPr>
          <w:rFonts w:hint="eastAsia" w:ascii="仿宋_GB2312" w:eastAsia="仿宋_GB2312"/>
          <w:color w:val="000000"/>
          <w:sz w:val="32"/>
          <w:szCs w:val="32"/>
        </w:rPr>
        <w:t>面积</w:t>
      </w:r>
      <w:r>
        <w:rPr>
          <w:rFonts w:hint="eastAsia" w:ascii="仿宋_GB2312" w:eastAsia="仿宋_GB2312"/>
          <w:color w:val="000000"/>
          <w:sz w:val="32"/>
          <w:szCs w:val="32"/>
          <w:lang w:val="en-US" w:eastAsia="zh-CN"/>
        </w:rPr>
        <w:t>617</w:t>
      </w:r>
      <w:r>
        <w:rPr>
          <w:rFonts w:hint="eastAsia" w:ascii="仿宋_GB2312" w:eastAsia="仿宋_GB2312"/>
          <w:color w:val="000000"/>
          <w:sz w:val="32"/>
          <w:szCs w:val="32"/>
        </w:rPr>
        <w:t>平方米，每日办事群众人均流量约2000人次，为营造更加舒适、干净、整洁的工作环境，外聘</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名保洁员专职负责保持</w:t>
      </w:r>
      <w:r>
        <w:rPr>
          <w:rFonts w:hint="eastAsia" w:ascii="仿宋_GB2312" w:eastAsia="仿宋_GB2312"/>
          <w:color w:val="000000"/>
          <w:sz w:val="32"/>
          <w:szCs w:val="32"/>
          <w:lang w:eastAsia="zh-CN"/>
        </w:rPr>
        <w:t>交投标交易办公场所</w:t>
      </w:r>
      <w:r>
        <w:rPr>
          <w:rFonts w:hint="eastAsia" w:ascii="仿宋_GB2312" w:eastAsia="仿宋_GB2312"/>
          <w:color w:val="000000"/>
          <w:sz w:val="32"/>
          <w:szCs w:val="32"/>
        </w:rPr>
        <w:t>公共环境卫生。</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人*</w:t>
      </w:r>
      <w:r>
        <w:rPr>
          <w:rFonts w:hint="eastAsia" w:ascii="仿宋_GB2312" w:eastAsia="仿宋_GB2312"/>
          <w:color w:val="000000"/>
          <w:sz w:val="32"/>
          <w:szCs w:val="32"/>
          <w:lang w:val="en-US" w:eastAsia="zh-CN"/>
        </w:rPr>
        <w:t>2000</w:t>
      </w:r>
      <w:r>
        <w:rPr>
          <w:rFonts w:hint="eastAsia" w:ascii="仿宋_GB2312" w:eastAsia="仿宋_GB2312"/>
          <w:color w:val="000000"/>
          <w:sz w:val="32"/>
          <w:szCs w:val="32"/>
        </w:rPr>
        <w:t>/月*12个月=</w:t>
      </w:r>
      <w:r>
        <w:rPr>
          <w:rFonts w:hint="eastAsia" w:ascii="仿宋_GB2312" w:eastAsia="仿宋_GB2312"/>
          <w:color w:val="000000"/>
          <w:sz w:val="32"/>
          <w:szCs w:val="32"/>
          <w:lang w:val="en-US" w:eastAsia="zh-CN"/>
        </w:rPr>
        <w:t>24000</w:t>
      </w:r>
      <w:r>
        <w:rPr>
          <w:rFonts w:hint="eastAsia" w:ascii="仿宋_GB2312" w:eastAsia="仿宋_GB2312"/>
          <w:color w:val="000000"/>
          <w:sz w:val="32"/>
          <w:szCs w:val="32"/>
        </w:rPr>
        <w:t>元/年</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2、招标中心保证金和场地及设施服务费每日需要根据招标情况开具和收退保证金工作以及开具场地及设施服务费发票，需要专职开票员1名，中心人员紧张，外聘专职开票员1名。1</w:t>
      </w:r>
      <w:r>
        <w:rPr>
          <w:rFonts w:hint="eastAsia" w:ascii="仿宋_GB2312" w:eastAsia="仿宋_GB2312"/>
          <w:color w:val="000000"/>
          <w:sz w:val="32"/>
          <w:szCs w:val="32"/>
        </w:rPr>
        <w:t>人*</w:t>
      </w:r>
      <w:r>
        <w:rPr>
          <w:rFonts w:hint="eastAsia" w:ascii="仿宋_GB2312" w:eastAsia="仿宋_GB2312"/>
          <w:color w:val="000000"/>
          <w:sz w:val="32"/>
          <w:szCs w:val="32"/>
          <w:lang w:val="en-US" w:eastAsia="zh-CN"/>
        </w:rPr>
        <w:t>4000</w:t>
      </w:r>
      <w:r>
        <w:rPr>
          <w:rFonts w:hint="eastAsia" w:ascii="仿宋_GB2312" w:eastAsia="仿宋_GB2312"/>
          <w:color w:val="000000"/>
          <w:sz w:val="32"/>
          <w:szCs w:val="32"/>
        </w:rPr>
        <w:t>/月*12个月=</w:t>
      </w:r>
      <w:r>
        <w:rPr>
          <w:rFonts w:hint="eastAsia" w:ascii="仿宋_GB2312" w:eastAsia="仿宋_GB2312"/>
          <w:color w:val="000000"/>
          <w:sz w:val="32"/>
          <w:szCs w:val="32"/>
          <w:lang w:val="en-US" w:eastAsia="zh-CN"/>
        </w:rPr>
        <w:t>48000</w:t>
      </w:r>
      <w:r>
        <w:rPr>
          <w:rFonts w:hint="eastAsia" w:ascii="仿宋_GB2312" w:eastAsia="仿宋_GB2312"/>
          <w:color w:val="000000"/>
          <w:sz w:val="32"/>
          <w:szCs w:val="32"/>
        </w:rPr>
        <w:t>元/年</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3、招标中心保证金和场地及设施服务费每日需要根据招标情况开具和收退保证金工作以及开具场地及设施服务费发票，票据需要及时核对、清理、归档及按时保质保量完成保证金记账工作业务，中心人员紧张，外聘兼职保证金会计1名。1</w:t>
      </w:r>
      <w:r>
        <w:rPr>
          <w:rFonts w:hint="eastAsia" w:ascii="仿宋_GB2312" w:eastAsia="仿宋_GB2312"/>
          <w:color w:val="000000"/>
          <w:sz w:val="32"/>
          <w:szCs w:val="32"/>
        </w:rPr>
        <w:t>人*</w:t>
      </w:r>
      <w:r>
        <w:rPr>
          <w:rFonts w:hint="eastAsia" w:ascii="仿宋_GB2312" w:eastAsia="仿宋_GB2312"/>
          <w:color w:val="000000"/>
          <w:sz w:val="32"/>
          <w:szCs w:val="32"/>
          <w:lang w:val="en-US" w:eastAsia="zh-CN"/>
        </w:rPr>
        <w:t>1500</w:t>
      </w:r>
      <w:r>
        <w:rPr>
          <w:rFonts w:hint="eastAsia" w:ascii="仿宋_GB2312" w:eastAsia="仿宋_GB2312"/>
          <w:color w:val="000000"/>
          <w:sz w:val="32"/>
          <w:szCs w:val="32"/>
        </w:rPr>
        <w:t>/月*12个月=</w:t>
      </w:r>
      <w:r>
        <w:rPr>
          <w:rFonts w:hint="eastAsia" w:ascii="仿宋_GB2312" w:eastAsia="仿宋_GB2312"/>
          <w:color w:val="000000"/>
          <w:sz w:val="32"/>
          <w:szCs w:val="32"/>
          <w:lang w:val="en-US" w:eastAsia="zh-CN"/>
        </w:rPr>
        <w:t>18000</w:t>
      </w:r>
      <w:r>
        <w:rPr>
          <w:rFonts w:hint="eastAsia" w:ascii="仿宋_GB2312" w:eastAsia="仿宋_GB2312"/>
          <w:color w:val="000000"/>
          <w:sz w:val="32"/>
          <w:szCs w:val="32"/>
        </w:rPr>
        <w:t>元/年</w:t>
      </w:r>
      <w:r>
        <w:rPr>
          <w:rFonts w:hint="eastAsia" w:ascii="仿宋_GB2312" w:eastAsia="仿宋_GB2312"/>
          <w:color w:val="000000"/>
          <w:sz w:val="32"/>
          <w:szCs w:val="32"/>
          <w:lang w:eastAsia="zh-CN"/>
        </w:rPr>
        <w:t>。</w:t>
      </w:r>
    </w:p>
    <w:p>
      <w:pPr>
        <w:widowControl/>
        <w:spacing w:line="580" w:lineRule="exact"/>
        <w:ind w:firstLine="640"/>
        <w:jc w:val="left"/>
        <w:rPr>
          <w:rFonts w:hint="eastAsia"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2021年1月-12月</w:t>
      </w:r>
    </w:p>
    <w:p>
      <w:pPr>
        <w:widowControl/>
        <w:spacing w:line="580" w:lineRule="exact"/>
        <w:ind w:firstLine="640"/>
        <w:jc w:val="left"/>
        <w:rPr>
          <w:rFonts w:hint="eastAsia" w:ascii="仿宋_GB2312" w:hAnsi="宋体" w:eastAsia="仿宋_GB2312"/>
          <w:sz w:val="32"/>
          <w:szCs w:val="22"/>
          <w:lang w:eastAsia="zh-CN"/>
        </w:rPr>
      </w:pPr>
      <w:r>
        <w:rPr>
          <w:rFonts w:ascii="仿宋_GB2312" w:hAnsi="宋体" w:eastAsia="仿宋_GB2312"/>
          <w:sz w:val="32"/>
          <w:szCs w:val="22"/>
        </w:rPr>
        <w:t>资金来源</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财政拨款</w:t>
      </w:r>
    </w:p>
    <w:p>
      <w:pPr>
        <w:widowControl/>
        <w:spacing w:line="580" w:lineRule="exact"/>
        <w:ind w:firstLine="640"/>
        <w:jc w:val="left"/>
        <w:rPr>
          <w:rFonts w:hint="eastAsia" w:ascii="仿宋_GB2312" w:hAnsi="宋体" w:eastAsia="仿宋_GB2312" w:cs="宋体"/>
          <w:kern w:val="0"/>
          <w:sz w:val="32"/>
          <w:szCs w:val="32"/>
          <w:lang w:val="en-US" w:eastAsia="zh-CN"/>
        </w:rPr>
      </w:pPr>
      <w:r>
        <w:rPr>
          <w:rFonts w:ascii="仿宋_GB2312" w:hAnsi="宋体" w:eastAsia="仿宋_GB2312"/>
          <w:sz w:val="32"/>
          <w:szCs w:val="22"/>
        </w:rPr>
        <w:t>补贴人数</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3</w:t>
      </w:r>
    </w:p>
    <w:p>
      <w:pPr>
        <w:widowControl/>
        <w:spacing w:line="580" w:lineRule="exact"/>
        <w:ind w:firstLine="640"/>
        <w:jc w:val="left"/>
        <w:rPr>
          <w:rFonts w:hint="default" w:ascii="仿宋_GB2312" w:hAnsi="宋体" w:eastAsia="仿宋_GB2312" w:cs="宋体"/>
          <w:kern w:val="0"/>
          <w:sz w:val="32"/>
          <w:szCs w:val="32"/>
          <w:lang w:val="en-US" w:eastAsia="zh-CN"/>
        </w:rPr>
      </w:pPr>
      <w:r>
        <w:rPr>
          <w:rFonts w:ascii="仿宋_GB2312" w:hAnsi="宋体" w:eastAsia="仿宋_GB2312"/>
          <w:sz w:val="32"/>
          <w:szCs w:val="22"/>
        </w:rPr>
        <w:t>补贴标准</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7500元/3人/月</w:t>
      </w:r>
    </w:p>
    <w:p>
      <w:pPr>
        <w:widowControl/>
        <w:spacing w:line="560" w:lineRule="exact"/>
        <w:ind w:firstLine="640" w:firstLineChars="200"/>
        <w:jc w:val="left"/>
        <w:rPr>
          <w:rFonts w:hint="eastAsia" w:ascii="仿宋_GB2312" w:hAnsi="宋体" w:eastAsia="仿宋_GB2312" w:cs="宋体"/>
          <w:color w:val="000000"/>
          <w:kern w:val="0"/>
          <w:sz w:val="32"/>
          <w:szCs w:val="32"/>
          <w:lang w:eastAsia="zh-CN"/>
        </w:rPr>
      </w:pPr>
      <w:r>
        <w:rPr>
          <w:rFonts w:ascii="仿宋_GB2312" w:hAnsi="宋体" w:eastAsia="仿宋_GB2312"/>
          <w:sz w:val="32"/>
          <w:szCs w:val="22"/>
        </w:rPr>
        <w:t>补贴范围</w:t>
      </w:r>
      <w:r>
        <w:rPr>
          <w:rFonts w:hint="eastAsia" w:ascii="仿宋_GB2312" w:hAnsi="黑体" w:eastAsia="仿宋_GB2312"/>
          <w:sz w:val="32"/>
          <w:szCs w:val="32"/>
        </w:rPr>
        <w:t>：</w:t>
      </w:r>
      <w:r>
        <w:rPr>
          <w:rFonts w:hint="eastAsia" w:ascii="仿宋_GB2312" w:hAnsi="宋体" w:eastAsia="仿宋_GB2312" w:cs="宋体"/>
          <w:color w:val="000000"/>
          <w:kern w:val="0"/>
          <w:sz w:val="32"/>
          <w:szCs w:val="32"/>
          <w:lang w:eastAsia="zh-CN"/>
        </w:rPr>
        <w:t>外聘</w:t>
      </w:r>
      <w:r>
        <w:rPr>
          <w:rFonts w:hint="eastAsia" w:ascii="仿宋_GB2312" w:hAnsi="宋体" w:eastAsia="仿宋_GB2312" w:cs="宋体"/>
          <w:color w:val="000000"/>
          <w:kern w:val="0"/>
          <w:sz w:val="32"/>
          <w:szCs w:val="32"/>
          <w:lang w:val="en-US" w:eastAsia="zh-CN"/>
        </w:rPr>
        <w:t>人员</w:t>
      </w:r>
      <w:r>
        <w:rPr>
          <w:rFonts w:hint="eastAsia" w:ascii="仿宋_GB2312" w:hAnsi="宋体" w:eastAsia="仿宋_GB2312" w:cs="宋体"/>
          <w:color w:val="000000"/>
          <w:kern w:val="0"/>
          <w:sz w:val="32"/>
          <w:szCs w:val="32"/>
          <w:lang w:eastAsia="zh-CN"/>
        </w:rPr>
        <w:t>劳务报酬</w:t>
      </w:r>
    </w:p>
    <w:p>
      <w:pPr>
        <w:widowControl/>
        <w:spacing w:line="560" w:lineRule="exact"/>
        <w:ind w:firstLine="640" w:firstLineChars="200"/>
        <w:jc w:val="left"/>
        <w:rPr>
          <w:rFonts w:hint="eastAsia" w:ascii="仿宋_GB2312" w:hAnsi="宋体" w:eastAsia="仿宋_GB2312" w:cs="宋体"/>
          <w:color w:val="000000"/>
          <w:kern w:val="0"/>
          <w:sz w:val="32"/>
          <w:szCs w:val="32"/>
          <w:lang w:val="en-US" w:eastAsia="zh-CN"/>
        </w:rPr>
      </w:pPr>
      <w:r>
        <w:rPr>
          <w:rFonts w:ascii="仿宋_GB2312" w:hAnsi="宋体" w:eastAsia="仿宋_GB2312"/>
          <w:sz w:val="32"/>
          <w:szCs w:val="22"/>
        </w:rPr>
        <w:t>补贴方式</w:t>
      </w:r>
      <w:r>
        <w:rPr>
          <w:rFonts w:hint="eastAsia" w:ascii="仿宋_GB2312" w:hAnsi="黑体" w:eastAsia="仿宋_GB2312"/>
          <w:sz w:val="32"/>
          <w:szCs w:val="32"/>
        </w:rPr>
        <w:t>：</w:t>
      </w:r>
      <w:r>
        <w:rPr>
          <w:rFonts w:hint="eastAsia" w:ascii="仿宋_GB2312" w:hAnsi="宋体" w:eastAsia="仿宋_GB2312" w:cs="宋体"/>
          <w:color w:val="000000"/>
          <w:kern w:val="0"/>
          <w:sz w:val="32"/>
          <w:szCs w:val="32"/>
          <w:lang w:eastAsia="zh-CN"/>
        </w:rPr>
        <w:t>劳务报酬转账</w:t>
      </w:r>
      <w:r>
        <w:rPr>
          <w:rFonts w:hint="eastAsia" w:ascii="仿宋_GB2312" w:hAnsi="宋体" w:eastAsia="仿宋_GB2312" w:cs="宋体"/>
          <w:color w:val="000000"/>
          <w:kern w:val="0"/>
          <w:sz w:val="32"/>
          <w:szCs w:val="32"/>
          <w:lang w:val="en-US" w:eastAsia="zh-CN"/>
        </w:rPr>
        <w:t>/现金</w:t>
      </w:r>
    </w:p>
    <w:p>
      <w:pPr>
        <w:widowControl/>
        <w:spacing w:line="560" w:lineRule="exact"/>
        <w:ind w:firstLine="640" w:firstLineChars="200"/>
        <w:jc w:val="left"/>
        <w:rPr>
          <w:rFonts w:hint="eastAsia" w:ascii="仿宋_GB2312" w:hAnsi="宋体" w:eastAsia="仿宋_GB2312" w:cs="宋体"/>
          <w:color w:val="000000"/>
          <w:kern w:val="0"/>
          <w:sz w:val="32"/>
          <w:szCs w:val="32"/>
          <w:lang w:eastAsia="zh-CN"/>
        </w:rPr>
      </w:pPr>
      <w:r>
        <w:rPr>
          <w:rFonts w:hint="eastAsia" w:ascii="仿宋_GB2312" w:hAnsi="宋体" w:eastAsia="仿宋_GB2312" w:cs="宋体"/>
          <w:kern w:val="0"/>
          <w:sz w:val="32"/>
          <w:szCs w:val="32"/>
        </w:rPr>
        <w:t>发放程序：</w:t>
      </w:r>
      <w:r>
        <w:rPr>
          <w:rFonts w:hint="eastAsia" w:ascii="仿宋_GB2312" w:hAnsi="宋体" w:eastAsia="仿宋_GB2312" w:cs="宋体"/>
          <w:color w:val="000000"/>
          <w:kern w:val="0"/>
          <w:sz w:val="32"/>
          <w:szCs w:val="32"/>
          <w:lang w:eastAsia="zh-CN"/>
        </w:rPr>
        <w:t>月底综合科、办公室根据聘用人员工作情况报财务人员、由财务人员依据审批程序进行发放，以转账或现金的形式发放工资。</w:t>
      </w:r>
    </w:p>
    <w:p>
      <w:pPr>
        <w:widowControl/>
        <w:spacing w:line="560" w:lineRule="exact"/>
        <w:ind w:firstLine="640" w:firstLineChars="200"/>
        <w:jc w:val="left"/>
        <w:rPr>
          <w:rFonts w:hint="eastAsia" w:ascii="黑体" w:hAnsi="宋体" w:eastAsia="黑体" w:cs="宋体"/>
          <w:kern w:val="0"/>
          <w:sz w:val="32"/>
          <w:szCs w:val="32"/>
        </w:rPr>
      </w:pPr>
      <w:r>
        <w:rPr>
          <w:rFonts w:ascii="仿宋_GB2312" w:hAnsi="宋体" w:eastAsia="仿宋_GB2312"/>
          <w:color w:val="000000"/>
          <w:sz w:val="32"/>
        </w:rPr>
        <w:t>受益人群和社会效益</w:t>
      </w:r>
      <w:r>
        <w:rPr>
          <w:rFonts w:hint="eastAsia" w:ascii="仿宋_GB2312" w:hAnsi="黑体" w:eastAsia="仿宋_GB2312"/>
          <w:color w:val="000000"/>
          <w:sz w:val="32"/>
          <w:szCs w:val="32"/>
        </w:rPr>
        <w:t>：</w:t>
      </w:r>
      <w:r>
        <w:rPr>
          <w:rFonts w:hint="eastAsia" w:ascii="仿宋_GB2312" w:hAnsi="宋体" w:eastAsia="仿宋_GB2312" w:cs="宋体"/>
          <w:color w:val="000000"/>
          <w:kern w:val="0"/>
          <w:sz w:val="32"/>
          <w:szCs w:val="32"/>
          <w:lang w:eastAsia="zh-CN"/>
        </w:rPr>
        <w:t>社会贫困人群、解决和增加社会无业人员、贫困人就业问题及聘请专业技术人员。</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w:t>
      </w:r>
      <w:r>
        <w:rPr>
          <w:rFonts w:hint="eastAsia" w:ascii="黑体" w:hAnsi="宋体" w:eastAsia="黑体" w:cs="宋体"/>
          <w:kern w:val="0"/>
          <w:sz w:val="32"/>
          <w:szCs w:val="32"/>
          <w:lang w:eastAsia="zh-CN"/>
        </w:rPr>
        <w:t>克州政务服务和公共资源交易中心</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克州政务服务和公共资源交易中心</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年一般公共预算“三公”经费数为</w:t>
      </w:r>
      <w:r>
        <w:rPr>
          <w:rFonts w:hint="eastAsia" w:ascii="仿宋_GB2312" w:hAnsi="宋体" w:eastAsia="仿宋_GB2312" w:cs="宋体"/>
          <w:kern w:val="0"/>
          <w:sz w:val="32"/>
          <w:szCs w:val="32"/>
          <w:lang w:val="en-US" w:eastAsia="zh-CN"/>
        </w:rPr>
        <w:t>4.3</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0.3</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年一般公共预算“三公”经费比上年增加</w:t>
      </w:r>
      <w:r>
        <w:rPr>
          <w:rFonts w:hint="eastAsia" w:ascii="仿宋_GB2312" w:hAnsi="宋体" w:eastAsia="仿宋_GB2312" w:cs="宋体"/>
          <w:kern w:val="0"/>
          <w:sz w:val="32"/>
          <w:szCs w:val="32"/>
          <w:lang w:val="en-US" w:eastAsia="zh-CN"/>
        </w:rPr>
        <w:t>0.1</w:t>
      </w:r>
      <w:r>
        <w:rPr>
          <w:rFonts w:hint="eastAsia" w:ascii="仿宋_GB2312" w:hAnsi="宋体" w:eastAsia="仿宋_GB2312" w:cs="宋体"/>
          <w:kern w:val="0"/>
          <w:sz w:val="32"/>
          <w:szCs w:val="32"/>
        </w:rPr>
        <w:t xml:space="preserve"> 万元，其中：因公出国（境）费增加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未安排</w:t>
      </w:r>
      <w:r>
        <w:rPr>
          <w:rFonts w:hint="eastAsia" w:ascii="仿宋_GB2312" w:hAnsi="宋体" w:eastAsia="仿宋_GB2312" w:cs="宋体"/>
          <w:kern w:val="0"/>
          <w:sz w:val="32"/>
          <w:szCs w:val="32"/>
        </w:rPr>
        <w:t>因公出国（境）费；公务用车购置费为0，未安排预算。公务用车运行费增加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按照上年标准</w:t>
      </w:r>
      <w:r>
        <w:rPr>
          <w:rFonts w:hint="eastAsia" w:ascii="仿宋_GB2312" w:hAnsi="宋体" w:eastAsia="仿宋_GB2312" w:cs="宋体"/>
          <w:kern w:val="0"/>
          <w:sz w:val="32"/>
          <w:szCs w:val="32"/>
        </w:rPr>
        <w:t>；公务接待费增加</w:t>
      </w:r>
      <w:r>
        <w:rPr>
          <w:rFonts w:hint="eastAsia" w:ascii="仿宋_GB2312" w:hAnsi="宋体" w:eastAsia="仿宋_GB2312" w:cs="宋体"/>
          <w:kern w:val="0"/>
          <w:sz w:val="32"/>
          <w:szCs w:val="32"/>
          <w:lang w:val="en-US" w:eastAsia="zh-CN"/>
        </w:rPr>
        <w:t>0.1</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机构合并</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w:t>
      </w:r>
      <w:r>
        <w:rPr>
          <w:rFonts w:hint="eastAsia" w:ascii="黑体" w:hAnsi="宋体" w:eastAsia="黑体" w:cs="宋体"/>
          <w:kern w:val="0"/>
          <w:sz w:val="32"/>
          <w:szCs w:val="32"/>
          <w:lang w:eastAsia="zh-CN"/>
        </w:rPr>
        <w:t>克州政务服务和公共资源交易中心</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克州政务服务和公共资源交易中心</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eastAsia="zh-CN"/>
        </w:rPr>
        <w:t>克州政务服务和公共资源交易中心</w:t>
      </w:r>
      <w:r>
        <w:rPr>
          <w:rFonts w:hint="eastAsia" w:ascii="仿宋_GB2312" w:hAnsi="宋体" w:eastAsia="仿宋_GB2312" w:cs="宋体"/>
          <w:kern w:val="0"/>
          <w:sz w:val="32"/>
          <w:szCs w:val="32"/>
        </w:rPr>
        <w:t xml:space="preserve">本级及下属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家行政单位和</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家事业单位的机关运行经费财政拨款预算</w:t>
      </w:r>
      <w:r>
        <w:rPr>
          <w:rFonts w:hint="eastAsia" w:ascii="仿宋_GB2312" w:hAnsi="宋体" w:eastAsia="仿宋_GB2312" w:cs="宋体"/>
          <w:kern w:val="0"/>
          <w:sz w:val="32"/>
          <w:szCs w:val="32"/>
          <w:lang w:val="en-US" w:eastAsia="zh-CN"/>
        </w:rPr>
        <w:t>17.73</w:t>
      </w:r>
      <w:r>
        <w:rPr>
          <w:rFonts w:hint="eastAsia" w:ascii="仿宋_GB2312" w:hAnsi="宋体" w:eastAsia="仿宋_GB2312" w:cs="宋体"/>
          <w:kern w:val="0"/>
          <w:sz w:val="32"/>
          <w:szCs w:val="32"/>
        </w:rPr>
        <w:t>万元，比上年预算增加</w:t>
      </w:r>
      <w:r>
        <w:rPr>
          <w:rFonts w:hint="eastAsia" w:ascii="仿宋_GB2312" w:hAnsi="宋体" w:eastAsia="仿宋_GB2312" w:cs="宋体"/>
          <w:kern w:val="0"/>
          <w:sz w:val="32"/>
          <w:szCs w:val="32"/>
          <w:lang w:val="en-US" w:eastAsia="zh-CN"/>
        </w:rPr>
        <w:t>9.14</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106.4</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机构合并</w:t>
      </w:r>
      <w:r>
        <w:rPr>
          <w:rFonts w:hint="eastAsia" w:ascii="仿宋_GB2312" w:hAnsi="宋体" w:eastAsia="仿宋_GB2312" w:cs="宋体"/>
          <w:kern w:val="0"/>
          <w:sz w:val="32"/>
          <w:szCs w:val="32"/>
        </w:rPr>
        <w:t xml:space="preserve"> 。</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eastAsia="zh-CN"/>
        </w:rPr>
        <w:t>克州政务服务和公共资源交易中心</w:t>
      </w:r>
      <w:r>
        <w:rPr>
          <w:rFonts w:hint="eastAsia" w:ascii="仿宋_GB2312" w:hAnsi="宋体" w:eastAsia="仿宋_GB2312" w:cs="宋体"/>
          <w:kern w:val="0"/>
          <w:sz w:val="32"/>
          <w:szCs w:val="32"/>
        </w:rPr>
        <w:t>政府采购预算</w:t>
      </w:r>
      <w:r>
        <w:rPr>
          <w:rFonts w:hint="eastAsia" w:ascii="仿宋_GB2312" w:hAnsi="宋体" w:eastAsia="仿宋_GB2312" w:cs="宋体"/>
          <w:kern w:val="0"/>
          <w:sz w:val="32"/>
          <w:szCs w:val="32"/>
          <w:lang w:val="en-US" w:eastAsia="zh-CN"/>
        </w:rPr>
        <w:t>29.73</w:t>
      </w:r>
      <w:r>
        <w:rPr>
          <w:rFonts w:hint="eastAsia" w:ascii="仿宋_GB2312" w:hAnsi="宋体" w:eastAsia="仿宋_GB2312" w:cs="宋体"/>
          <w:kern w:val="0"/>
          <w:sz w:val="32"/>
          <w:szCs w:val="32"/>
        </w:rPr>
        <w:t>万元，其中：政府采购货物预算</w:t>
      </w:r>
      <w:r>
        <w:rPr>
          <w:rFonts w:hint="eastAsia" w:ascii="仿宋_GB2312" w:hAnsi="宋体" w:eastAsia="仿宋_GB2312" w:cs="宋体"/>
          <w:kern w:val="0"/>
          <w:sz w:val="32"/>
          <w:szCs w:val="32"/>
          <w:lang w:val="en-US" w:eastAsia="zh-CN"/>
        </w:rPr>
        <w:t>27.73</w:t>
      </w:r>
      <w:r>
        <w:rPr>
          <w:rFonts w:hint="eastAsia" w:ascii="仿宋_GB2312" w:hAnsi="宋体" w:eastAsia="仿宋_GB2312" w:cs="宋体"/>
          <w:kern w:val="0"/>
          <w:sz w:val="32"/>
          <w:szCs w:val="32"/>
        </w:rPr>
        <w:t>万元，政府采购工程预算</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万元，政府采购服务预算</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lang w:val="en-US" w:eastAsia="zh-CN"/>
        </w:rPr>
        <w:t>2021</w:t>
      </w:r>
      <w:r>
        <w:rPr>
          <w:rFonts w:hint="eastAsia" w:ascii="仿宋_GB2312" w:hAnsi="仿宋_GB2312" w:eastAsia="仿宋_GB2312"/>
          <w:sz w:val="32"/>
        </w:rPr>
        <w:t>年度</w:t>
      </w:r>
      <w:r>
        <w:rPr>
          <w:rFonts w:hint="eastAsia" w:ascii="仿宋_GB2312" w:hAnsi="宋体" w:eastAsia="仿宋_GB2312" w:cs="宋体"/>
          <w:kern w:val="0"/>
          <w:sz w:val="32"/>
          <w:szCs w:val="32"/>
          <w:lang w:eastAsia="zh-CN"/>
        </w:rPr>
        <w:t>克州政务服务和公共资源交易中心</w:t>
      </w:r>
      <w:r>
        <w:rPr>
          <w:rFonts w:hint="eastAsia" w:ascii="仿宋_GB2312" w:hAnsi="仿宋_GB2312" w:eastAsia="仿宋_GB2312"/>
          <w:sz w:val="32"/>
        </w:rPr>
        <w:t>面向中小企业预留政府采购项目预算金额</w:t>
      </w:r>
      <w:r>
        <w:rPr>
          <w:rFonts w:hint="eastAsia" w:ascii="仿宋_GB2312" w:hAnsi="仿宋_GB2312" w:eastAsia="仿宋_GB2312"/>
          <w:sz w:val="32"/>
          <w:lang w:val="en-US" w:eastAsia="zh-CN"/>
        </w:rPr>
        <w:t>29.73</w:t>
      </w:r>
      <w:r>
        <w:rPr>
          <w:rFonts w:hint="eastAsia" w:ascii="仿宋_GB2312" w:hAnsi="仿宋_GB2312" w:eastAsia="仿宋_GB2312"/>
          <w:sz w:val="32"/>
        </w:rPr>
        <w:t xml:space="preserve">万元，其中：面向小微企业预留政府采购项目预算金额 </w:t>
      </w:r>
      <w:r>
        <w:rPr>
          <w:rFonts w:hint="eastAsia" w:ascii="仿宋_GB2312" w:hAnsi="仿宋_GB2312" w:eastAsia="仿宋_GB2312"/>
          <w:sz w:val="32"/>
          <w:lang w:val="en-US" w:eastAsia="zh-CN"/>
        </w:rPr>
        <w:t>29.73</w:t>
      </w:r>
      <w:r>
        <w:rPr>
          <w:rFonts w:hint="eastAsia" w:ascii="仿宋_GB2312" w:hAnsi="仿宋_GB2312" w:eastAsia="仿宋_GB2312"/>
          <w:sz w:val="32"/>
        </w:rPr>
        <w:t>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截至</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年底，</w:t>
      </w:r>
      <w:r>
        <w:rPr>
          <w:rFonts w:hint="eastAsia" w:ascii="仿宋_GB2312" w:hAnsi="宋体" w:eastAsia="仿宋_GB2312" w:cs="宋体"/>
          <w:kern w:val="0"/>
          <w:sz w:val="32"/>
          <w:szCs w:val="32"/>
          <w:lang w:eastAsia="zh-CN"/>
        </w:rPr>
        <w:t>克州政务服务和公共资源交易中心</w:t>
      </w:r>
      <w:r>
        <w:rPr>
          <w:rFonts w:hint="eastAsia" w:ascii="仿宋_GB2312" w:hAnsi="宋体" w:eastAsia="仿宋_GB2312" w:cs="宋体"/>
          <w:kern w:val="0"/>
          <w:sz w:val="32"/>
          <w:szCs w:val="32"/>
        </w:rPr>
        <w:t>部门（单位）占用使用国有资产总体情况为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平方米，价值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 xml:space="preserve"> 辆，价值</w:t>
      </w:r>
      <w:r>
        <w:rPr>
          <w:rFonts w:hint="eastAsia" w:ascii="仿宋_GB2312" w:hAnsi="宋体" w:eastAsia="仿宋_GB2312" w:cs="宋体"/>
          <w:kern w:val="0"/>
          <w:sz w:val="32"/>
          <w:szCs w:val="32"/>
          <w:lang w:val="en-US" w:eastAsia="zh-CN"/>
        </w:rPr>
        <w:t>59.09</w:t>
      </w:r>
      <w:r>
        <w:rPr>
          <w:rFonts w:hint="eastAsia" w:ascii="仿宋_GB2312" w:hAnsi="宋体" w:eastAsia="仿宋_GB2312" w:cs="宋体"/>
          <w:kern w:val="0"/>
          <w:sz w:val="32"/>
          <w:szCs w:val="32"/>
        </w:rPr>
        <w:t>万元；其中：一般公务用车</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59.09</w:t>
      </w:r>
      <w:r>
        <w:rPr>
          <w:rFonts w:hint="eastAsia" w:ascii="仿宋_GB2312" w:hAnsi="宋体" w:eastAsia="仿宋_GB2312" w:cs="宋体"/>
          <w:kern w:val="0"/>
          <w:sz w:val="32"/>
          <w:szCs w:val="32"/>
        </w:rPr>
        <w:t>万元；执法执勤用车</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万元；其他车辆</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w:t>
      </w:r>
      <w:r>
        <w:rPr>
          <w:rFonts w:hint="eastAsia" w:ascii="仿宋_GB2312" w:hAnsi="宋体" w:eastAsia="仿宋_GB2312" w:cs="宋体"/>
          <w:kern w:val="0"/>
          <w:sz w:val="32"/>
          <w:szCs w:val="32"/>
          <w:lang w:val="en-US" w:eastAsia="zh-CN"/>
        </w:rPr>
        <w:t>69.23</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w:t>
      </w:r>
      <w:r>
        <w:rPr>
          <w:rFonts w:hint="eastAsia" w:ascii="仿宋_GB2312" w:hAnsi="宋体" w:eastAsia="仿宋_GB2312" w:cs="宋体"/>
          <w:kern w:val="0"/>
          <w:sz w:val="32"/>
          <w:szCs w:val="32"/>
          <w:lang w:val="en-US" w:eastAsia="zh-CN"/>
        </w:rPr>
        <w:t>590.52</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eastAsia="zh-CN"/>
        </w:rPr>
        <w:t>部门（单位）克州政务服务和公共资源交易中心</w:t>
      </w:r>
      <w:r>
        <w:rPr>
          <w:rFonts w:hint="eastAsia" w:ascii="仿宋_GB2312" w:hAnsi="宋体" w:eastAsia="仿宋_GB2312" w:cs="宋体"/>
          <w:kern w:val="0"/>
          <w:sz w:val="32"/>
          <w:szCs w:val="32"/>
        </w:rPr>
        <w:t>预算未安排购置车辆经费（或安排购置车辆经费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万元），安排购置50万元以上大型设备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 xml:space="preserve">年度，本年度实行绩效管理的一般公共预算项目 </w:t>
      </w: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个，涉及预算金额</w:t>
      </w:r>
      <w:r>
        <w:rPr>
          <w:rFonts w:hint="eastAsia" w:ascii="仿宋_GB2312" w:hAnsi="宋体" w:eastAsia="仿宋_GB2312" w:cs="宋体"/>
          <w:kern w:val="0"/>
          <w:sz w:val="32"/>
          <w:szCs w:val="32"/>
          <w:lang w:val="en-US" w:eastAsia="zh-CN"/>
        </w:rPr>
        <w:t>25.32</w:t>
      </w:r>
      <w:r>
        <w:rPr>
          <w:rFonts w:hint="eastAsia" w:ascii="仿宋_GB2312" w:hAnsi="宋体" w:eastAsia="仿宋_GB2312" w:cs="宋体"/>
          <w:kern w:val="0"/>
          <w:sz w:val="32"/>
          <w:szCs w:val="32"/>
        </w:rPr>
        <w:t>万元。具体情况见下表（按项目分别填报）：</w:t>
      </w: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rPr>
          <w:rFonts w:hint="eastAsia" w:ascii="仿宋_GB2312" w:hAnsi="宋体" w:eastAsia="仿宋_GB2312" w:cs="宋体"/>
          <w:kern w:val="0"/>
          <w:sz w:val="32"/>
          <w:szCs w:val="32"/>
        </w:rPr>
      </w:pPr>
    </w:p>
    <w:tbl>
      <w:tblPr>
        <w:tblStyle w:val="7"/>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eastAsia="zh-CN" w:bidi="ar"/>
              </w:rPr>
              <w:t>克州政务服务和公共资源交易中心</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车辆运行维护费</w:t>
            </w:r>
          </w:p>
        </w:tc>
      </w:tr>
      <w:tr>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4</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4</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0</w:t>
            </w:r>
          </w:p>
        </w:tc>
      </w:tr>
      <w:tr>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spacing w:line="480" w:lineRule="exact"/>
              <w:jc w:val="left"/>
              <w:rPr>
                <w:rFonts w:ascii="宋体" w:hAnsi="宋体" w:cs="宋体"/>
                <w:color w:val="000000"/>
                <w:sz w:val="18"/>
                <w:szCs w:val="18"/>
              </w:rPr>
            </w:pPr>
            <w:r>
              <w:rPr>
                <w:rFonts w:hint="eastAsia" w:ascii="宋体" w:hAnsi="宋体" w:cs="宋体"/>
                <w:color w:val="000000"/>
                <w:sz w:val="18"/>
                <w:szCs w:val="18"/>
              </w:rPr>
              <w:t>用于支付中心公务车辆燃油费、维修费、保险费及其他公车运行费用，保障中心各项工作正常开展，提高工作效率。</w:t>
            </w:r>
          </w:p>
        </w:tc>
      </w:tr>
      <w:tr>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购置办公用品批次（次）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≥6</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服务人数(人）</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19</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维修次数（次）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≥8</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购置质量合格率（%）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车辆行驶安全率（%）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98%</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项目完成时间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2021年12月</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资金支付及时率（%）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100%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车辆运行维护费（万元）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≤1.5</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燃油费（万元）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≤0.8</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保险费（万元）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≤1.3</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办公用品费等（万元）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≤0.4</w:t>
            </w: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保障中心各项工作正常开展，提高工作效率（%)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有效保障</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满足服务中心日常工作需求</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长期</w:t>
            </w:r>
          </w:p>
        </w:tc>
      </w:tr>
      <w:tr>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受益工作人员满意度（%）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≥95%</w:t>
            </w:r>
          </w:p>
        </w:tc>
      </w:tr>
    </w:tbl>
    <w:p>
      <w:pPr>
        <w:spacing w:line="560" w:lineRule="exact"/>
        <w:jc w:val="center"/>
        <w:rPr>
          <w:rFonts w:ascii="仿宋_GB2312" w:hAnsi="宋体" w:eastAsia="仿宋_GB2312" w:cs="宋体"/>
          <w:kern w:val="0"/>
          <w:sz w:val="32"/>
          <w:szCs w:val="32"/>
        </w:rPr>
      </w:pPr>
    </w:p>
    <w:tbl>
      <w:tblPr>
        <w:tblStyle w:val="7"/>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eastAsia="zh-CN" w:bidi="ar"/>
              </w:rPr>
              <w:t>克州政务服务和公共资源交易中心</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大厅保洁员工资</w:t>
            </w:r>
          </w:p>
        </w:tc>
      </w:tr>
      <w:tr>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4.32</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4.32</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0</w:t>
            </w:r>
          </w:p>
        </w:tc>
      </w:tr>
      <w:tr>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用于支付大厅2名聘用保洁员的工资，为中心营造更加舒适、干净和整洁的办公环境。</w:t>
            </w:r>
          </w:p>
        </w:tc>
      </w:tr>
      <w:tr>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清洁面积（平方米）</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1300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日清洁次数（次）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≥4</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保洁员出勤率（%）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≥95%</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项目完成时间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2021年12月</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资金拨付及时率（%）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100%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劳务费（万元）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≤4.32</w:t>
            </w: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帮扶贫困人员增加经济收入（元\月\人）</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3600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提升公共服务能力</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有效提升</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为中心营造更加舒适、干净、整洁的办公环境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效果显著</w:t>
            </w:r>
          </w:p>
        </w:tc>
      </w:tr>
      <w:tr>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办事群众满意度（%）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≥95%</w:t>
            </w:r>
          </w:p>
        </w:tc>
      </w:tr>
    </w:tbl>
    <w:p>
      <w:pPr>
        <w:widowControl/>
        <w:spacing w:line="480" w:lineRule="exact"/>
        <w:ind w:firstLine="630" w:firstLineChars="196"/>
        <w:jc w:val="left"/>
        <w:rPr>
          <w:rFonts w:hint="eastAsia" w:ascii="楷体_GB2312" w:hAnsi="宋体" w:eastAsia="楷体_GB2312" w:cs="宋体"/>
          <w:b/>
          <w:kern w:val="0"/>
          <w:sz w:val="32"/>
          <w:szCs w:val="32"/>
        </w:rPr>
      </w:pPr>
    </w:p>
    <w:p>
      <w:pPr>
        <w:widowControl/>
        <w:spacing w:line="480" w:lineRule="exact"/>
        <w:ind w:firstLine="630" w:firstLineChars="196"/>
        <w:jc w:val="left"/>
        <w:rPr>
          <w:rFonts w:hint="eastAsia" w:ascii="楷体_GB2312" w:hAnsi="宋体" w:eastAsia="楷体_GB2312" w:cs="宋体"/>
          <w:b/>
          <w:kern w:val="0"/>
          <w:sz w:val="32"/>
          <w:szCs w:val="32"/>
        </w:rPr>
      </w:pPr>
    </w:p>
    <w:p>
      <w:pPr>
        <w:widowControl/>
        <w:spacing w:line="480" w:lineRule="exact"/>
        <w:ind w:firstLine="630" w:firstLineChars="196"/>
        <w:jc w:val="left"/>
        <w:rPr>
          <w:rFonts w:hint="eastAsia" w:ascii="楷体_GB2312" w:hAnsi="宋体" w:eastAsia="楷体_GB2312" w:cs="宋体"/>
          <w:b/>
          <w:kern w:val="0"/>
          <w:sz w:val="32"/>
          <w:szCs w:val="32"/>
        </w:rPr>
      </w:pPr>
    </w:p>
    <w:p>
      <w:pPr>
        <w:widowControl/>
        <w:spacing w:line="480" w:lineRule="exact"/>
        <w:ind w:firstLine="630" w:firstLineChars="196"/>
        <w:jc w:val="left"/>
        <w:rPr>
          <w:rFonts w:hint="eastAsia" w:ascii="楷体_GB2312" w:hAnsi="宋体" w:eastAsia="楷体_GB2312" w:cs="宋体"/>
          <w:b/>
          <w:kern w:val="0"/>
          <w:sz w:val="32"/>
          <w:szCs w:val="32"/>
        </w:rPr>
      </w:pPr>
    </w:p>
    <w:p>
      <w:pPr>
        <w:widowControl/>
        <w:spacing w:line="480" w:lineRule="exact"/>
        <w:jc w:val="left"/>
        <w:rPr>
          <w:rFonts w:hint="eastAsia" w:ascii="楷体_GB2312" w:hAnsi="宋体" w:eastAsia="楷体_GB2312" w:cs="宋体"/>
          <w:b/>
          <w:kern w:val="0"/>
          <w:sz w:val="32"/>
          <w:szCs w:val="32"/>
        </w:rPr>
      </w:pPr>
    </w:p>
    <w:tbl>
      <w:tblPr>
        <w:tblStyle w:val="7"/>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eastAsia="zh-CN" w:bidi="ar"/>
              </w:rPr>
              <w:t>克州政务服务和公共资源交易中心</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交易平台网络运行费</w:t>
            </w:r>
          </w:p>
        </w:tc>
      </w:tr>
      <w:tr>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2</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2</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0</w:t>
            </w:r>
          </w:p>
        </w:tc>
      </w:tr>
      <w:tr>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该项目资金用于保障招标中心系统网络安全防护工作，确保网络安全，顺利完成各项招标工作。</w:t>
            </w:r>
          </w:p>
        </w:tc>
      </w:tr>
      <w:tr>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购置办公用品批次（次）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≥6</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购置质量合格率（%）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100%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项目完成时间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2021年12月</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资金支付及时率（%）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100%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车辆运行维护费（万元）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≤1.5</w:t>
            </w: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保障中心各项工作正常开展，提高工作效率（%)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有效保障</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满足服务中心日常工作需求</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长期</w:t>
            </w:r>
          </w:p>
        </w:tc>
      </w:tr>
      <w:tr>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受益工作人员满意度（%）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≥95%</w:t>
            </w:r>
          </w:p>
        </w:tc>
      </w:tr>
    </w:tbl>
    <w:p>
      <w:pPr>
        <w:widowControl/>
        <w:spacing w:line="480" w:lineRule="exact"/>
        <w:ind w:firstLine="630" w:firstLineChars="196"/>
        <w:jc w:val="left"/>
        <w:rPr>
          <w:rFonts w:hint="eastAsia" w:ascii="楷体_GB2312" w:hAnsi="宋体" w:eastAsia="楷体_GB2312" w:cs="宋体"/>
          <w:b/>
          <w:kern w:val="0"/>
          <w:sz w:val="32"/>
          <w:szCs w:val="32"/>
        </w:rPr>
      </w:pPr>
    </w:p>
    <w:p>
      <w:pPr>
        <w:widowControl/>
        <w:spacing w:line="480" w:lineRule="exact"/>
        <w:ind w:firstLine="630" w:firstLineChars="196"/>
        <w:jc w:val="left"/>
        <w:rPr>
          <w:rFonts w:hint="eastAsia" w:ascii="楷体_GB2312" w:hAnsi="宋体" w:eastAsia="楷体_GB2312" w:cs="宋体"/>
          <w:b/>
          <w:kern w:val="0"/>
          <w:sz w:val="32"/>
          <w:szCs w:val="32"/>
        </w:rPr>
      </w:pPr>
    </w:p>
    <w:p>
      <w:pPr>
        <w:widowControl/>
        <w:spacing w:line="480" w:lineRule="exact"/>
        <w:ind w:firstLine="630" w:firstLineChars="196"/>
        <w:jc w:val="left"/>
        <w:rPr>
          <w:rFonts w:hint="eastAsia" w:ascii="楷体_GB2312" w:hAnsi="宋体" w:eastAsia="楷体_GB2312" w:cs="宋体"/>
          <w:b/>
          <w:kern w:val="0"/>
          <w:sz w:val="32"/>
          <w:szCs w:val="32"/>
        </w:rPr>
      </w:pPr>
    </w:p>
    <w:p>
      <w:pPr>
        <w:widowControl/>
        <w:spacing w:line="480" w:lineRule="exact"/>
        <w:ind w:firstLine="630" w:firstLineChars="196"/>
        <w:jc w:val="left"/>
        <w:rPr>
          <w:rFonts w:hint="eastAsia" w:ascii="楷体_GB2312" w:hAnsi="宋体" w:eastAsia="楷体_GB2312" w:cs="宋体"/>
          <w:b/>
          <w:kern w:val="0"/>
          <w:sz w:val="32"/>
          <w:szCs w:val="32"/>
        </w:rPr>
      </w:pPr>
    </w:p>
    <w:p>
      <w:pPr>
        <w:widowControl/>
        <w:spacing w:line="480" w:lineRule="exact"/>
        <w:ind w:firstLine="630" w:firstLineChars="196"/>
        <w:jc w:val="left"/>
        <w:rPr>
          <w:rFonts w:hint="eastAsia" w:ascii="楷体_GB2312" w:hAnsi="宋体" w:eastAsia="楷体_GB2312" w:cs="宋体"/>
          <w:b/>
          <w:kern w:val="0"/>
          <w:sz w:val="32"/>
          <w:szCs w:val="32"/>
        </w:rPr>
      </w:pPr>
    </w:p>
    <w:p>
      <w:pPr>
        <w:widowControl/>
        <w:spacing w:line="480" w:lineRule="exact"/>
        <w:ind w:firstLine="630" w:firstLineChars="196"/>
        <w:jc w:val="left"/>
        <w:rPr>
          <w:rFonts w:hint="eastAsia" w:ascii="楷体_GB2312" w:hAnsi="宋体" w:eastAsia="楷体_GB2312" w:cs="宋体"/>
          <w:b/>
          <w:kern w:val="0"/>
          <w:sz w:val="32"/>
          <w:szCs w:val="32"/>
        </w:rPr>
      </w:pPr>
    </w:p>
    <w:tbl>
      <w:tblPr>
        <w:tblStyle w:val="7"/>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eastAsia="zh-CN" w:bidi="ar"/>
              </w:rPr>
              <w:t>克州政务服务和公共资源交易中心</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聘用人员经费</w:t>
            </w:r>
          </w:p>
        </w:tc>
      </w:tr>
      <w:tr>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9</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9</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0</w:t>
            </w:r>
          </w:p>
        </w:tc>
      </w:tr>
      <w:tr>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该资金用于发放临时人员工资，（打扫卫生人员工资、会计工资、出纳工资）。通过该项目的实施，保障招投标环境卫生及招标中心财务工作顺利完成。</w:t>
            </w:r>
          </w:p>
        </w:tc>
      </w:tr>
      <w:tr>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聘用人员人数（人）</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3</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聘用人员出勤率（%）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≥90%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项目完成时间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2021年12月</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资金支付及时率（%）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100%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劳务费（万元）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9</w:t>
            </w: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帮扶低收入人群增加收入（元\人\月）</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≥1600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改善中心环境卫生</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有效改善</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继续保障环境卫生和财务工作</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有效保障</w:t>
            </w:r>
          </w:p>
        </w:tc>
      </w:tr>
      <w:tr>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受益工作人员满意度（%）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≥95%</w:t>
            </w:r>
          </w:p>
        </w:tc>
      </w:tr>
    </w:tbl>
    <w:p>
      <w:pPr>
        <w:widowControl/>
        <w:spacing w:line="480" w:lineRule="exact"/>
        <w:jc w:val="left"/>
        <w:rPr>
          <w:rFonts w:hint="eastAsia" w:ascii="楷体_GB2312" w:hAnsi="宋体" w:eastAsia="楷体_GB2312" w:cs="宋体"/>
          <w:b/>
          <w:kern w:val="0"/>
          <w:sz w:val="32"/>
          <w:szCs w:val="32"/>
        </w:rPr>
      </w:pPr>
    </w:p>
    <w:p>
      <w:pPr>
        <w:widowControl/>
        <w:spacing w:line="480" w:lineRule="exact"/>
        <w:jc w:val="left"/>
        <w:rPr>
          <w:rFonts w:hint="eastAsia" w:ascii="楷体_GB2312" w:hAnsi="宋体" w:eastAsia="楷体_GB2312" w:cs="宋体"/>
          <w:b/>
          <w:kern w:val="0"/>
          <w:sz w:val="32"/>
          <w:szCs w:val="32"/>
        </w:rPr>
      </w:pPr>
    </w:p>
    <w:p>
      <w:pPr>
        <w:widowControl/>
        <w:spacing w:line="480" w:lineRule="exact"/>
        <w:jc w:val="left"/>
        <w:rPr>
          <w:rFonts w:hint="eastAsia" w:ascii="楷体_GB2312" w:hAnsi="宋体" w:eastAsia="楷体_GB2312" w:cs="宋体"/>
          <w:b/>
          <w:kern w:val="0"/>
          <w:sz w:val="32"/>
          <w:szCs w:val="32"/>
        </w:rPr>
      </w:pPr>
    </w:p>
    <w:p>
      <w:pPr>
        <w:widowControl/>
        <w:spacing w:line="480" w:lineRule="exact"/>
        <w:jc w:val="left"/>
        <w:rPr>
          <w:rFonts w:hint="eastAsia" w:ascii="楷体_GB2312" w:hAnsi="宋体" w:eastAsia="楷体_GB2312" w:cs="宋体"/>
          <w:b/>
          <w:kern w:val="0"/>
          <w:sz w:val="32"/>
          <w:szCs w:val="32"/>
        </w:rPr>
      </w:pPr>
    </w:p>
    <w:p>
      <w:pPr>
        <w:widowControl/>
        <w:spacing w:line="480" w:lineRule="exact"/>
        <w:jc w:val="left"/>
        <w:rPr>
          <w:rFonts w:hint="eastAsia" w:ascii="楷体_GB2312" w:hAnsi="宋体" w:eastAsia="楷体_GB2312" w:cs="宋体"/>
          <w:b/>
          <w:kern w:val="0"/>
          <w:sz w:val="32"/>
          <w:szCs w:val="32"/>
        </w:rPr>
      </w:pPr>
    </w:p>
    <w:p>
      <w:pPr>
        <w:widowControl/>
        <w:spacing w:line="480" w:lineRule="exact"/>
        <w:jc w:val="left"/>
        <w:rPr>
          <w:rFonts w:hint="eastAsia" w:ascii="楷体_GB2312" w:hAnsi="宋体" w:eastAsia="楷体_GB2312" w:cs="宋体"/>
          <w:b/>
          <w:kern w:val="0"/>
          <w:sz w:val="32"/>
          <w:szCs w:val="32"/>
        </w:rPr>
      </w:pPr>
    </w:p>
    <w:p>
      <w:pPr>
        <w:widowControl/>
        <w:spacing w:line="480" w:lineRule="exact"/>
        <w:jc w:val="left"/>
        <w:rPr>
          <w:rFonts w:hint="eastAsia" w:ascii="楷体_GB2312" w:hAnsi="宋体" w:eastAsia="楷体_GB2312" w:cs="宋体"/>
          <w:b/>
          <w:kern w:val="0"/>
          <w:sz w:val="32"/>
          <w:szCs w:val="32"/>
        </w:rPr>
      </w:pPr>
    </w:p>
    <w:tbl>
      <w:tblPr>
        <w:tblStyle w:val="7"/>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eastAsia="zh-CN" w:bidi="ar"/>
              </w:rPr>
              <w:t>克州政务服务和公共资源交易中心</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业务经费</w:t>
            </w:r>
          </w:p>
        </w:tc>
      </w:tr>
      <w:tr>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6</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6</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0</w:t>
            </w:r>
          </w:p>
        </w:tc>
      </w:tr>
      <w:tr>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spacing w:line="480" w:lineRule="exact"/>
              <w:jc w:val="left"/>
              <w:rPr>
                <w:rFonts w:ascii="宋体" w:hAnsi="宋体" w:cs="宋体"/>
                <w:color w:val="000000"/>
                <w:sz w:val="18"/>
                <w:szCs w:val="18"/>
              </w:rPr>
            </w:pPr>
            <w:r>
              <w:rPr>
                <w:rFonts w:hint="eastAsia" w:ascii="宋体" w:hAnsi="宋体" w:cs="宋体"/>
                <w:color w:val="000000"/>
                <w:sz w:val="18"/>
                <w:szCs w:val="18"/>
              </w:rPr>
              <w:t>主要弥补中心公用经费，主要用途是用于大厅花卉费、报刊杂志订阅、大厅办公用品、办公耗材、印制办事指南等办公用品、办公耗材及其他办公物品，以达到更优质、更加高效、更加便捷的服务办事群众的目标。</w:t>
            </w:r>
          </w:p>
        </w:tc>
      </w:tr>
      <w:tr>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购置办公用品批次（次）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≥6</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窗口工作人员人数（人）</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资金使用合规率（%）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项目完成时间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2021年12月</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资金支付及时率（%）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100%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清洁日用品（万元）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≤3</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其他办公用品费（万元）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≤3</w:t>
            </w: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保障中心各项工作正常开展，提高工作效率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有效保障</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满足服务中心日常工作需求</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长期</w:t>
            </w:r>
          </w:p>
        </w:tc>
      </w:tr>
      <w:tr>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受益群众满意程度（%）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≥95%</w:t>
            </w:r>
          </w:p>
        </w:tc>
      </w:tr>
    </w:tbl>
    <w:p>
      <w:pPr>
        <w:spacing w:line="560" w:lineRule="exact"/>
        <w:jc w:val="center"/>
        <w:rPr>
          <w:rFonts w:ascii="仿宋_GB2312" w:hAnsi="宋体" w:eastAsia="仿宋_GB2312" w:cs="宋体"/>
          <w:kern w:val="0"/>
          <w:sz w:val="32"/>
          <w:szCs w:val="32"/>
        </w:rPr>
      </w:pPr>
    </w:p>
    <w:p>
      <w:pPr>
        <w:widowControl/>
        <w:spacing w:line="480" w:lineRule="exact"/>
        <w:jc w:val="left"/>
        <w:rPr>
          <w:rFonts w:hint="eastAsia" w:ascii="楷体_GB2312" w:hAnsi="宋体" w:eastAsia="楷体_GB2312" w:cs="宋体"/>
          <w:b/>
          <w:kern w:val="0"/>
          <w:sz w:val="32"/>
          <w:szCs w:val="32"/>
        </w:rPr>
      </w:pPr>
    </w:p>
    <w:p>
      <w:pPr>
        <w:widowControl/>
        <w:spacing w:line="480" w:lineRule="exact"/>
        <w:ind w:firstLine="630" w:firstLineChars="196"/>
        <w:jc w:val="left"/>
        <w:rPr>
          <w:rFonts w:hint="eastAsia" w:ascii="楷体_GB2312" w:hAnsi="宋体" w:eastAsia="楷体_GB2312" w:cs="宋体"/>
          <w:b/>
          <w:kern w:val="0"/>
          <w:sz w:val="32"/>
          <w:szCs w:val="32"/>
        </w:rPr>
      </w:pPr>
    </w:p>
    <w:p>
      <w:pPr>
        <w:widowControl/>
        <w:spacing w:line="480" w:lineRule="exact"/>
        <w:jc w:val="left"/>
        <w:rPr>
          <w:rFonts w:hint="eastAsia" w:ascii="楷体_GB2312" w:hAnsi="宋体" w:eastAsia="楷体_GB2312" w:cs="宋体"/>
          <w:b/>
          <w:kern w:val="0"/>
          <w:sz w:val="32"/>
          <w:szCs w:val="32"/>
        </w:rPr>
      </w:pPr>
    </w:p>
    <w:p>
      <w:pPr>
        <w:widowControl/>
        <w:spacing w:line="480" w:lineRule="exact"/>
        <w:ind w:firstLine="643" w:firstLineChars="200"/>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jc w:val="left"/>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 xml:space="preserve">     克州政务服务和公共资源交易中心无其他需说明的事项。</w:t>
      </w:r>
    </w:p>
    <w:p>
      <w:pPr>
        <w:widowControl/>
        <w:spacing w:before="217"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numPr>
          <w:ilvl w:val="0"/>
          <w:numId w:val="2"/>
        </w:numPr>
        <w:spacing w:line="520" w:lineRule="exact"/>
        <w:ind w:firstLine="642"/>
        <w:rPr>
          <w:rFonts w:hint="eastAsia" w:ascii="仿宋_GB2312" w:eastAsia="仿宋_GB2312"/>
          <w:spacing w:val="-6"/>
          <w:sz w:val="32"/>
          <w:szCs w:val="32"/>
        </w:rPr>
      </w:pPr>
      <w:r>
        <w:rPr>
          <w:rFonts w:hint="eastAsia" w:ascii="黑体" w:hAnsi="黑体" w:eastAsia="黑体"/>
          <w:sz w:val="32"/>
          <w:szCs w:val="32"/>
        </w:rPr>
        <w:t>财政拨款：</w:t>
      </w:r>
      <w:r>
        <w:rPr>
          <w:rFonts w:hint="eastAsia" w:ascii="仿宋_GB2312" w:eastAsia="仿宋_GB2312"/>
          <w:spacing w:val="-6"/>
          <w:sz w:val="32"/>
          <w:szCs w:val="32"/>
        </w:rPr>
        <w:t>指由一般公共预算、政府性基金预算、国有资本经营预算安排的财政拨款数。</w:t>
      </w:r>
    </w:p>
    <w:p>
      <w:pPr>
        <w:numPr>
          <w:ilvl w:val="0"/>
          <w:numId w:val="0"/>
        </w:numPr>
        <w:spacing w:line="520" w:lineRule="exact"/>
        <w:ind w:firstLine="640" w:firstLineChars="200"/>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三</w:t>
      </w:r>
      <w:r>
        <w:rPr>
          <w:rFonts w:hint="eastAsia" w:ascii="黑体" w:hAnsi="黑体" w:eastAsia="黑体"/>
          <w:sz w:val="32"/>
          <w:szCs w:val="32"/>
        </w:rPr>
        <w:t>、基本支出：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四</w:t>
      </w:r>
      <w:r>
        <w:rPr>
          <w:rFonts w:hint="eastAsia" w:ascii="黑体" w:hAnsi="黑体" w:eastAsia="黑体"/>
          <w:sz w:val="32"/>
          <w:szCs w:val="32"/>
        </w:rPr>
        <w:t>、项目支出：</w:t>
      </w:r>
      <w:r>
        <w:rPr>
          <w:rFonts w:hint="eastAsia" w:ascii="仿宋_GB2312" w:eastAsia="仿宋_GB2312"/>
          <w:sz w:val="32"/>
          <w:szCs w:val="32"/>
          <w:lang w:eastAsia="zh-CN"/>
        </w:rPr>
        <w:t>部门</w:t>
      </w:r>
      <w:r>
        <w:rPr>
          <w:rFonts w:hint="eastAsia" w:ascii="仿宋_GB2312" w:eastAsia="仿宋_GB2312"/>
          <w:sz w:val="32"/>
          <w:szCs w:val="32"/>
        </w:rPr>
        <w:t>（单位）支出预算的组成部分，是自治区本级</w:t>
      </w:r>
      <w:r>
        <w:rPr>
          <w:rFonts w:hint="eastAsia" w:ascii="仿宋_GB2312" w:eastAsia="仿宋_GB2312"/>
          <w:sz w:val="32"/>
          <w:szCs w:val="32"/>
          <w:lang w:eastAsia="zh-CN"/>
        </w:rPr>
        <w:t>部门（单位）</w:t>
      </w:r>
      <w:r>
        <w:rPr>
          <w:rFonts w:hint="eastAsia" w:ascii="仿宋_GB2312" w:eastAsia="仿宋_GB2312"/>
          <w:sz w:val="32"/>
          <w:szCs w:val="32"/>
        </w:rPr>
        <w:t>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五</w:t>
      </w:r>
      <w:r>
        <w:rPr>
          <w:rFonts w:hint="eastAsia" w:ascii="黑体" w:hAnsi="黑体" w:eastAsia="黑体"/>
          <w:sz w:val="32"/>
          <w:szCs w:val="32"/>
        </w:rPr>
        <w:t>、“三公”经费：</w:t>
      </w:r>
      <w:r>
        <w:rPr>
          <w:rFonts w:hint="eastAsia" w:ascii="仿宋_GB2312" w:eastAsia="仿宋_GB2312"/>
          <w:sz w:val="32"/>
          <w:szCs w:val="32"/>
        </w:rPr>
        <w:t>指自治州本级</w:t>
      </w:r>
      <w:r>
        <w:rPr>
          <w:rFonts w:hint="eastAsia" w:ascii="仿宋_GB2312" w:eastAsia="仿宋_GB2312"/>
          <w:sz w:val="32"/>
          <w:szCs w:val="32"/>
          <w:lang w:eastAsia="zh-CN"/>
        </w:rPr>
        <w:t>部门（单位）</w:t>
      </w:r>
      <w:r>
        <w:rPr>
          <w:rFonts w:hint="eastAsia" w:ascii="仿宋_GB2312" w:eastAsia="仿宋_GB2312"/>
          <w:sz w:val="32"/>
          <w:szCs w:val="32"/>
        </w:rPr>
        <w:t>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hAnsi="宋体" w:eastAsia="仿宋_GB2312" w:cs="宋体"/>
          <w:kern w:val="0"/>
          <w:sz w:val="32"/>
          <w:szCs w:val="32"/>
        </w:rPr>
      </w:pPr>
      <w:r>
        <w:rPr>
          <w:rFonts w:hint="eastAsia" w:ascii="黑体" w:hAnsi="黑体" w:eastAsia="黑体"/>
          <w:sz w:val="32"/>
          <w:szCs w:val="32"/>
          <w:lang w:eastAsia="zh-CN"/>
        </w:rPr>
        <w:t>六</w:t>
      </w:r>
      <w:r>
        <w:rPr>
          <w:rFonts w:hint="eastAsia" w:ascii="黑体" w:hAnsi="黑体" w:eastAsia="黑体"/>
          <w:sz w:val="32"/>
          <w:szCs w:val="32"/>
        </w:rPr>
        <w:t>、机关运行经费：</w:t>
      </w:r>
      <w:r>
        <w:rPr>
          <w:rFonts w:hint="eastAsia" w:ascii="仿宋_GB2312" w:eastAsia="仿宋_GB2312"/>
          <w:sz w:val="32"/>
          <w:szCs w:val="32"/>
        </w:rPr>
        <w:t>指各</w:t>
      </w:r>
      <w:r>
        <w:rPr>
          <w:rFonts w:hint="eastAsia" w:ascii="仿宋_GB2312" w:eastAsia="仿宋_GB2312"/>
          <w:sz w:val="32"/>
          <w:szCs w:val="32"/>
          <w:lang w:eastAsia="zh-CN"/>
        </w:rPr>
        <w:t>部门</w:t>
      </w:r>
      <w:r>
        <w:rPr>
          <w:rFonts w:hint="eastAsia" w:ascii="仿宋_GB2312" w:eastAsia="仿宋_GB2312"/>
          <w:sz w:val="32"/>
          <w:szCs w:val="32"/>
        </w:rPr>
        <w:t>（单位）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eastAsia="zh-CN"/>
        </w:rPr>
        <w:t>克州政务服务和公共资源交易中心</w:t>
      </w:r>
    </w:p>
    <w:p>
      <w:pPr>
        <w:widowControl/>
        <w:spacing w:line="520" w:lineRule="exact"/>
        <w:jc w:val="left"/>
        <w:rPr>
          <w:rFonts w:ascii="仿宋_GB2312" w:eastAsia="仿宋_GB2312"/>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5</w:t>
      </w:r>
      <w:r>
        <w:rPr>
          <w:rFonts w:ascii="仿宋_GB2312" w:hAnsi="宋体" w:eastAsia="仿宋_GB2312" w:cs="宋体"/>
          <w:kern w:val="0"/>
          <w:sz w:val="32"/>
          <w:szCs w:val="32"/>
        </w:rPr>
        <w:t>日</w:t>
      </w:r>
      <w:bookmarkStart w:id="0" w:name="_GoBack"/>
      <w:bookmarkEnd w:id="0"/>
    </w:p>
    <w:sectPr>
      <w:footerReference r:id="rId5" w:type="default"/>
      <w:footerReference r:id="rId6" w:type="even"/>
      <w:pgSz w:w="11906" w:h="16838"/>
      <w:pgMar w:top="2041" w:right="1276" w:bottom="2041" w:left="1276" w:header="851" w:footer="1814" w:gutter="0"/>
      <w:pgNumType w:fmt="numberInDash"/>
      <w:cols w:space="720" w:num="1"/>
      <w:docGrid w:type="lines" w:linePitch="435" w:charSpace="-167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Helvetica">
    <w:altName w:val="Arial"/>
    <w:panose1 w:val="020B0504020202020204"/>
    <w:charset w:val="00"/>
    <w:family w:val="swiss"/>
    <w:pitch w:val="default"/>
    <w:sig w:usb0="00000000" w:usb1="00000000" w:usb2="00000009" w:usb3="00000000" w:csb0="000001FF"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1 -</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20 -</w:t>
    </w:r>
    <w:r>
      <w:rPr>
        <w:rFonts w:ascii="宋体" w:hAnsi="宋体" w:eastAsia="宋体"/>
        <w:sz w:val="28"/>
        <w:szCs w:val="28"/>
      </w:rP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9631" w:y="37"/>
      <w:jc w:val="right"/>
      <w:rPr>
        <w:rStyle w:val="11"/>
        <w:rFonts w:ascii="宋体" w:hAnsi="宋体" w:eastAsia="宋体"/>
        <w:sz w:val="28"/>
      </w:rPr>
    </w:pPr>
    <w:r>
      <w:rPr>
        <w:rFonts w:ascii="宋体" w:hAnsi="宋体" w:eastAsia="宋体"/>
        <w:sz w:val="28"/>
      </w:rPr>
      <w:fldChar w:fldCharType="begin"/>
    </w:r>
    <w:r>
      <w:rPr>
        <w:rStyle w:val="11"/>
        <w:rFonts w:ascii="宋体" w:hAnsi="宋体" w:eastAsia="宋体"/>
        <w:sz w:val="28"/>
      </w:rPr>
      <w:instrText xml:space="preserve"> PAGE </w:instrText>
    </w:r>
    <w:r>
      <w:rPr>
        <w:rFonts w:ascii="宋体" w:hAnsi="宋体" w:eastAsia="宋体"/>
        <w:sz w:val="28"/>
      </w:rPr>
      <w:fldChar w:fldCharType="separate"/>
    </w:r>
    <w:r>
      <w:rPr>
        <w:rStyle w:val="11"/>
        <w:rFonts w:ascii="宋体" w:hAnsi="宋体" w:eastAsia="宋体"/>
        <w:sz w:val="28"/>
      </w:rPr>
      <w:t>- 33 -</w:t>
    </w:r>
    <w:r>
      <w:rPr>
        <w:rFonts w:ascii="宋体" w:hAnsi="宋体" w:eastAsia="宋体"/>
        <w:sz w:val="28"/>
      </w:rPr>
      <w:fldChar w:fldCharType="end"/>
    </w:r>
    <w:r>
      <w:rPr>
        <w:rStyle w:val="11"/>
        <w:rFonts w:hint="eastAsia" w:ascii="宋体" w:hAnsi="宋体" w:eastAsia="宋体"/>
        <w:sz w:val="28"/>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1756" w:y="37"/>
      <w:rPr>
        <w:rStyle w:val="11"/>
        <w:rFonts w:ascii="宋体" w:hAnsi="宋体" w:eastAsia="宋体"/>
        <w:sz w:val="28"/>
        <w:szCs w:val="28"/>
      </w:rPr>
    </w:pPr>
    <w:r>
      <w:rPr>
        <w:rFonts w:ascii="宋体" w:hAnsi="宋体" w:eastAsia="宋体"/>
        <w:sz w:val="28"/>
        <w:szCs w:val="28"/>
      </w:rPr>
      <w:fldChar w:fldCharType="begin"/>
    </w:r>
    <w:r>
      <w:rPr>
        <w:rStyle w:val="11"/>
        <w:rFonts w:ascii="宋体" w:hAnsi="宋体" w:eastAsia="宋体"/>
        <w:sz w:val="28"/>
        <w:szCs w:val="28"/>
      </w:rPr>
      <w:instrText xml:space="preserve">PAGE  </w:instrText>
    </w:r>
    <w:r>
      <w:rPr>
        <w:rFonts w:ascii="宋体" w:hAnsi="宋体" w:eastAsia="宋体"/>
        <w:sz w:val="28"/>
        <w:szCs w:val="28"/>
      </w:rPr>
      <w:fldChar w:fldCharType="separate"/>
    </w:r>
    <w:r>
      <w:rPr>
        <w:rStyle w:val="11"/>
        <w:rFonts w:ascii="宋体" w:hAnsi="宋体" w:eastAsia="宋体"/>
        <w:sz w:val="28"/>
        <w:szCs w:val="28"/>
      </w:rPr>
      <w:t>- 34 -</w:t>
    </w:r>
    <w:r>
      <w:rPr>
        <w:rFonts w:ascii="宋体" w:hAnsi="宋体" w:eastAsia="宋体"/>
        <w:sz w:val="28"/>
        <w:szCs w:val="28"/>
      </w:rP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64E8229"/>
    <w:multiLevelType w:val="singleLevel"/>
    <w:tmpl w:val="F64E8229"/>
    <w:lvl w:ilvl="0" w:tentative="0">
      <w:start w:val="1"/>
      <w:numFmt w:val="chineseCounting"/>
      <w:suff w:val="nothing"/>
      <w:lvlText w:val="%1、"/>
      <w:lvlJc w:val="left"/>
      <w:rPr>
        <w:rFonts w:hint="eastAsia"/>
      </w:rPr>
    </w:lvl>
  </w:abstractNum>
  <w:abstractNum w:abstractNumId="1">
    <w:nsid w:val="16EC7660"/>
    <w:multiLevelType w:val="singleLevel"/>
    <w:tmpl w:val="16EC7660"/>
    <w:lvl w:ilvl="0" w:tentative="0">
      <w:start w:val="1"/>
      <w:numFmt w:val="chineseCounting"/>
      <w:suff w:val="nothing"/>
      <w:lvlText w:val="%1、"/>
      <w:lvlJc w:val="left"/>
      <w:pPr>
        <w:ind w:left="640" w:leftChars="0" w:firstLine="0" w:firstLineChars="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HorizontalSpacing w:val="213"/>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5BF"/>
    <w:rsid w:val="00054ABF"/>
    <w:rsid w:val="0009522A"/>
    <w:rsid w:val="000C2AA9"/>
    <w:rsid w:val="00121764"/>
    <w:rsid w:val="001662FE"/>
    <w:rsid w:val="00172C01"/>
    <w:rsid w:val="00186398"/>
    <w:rsid w:val="001D3009"/>
    <w:rsid w:val="002166BA"/>
    <w:rsid w:val="00324290"/>
    <w:rsid w:val="00396814"/>
    <w:rsid w:val="003B4B5F"/>
    <w:rsid w:val="003C61E3"/>
    <w:rsid w:val="00432267"/>
    <w:rsid w:val="004422D6"/>
    <w:rsid w:val="00493EEC"/>
    <w:rsid w:val="004C06DA"/>
    <w:rsid w:val="004F62F9"/>
    <w:rsid w:val="00520D5A"/>
    <w:rsid w:val="006A3660"/>
    <w:rsid w:val="006B6A8C"/>
    <w:rsid w:val="007219F8"/>
    <w:rsid w:val="007E2CEA"/>
    <w:rsid w:val="009035BA"/>
    <w:rsid w:val="00950B98"/>
    <w:rsid w:val="0096028F"/>
    <w:rsid w:val="0099744C"/>
    <w:rsid w:val="009C6198"/>
    <w:rsid w:val="00A9706D"/>
    <w:rsid w:val="00BA582F"/>
    <w:rsid w:val="00C117E5"/>
    <w:rsid w:val="00CA4E1E"/>
    <w:rsid w:val="00CE5389"/>
    <w:rsid w:val="00DC05BF"/>
    <w:rsid w:val="00E569BC"/>
    <w:rsid w:val="00EF4090"/>
    <w:rsid w:val="00F23808"/>
    <w:rsid w:val="00F54FE8"/>
    <w:rsid w:val="00F830A1"/>
    <w:rsid w:val="00F83503"/>
    <w:rsid w:val="00F90952"/>
    <w:rsid w:val="01184E7B"/>
    <w:rsid w:val="03983192"/>
    <w:rsid w:val="044D57FE"/>
    <w:rsid w:val="04FD23F0"/>
    <w:rsid w:val="08EB24BE"/>
    <w:rsid w:val="090D2AAC"/>
    <w:rsid w:val="09970A0A"/>
    <w:rsid w:val="0A58600F"/>
    <w:rsid w:val="0C684B76"/>
    <w:rsid w:val="0D7251DF"/>
    <w:rsid w:val="109C57A0"/>
    <w:rsid w:val="12690CD9"/>
    <w:rsid w:val="13D1206A"/>
    <w:rsid w:val="14380857"/>
    <w:rsid w:val="1498092C"/>
    <w:rsid w:val="149D5B12"/>
    <w:rsid w:val="159B1019"/>
    <w:rsid w:val="160D5B4B"/>
    <w:rsid w:val="172F706A"/>
    <w:rsid w:val="184E0E59"/>
    <w:rsid w:val="19332010"/>
    <w:rsid w:val="1A491796"/>
    <w:rsid w:val="1A6078A9"/>
    <w:rsid w:val="1ADD014F"/>
    <w:rsid w:val="1ADE2A0F"/>
    <w:rsid w:val="1B3E0853"/>
    <w:rsid w:val="1BC2674E"/>
    <w:rsid w:val="1BEA6C8A"/>
    <w:rsid w:val="1C1F26DC"/>
    <w:rsid w:val="1C672CF0"/>
    <w:rsid w:val="1EDC22DC"/>
    <w:rsid w:val="20402245"/>
    <w:rsid w:val="20FD0A92"/>
    <w:rsid w:val="21AB4D9D"/>
    <w:rsid w:val="21B258A7"/>
    <w:rsid w:val="22DB105F"/>
    <w:rsid w:val="23E050A1"/>
    <w:rsid w:val="240F73D2"/>
    <w:rsid w:val="241C2622"/>
    <w:rsid w:val="250C181A"/>
    <w:rsid w:val="252F060C"/>
    <w:rsid w:val="26D34F4B"/>
    <w:rsid w:val="27552C4B"/>
    <w:rsid w:val="28267CCB"/>
    <w:rsid w:val="28D346E8"/>
    <w:rsid w:val="291359B8"/>
    <w:rsid w:val="2ABC6E84"/>
    <w:rsid w:val="2C686087"/>
    <w:rsid w:val="2C91049B"/>
    <w:rsid w:val="2E676202"/>
    <w:rsid w:val="2ECF049E"/>
    <w:rsid w:val="2FD45FAA"/>
    <w:rsid w:val="3020677E"/>
    <w:rsid w:val="31B209E8"/>
    <w:rsid w:val="31F57EFB"/>
    <w:rsid w:val="334F7808"/>
    <w:rsid w:val="338C0DB2"/>
    <w:rsid w:val="34EC3F65"/>
    <w:rsid w:val="3603556D"/>
    <w:rsid w:val="36A43CF7"/>
    <w:rsid w:val="37564E09"/>
    <w:rsid w:val="3775132A"/>
    <w:rsid w:val="3CA6015C"/>
    <w:rsid w:val="3D7B4CBE"/>
    <w:rsid w:val="3DFE7BA3"/>
    <w:rsid w:val="3F3A3145"/>
    <w:rsid w:val="3F516A2A"/>
    <w:rsid w:val="3F704F11"/>
    <w:rsid w:val="3FE52645"/>
    <w:rsid w:val="40B47735"/>
    <w:rsid w:val="41B07E57"/>
    <w:rsid w:val="43711E2B"/>
    <w:rsid w:val="440F49B4"/>
    <w:rsid w:val="442D5222"/>
    <w:rsid w:val="44A441E0"/>
    <w:rsid w:val="44DF004A"/>
    <w:rsid w:val="45D26D57"/>
    <w:rsid w:val="467D6417"/>
    <w:rsid w:val="474838F7"/>
    <w:rsid w:val="47A61C68"/>
    <w:rsid w:val="492E7C2C"/>
    <w:rsid w:val="49782BE2"/>
    <w:rsid w:val="49B346AF"/>
    <w:rsid w:val="4C460219"/>
    <w:rsid w:val="4C7B5E9A"/>
    <w:rsid w:val="4CC65D22"/>
    <w:rsid w:val="4D280BBB"/>
    <w:rsid w:val="4E210DED"/>
    <w:rsid w:val="507C047B"/>
    <w:rsid w:val="52F21240"/>
    <w:rsid w:val="535001C8"/>
    <w:rsid w:val="535B144E"/>
    <w:rsid w:val="53FE4D49"/>
    <w:rsid w:val="565E21AB"/>
    <w:rsid w:val="59C339DB"/>
    <w:rsid w:val="5B386ED9"/>
    <w:rsid w:val="5BC65587"/>
    <w:rsid w:val="5CFA76E3"/>
    <w:rsid w:val="5D2020A2"/>
    <w:rsid w:val="5FA126B3"/>
    <w:rsid w:val="602733D9"/>
    <w:rsid w:val="604F12F6"/>
    <w:rsid w:val="60863728"/>
    <w:rsid w:val="61F5726E"/>
    <w:rsid w:val="645C1372"/>
    <w:rsid w:val="65260AD2"/>
    <w:rsid w:val="67FA690D"/>
    <w:rsid w:val="684A4F49"/>
    <w:rsid w:val="68EE7365"/>
    <w:rsid w:val="69DC4508"/>
    <w:rsid w:val="6B135136"/>
    <w:rsid w:val="6BB47ED6"/>
    <w:rsid w:val="6BD36E7F"/>
    <w:rsid w:val="6C3D5DDD"/>
    <w:rsid w:val="6C5C3399"/>
    <w:rsid w:val="6F1F33B8"/>
    <w:rsid w:val="709762AB"/>
    <w:rsid w:val="70C23BE7"/>
    <w:rsid w:val="71230936"/>
    <w:rsid w:val="715334D4"/>
    <w:rsid w:val="72AA28D5"/>
    <w:rsid w:val="73735DD4"/>
    <w:rsid w:val="74471C19"/>
    <w:rsid w:val="7619515B"/>
    <w:rsid w:val="76B239EA"/>
    <w:rsid w:val="786A1796"/>
    <w:rsid w:val="788B1D26"/>
    <w:rsid w:val="78EF0B3D"/>
    <w:rsid w:val="7CF05F34"/>
    <w:rsid w:val="7D1E2E20"/>
    <w:rsid w:val="7F6268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4"/>
    <w:semiHidden/>
    <w:qFormat/>
    <w:uiPriority w:val="0"/>
    <w:rPr>
      <w:rFonts w:asciiTheme="minorHAnsi" w:hAnsiTheme="minorHAnsi" w:eastAsiaTheme="minorEastAsia" w:cstheme="minorBidi"/>
      <w:sz w:val="18"/>
      <w:szCs w:val="18"/>
    </w:rPr>
  </w:style>
  <w:style w:type="paragraph" w:styleId="3">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2"/>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link w:val="15"/>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眉 字符"/>
    <w:basedOn w:val="9"/>
    <w:link w:val="4"/>
    <w:qFormat/>
    <w:uiPriority w:val="0"/>
    <w:rPr>
      <w:sz w:val="18"/>
      <w:szCs w:val="18"/>
    </w:rPr>
  </w:style>
  <w:style w:type="character" w:customStyle="1" w:styleId="13">
    <w:name w:val="页脚 字符"/>
    <w:basedOn w:val="9"/>
    <w:link w:val="3"/>
    <w:qFormat/>
    <w:uiPriority w:val="99"/>
    <w:rPr>
      <w:sz w:val="18"/>
      <w:szCs w:val="18"/>
    </w:rPr>
  </w:style>
  <w:style w:type="character" w:customStyle="1" w:styleId="14">
    <w:name w:val="批注框文本 字符"/>
    <w:link w:val="2"/>
    <w:semiHidden/>
    <w:qFormat/>
    <w:uiPriority w:val="0"/>
    <w:rPr>
      <w:sz w:val="18"/>
      <w:szCs w:val="18"/>
    </w:rPr>
  </w:style>
  <w:style w:type="character" w:customStyle="1" w:styleId="15">
    <w:name w:val="正文文本缩进 3 字符"/>
    <w:link w:val="5"/>
    <w:qFormat/>
    <w:uiPriority w:val="0"/>
    <w:rPr>
      <w:rFonts w:eastAsia="仿宋_GB2312"/>
      <w:sz w:val="32"/>
      <w:szCs w:val="24"/>
    </w:rPr>
  </w:style>
  <w:style w:type="paragraph" w:customStyle="1" w:styleId="16">
    <w:name w:val="普通(网站)2"/>
    <w:basedOn w:val="1"/>
    <w:qFormat/>
    <w:uiPriority w:val="0"/>
    <w:rPr>
      <w:rFonts w:ascii="Calibri" w:hAnsi="Calibri" w:cs="黑体"/>
      <w:sz w:val="24"/>
    </w:rPr>
  </w:style>
  <w:style w:type="character" w:customStyle="1" w:styleId="17">
    <w:name w:val="正文文本缩进 3 字符1"/>
    <w:basedOn w:val="9"/>
    <w:semiHidden/>
    <w:qFormat/>
    <w:uiPriority w:val="99"/>
    <w:rPr>
      <w:rFonts w:ascii="Times New Roman" w:hAnsi="Times New Roman" w:eastAsia="宋体" w:cs="Times New Roman"/>
      <w:sz w:val="16"/>
      <w:szCs w:val="16"/>
    </w:rPr>
  </w:style>
  <w:style w:type="paragraph" w:styleId="18">
    <w:name w:val="List Paragraph"/>
    <w:basedOn w:val="1"/>
    <w:qFormat/>
    <w:uiPriority w:val="34"/>
    <w:pPr>
      <w:ind w:firstLine="420" w:firstLineChars="200"/>
    </w:pPr>
    <w:rPr>
      <w:rFonts w:ascii="Calibri" w:hAnsi="Calibri"/>
      <w:szCs w:val="22"/>
    </w:rPr>
  </w:style>
  <w:style w:type="paragraph" w:customStyle="1" w:styleId="19">
    <w:name w:val="普通(网站)3"/>
    <w:basedOn w:val="1"/>
    <w:qFormat/>
    <w:uiPriority w:val="0"/>
    <w:rPr>
      <w:rFonts w:ascii="Calibri" w:hAnsi="Calibri" w:cs="黑体"/>
      <w:sz w:val="24"/>
    </w:rPr>
  </w:style>
  <w:style w:type="character" w:customStyle="1" w:styleId="20">
    <w:name w:val="批注框文本 字符1"/>
    <w:basedOn w:val="9"/>
    <w:semiHidden/>
    <w:qFormat/>
    <w:uiPriority w:val="99"/>
    <w:rPr>
      <w:rFonts w:ascii="Times New Roman" w:hAnsi="Times New Roman" w:eastAsia="宋体" w:cs="Times New Roman"/>
      <w:sz w:val="18"/>
      <w:szCs w:val="18"/>
    </w:rPr>
  </w:style>
  <w:style w:type="paragraph" w:customStyle="1" w:styleId="21">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22">
    <w:name w:val="普通(网站)1"/>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2455</Words>
  <Characters>13996</Characters>
  <Lines>116</Lines>
  <Paragraphs>32</Paragraphs>
  <TotalTime>8</TotalTime>
  <ScaleCrop>false</ScaleCrop>
  <LinksUpToDate>false</LinksUpToDate>
  <CharactersWithSpaces>16419</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2021-02-07T10:41:00Z</dcterms:created>
  <dc:creator>薛理升</dc:creator>
  <cp:lastModifiedBy>暴露年龄</cp:lastModifiedBy>
  <cp:lastPrinted>2021-03-03T12:54:13Z</cp:lastPrinted>
  <dcterms:modified xsi:type="dcterms:W3CDTF">2021-03-03T12:54:20Z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