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spacing w:val="12"/>
        </w:rPr>
      </w:pPr>
    </w:p>
    <w:p>
      <w:pPr>
        <w:pStyle w:val="2"/>
        <w:rPr>
          <w:rFonts w:ascii="仿宋_GB2312" w:hAnsi="仿宋_GB2312"/>
          <w:spacing w:val="12"/>
        </w:rPr>
      </w:pPr>
    </w:p>
    <w:p/>
    <w:p>
      <w:pPr>
        <w:tabs>
          <w:tab w:val="left" w:pos="4500"/>
        </w:tabs>
        <w:spacing w:line="660" w:lineRule="exact"/>
        <w:ind w:firstLine="0" w:firstLineChars="0"/>
        <w:jc w:val="center"/>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克政办发〔202</w:t>
      </w:r>
      <w:r>
        <w:rPr>
          <w:rFonts w:hint="eastAsia" w:ascii="仿宋_GB2312" w:hAnsi="仿宋_GB2312" w:eastAsia="仿宋_GB2312" w:cs="仿宋_GB2312"/>
          <w:spacing w:val="12"/>
          <w:sz w:val="32"/>
          <w:szCs w:val="32"/>
          <w:lang w:val="en-US" w:eastAsia="zh-CN"/>
        </w:rPr>
        <w:t>3</w:t>
      </w:r>
      <w:r>
        <w:rPr>
          <w:rFonts w:hint="eastAsia" w:ascii="仿宋_GB2312" w:hAnsi="仿宋_GB2312" w:eastAsia="仿宋_GB2312" w:cs="仿宋_GB2312"/>
          <w:spacing w:val="12"/>
          <w:sz w:val="32"/>
          <w:szCs w:val="32"/>
        </w:rPr>
        <w:t>〕</w:t>
      </w:r>
      <w:r>
        <w:rPr>
          <w:rFonts w:hint="eastAsia" w:ascii="仿宋_GB2312" w:hAnsi="仿宋_GB2312" w:cs="仿宋_GB2312"/>
          <w:spacing w:val="12"/>
          <w:sz w:val="32"/>
          <w:szCs w:val="32"/>
          <w:lang w:val="en-US" w:eastAsia="zh-CN"/>
        </w:rPr>
        <w:t>24</w:t>
      </w:r>
      <w:r>
        <w:rPr>
          <w:rFonts w:hint="eastAsia" w:ascii="仿宋_GB2312" w:hAnsi="仿宋_GB2312" w:eastAsia="仿宋_GB2312" w:cs="仿宋_GB2312"/>
          <w:spacing w:val="12"/>
          <w:sz w:val="32"/>
          <w:szCs w:val="32"/>
        </w:rPr>
        <w:t>号</w:t>
      </w:r>
    </w:p>
    <w:p>
      <w:pPr>
        <w:tabs>
          <w:tab w:val="left" w:pos="8400"/>
        </w:tabs>
        <w:spacing w:line="500" w:lineRule="exact"/>
        <w:rPr>
          <w:rFonts w:ascii="方正小标宋简体" w:hAnsi="方正小标宋简体" w:eastAsia="方正小标宋简体" w:cs="方正小标宋简体"/>
          <w:sz w:val="44"/>
          <w:szCs w:val="44"/>
        </w:rPr>
      </w:pPr>
    </w:p>
    <w:p>
      <w:pPr>
        <w:pStyle w:val="12"/>
        <w:keepNext w:val="0"/>
        <w:keepLines w:val="0"/>
        <w:pageBreakBefore w:val="0"/>
        <w:kinsoku/>
        <w:wordWrap/>
        <w:topLinePunct w:val="0"/>
        <w:bidi w:val="0"/>
        <w:snapToGrid/>
        <w:spacing w:after="0" w:line="520" w:lineRule="exact"/>
        <w:ind w:left="0" w:leftChars="0" w:firstLine="0" w:firstLineChars="0"/>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关于印发《克孜勒苏柯尔克孜自治州人民政府2023年度行政立法工作计划》的通知</w:t>
      </w:r>
      <w:bookmarkEnd w:id="0"/>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Calibri"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Calibri" w:eastAsia="仿宋_GB2312" w:cs="Times New Roman"/>
          <w:b w:val="0"/>
          <w:bCs w:val="0"/>
          <w:sz w:val="32"/>
          <w:szCs w:val="32"/>
          <w:lang w:val="en-US" w:eastAsia="zh-CN"/>
        </w:rPr>
      </w:pPr>
      <w:r>
        <w:rPr>
          <w:rFonts w:hint="eastAsia" w:ascii="仿宋_GB2312" w:hAnsi="Calibri" w:eastAsia="仿宋_GB2312" w:cs="Times New Roman"/>
          <w:b w:val="0"/>
          <w:bCs w:val="0"/>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b w:val="0"/>
          <w:bCs w:val="0"/>
          <w:sz w:val="32"/>
          <w:szCs w:val="32"/>
          <w:lang w:val="en-US" w:eastAsia="zh-CN"/>
        </w:rPr>
      </w:pPr>
      <w:r>
        <w:rPr>
          <w:rFonts w:hint="eastAsia" w:ascii="仿宋_GB2312" w:hAnsi="Calibri" w:eastAsia="仿宋_GB2312" w:cs="Times New Roman"/>
          <w:b w:val="0"/>
          <w:bCs w:val="0"/>
          <w:sz w:val="32"/>
          <w:szCs w:val="32"/>
          <w:lang w:val="en-US" w:eastAsia="zh-CN"/>
        </w:rPr>
        <w:t>《克孜勒苏柯尔克孜自治州人民政府2023年度行政立法工作计划》已经自治州人民政府同意，现印发给你们，请认真贯彻执行。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2880" w:firstLineChars="900"/>
        <w:jc w:val="both"/>
        <w:textAlignment w:val="auto"/>
        <w:rPr>
          <w:rFonts w:hint="eastAsia" w:ascii="仿宋_GB2312" w:hAnsi="Calibri"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2880" w:firstLineChars="900"/>
        <w:jc w:val="both"/>
        <w:textAlignment w:val="auto"/>
        <w:rPr>
          <w:rFonts w:hint="eastAsia" w:ascii="仿宋_GB2312" w:hAnsi="Calibri"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2880" w:firstLineChars="900"/>
        <w:jc w:val="both"/>
        <w:textAlignment w:val="auto"/>
        <w:rPr>
          <w:rFonts w:hint="eastAsia" w:ascii="仿宋_GB2312" w:hAnsi="Calibri" w:eastAsia="仿宋_GB2312" w:cs="Times New Roman"/>
          <w:b w:val="0"/>
          <w:bCs w:val="0"/>
          <w:sz w:val="32"/>
          <w:szCs w:val="32"/>
          <w:lang w:val="en-US" w:eastAsia="zh-CN"/>
        </w:rPr>
      </w:pPr>
      <w:r>
        <w:rPr>
          <w:rFonts w:hint="eastAsia" w:ascii="仿宋_GB2312" w:hAnsi="Calibri" w:eastAsia="仿宋_GB2312" w:cs="Times New Roman"/>
          <w:b w:val="0"/>
          <w:bCs w:val="0"/>
          <w:sz w:val="32"/>
          <w:szCs w:val="32"/>
          <w:lang w:val="en-US" w:eastAsia="zh-CN"/>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0" w:firstLineChars="1500"/>
        <w:jc w:val="both"/>
        <w:textAlignment w:val="auto"/>
        <w:rPr>
          <w:rFonts w:hint="eastAsia" w:ascii="仿宋_GB2312" w:hAnsi="Calibri" w:eastAsia="仿宋_GB2312" w:cs="Times New Roman"/>
          <w:b w:val="0"/>
          <w:bCs w:val="0"/>
          <w:sz w:val="32"/>
          <w:szCs w:val="32"/>
          <w:lang w:val="en-US" w:eastAsia="zh-CN"/>
        </w:rPr>
      </w:pPr>
      <w:r>
        <w:rPr>
          <w:rFonts w:hint="eastAsia" w:ascii="仿宋_GB2312" w:hAnsi="Calibri" w:eastAsia="仿宋_GB2312" w:cs="Times New Roman"/>
          <w:b w:val="0"/>
          <w:bCs w:val="0"/>
          <w:sz w:val="32"/>
          <w:szCs w:val="32"/>
          <w:lang w:val="en-US" w:eastAsia="zh-CN"/>
        </w:rPr>
        <w:t>2023年6月27日</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克孜勒苏柯尔克孜自治州人民政府2023年度行政立法工作计划</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Calibri"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为深入推进科学立法、民主立法、依法立法，根据《中华人民共和国立法法》《自治区人民政府行政立法工作规定》（政府令第213号）</w:t>
      </w:r>
      <w:r>
        <w:rPr>
          <w:rFonts w:hint="eastAsia" w:ascii="仿宋_GB2312" w:hAnsi="仿宋_GB2312" w:eastAsia="仿宋_GB2312" w:cs="仿宋_GB2312"/>
          <w:sz w:val="32"/>
          <w:szCs w:val="32"/>
          <w:lang w:val="en-US" w:eastAsia="zh-CN"/>
        </w:rPr>
        <w:t>精神</w:t>
      </w:r>
      <w:r>
        <w:rPr>
          <w:rFonts w:hint="eastAsia" w:ascii="仿宋_GB2312" w:hAnsi="仿宋_GB2312" w:eastAsia="仿宋_GB2312" w:cs="仿宋_GB2312"/>
          <w:b w:val="0"/>
          <w:bCs w:val="0"/>
          <w:sz w:val="32"/>
          <w:szCs w:val="32"/>
          <w:lang w:val="en-US" w:eastAsia="zh-CN"/>
        </w:rPr>
        <w:t>，结合克州经济社会发展实际，制定本工作计划。</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深入学习贯彻党的二十大精神，全面贯彻习近平法治思想，完整准确贯彻新时代党的治疆方略，贯彻落实第二十八次全国地方立法工作座谈会精神，学习贯彻中央、自治区、自治州党委人大工作会议精神，牢牢扭住社会稳定和长治久安总目标，扎实推进事关长治久安的根本性、基础性、长远性工作，坚持党的领导，坚持人民至上，坚持新发展理念，坚持党委领导、人大主导、政府依托、各方参与的立法工作格局，聚焦大局所需、群众所盼、问题所在，深入推进科学立法、民主立法、依法立法，着力提高立法质量和效率，以高质量立法推动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二、项目安排</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2023年度行政立法工作计划安排拟提请自治州人大常委会审议立法项目3件，立法调研预备项目2件。具体如下：</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pacing w:val="-6"/>
          <w:sz w:val="32"/>
          <w:szCs w:val="32"/>
          <w:lang w:val="en-US" w:eastAsia="zh-CN"/>
        </w:rPr>
        <w:t>拟提请自治州人大常委会审议的地方性法规项目（3件）</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pacing w:val="-17"/>
          <w:sz w:val="32"/>
          <w:szCs w:val="32"/>
          <w:lang w:val="en-US" w:eastAsia="zh-CN"/>
        </w:rPr>
        <w:t>《克孜勒苏柯尔克孜自治州加强矿业权监督管理的决定（草案）》</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2.《克孜勒苏柯尔克孜自治州施工现场管理条例（草案）》</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3.《克孜勒苏柯尔克孜自治州阿图什无花果产业高质量发展促进条例（草案）》</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（二）调研预备的地方性法规项目（2件）</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pacing w:val="-17"/>
          <w:sz w:val="32"/>
          <w:szCs w:val="32"/>
          <w:lang w:val="en-US" w:eastAsia="zh-CN"/>
        </w:rPr>
        <w:t>《克孜勒苏柯尔克孜自治州城市机动车停车场管理条例（草案）》</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pacing w:val="-11"/>
          <w:sz w:val="32"/>
          <w:szCs w:val="32"/>
          <w:lang w:val="en-US" w:eastAsia="zh-CN"/>
        </w:rPr>
        <w:t>《克孜勒苏柯尔克孜自治州餐饮服务业污染防治条例（草案）》</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三、具体要求</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（一）加强立法组织保障</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规项目责任单位要深刻认识立法工作的重要性和严肃性，按照《新疆维吾尔自治区人民政府行政立法工作规定》及时报送工作方案，强化对计划实施工作的组织领导和统筹协调，主要领导要高度重视法规草案调研起草工作，夯实主体责任，增强紧迫感和责任感。对列入立法工作计划的提请审议项目、调研预备项目，法规草案起草责任单位要将其纳入年度责任目标，按时高质量完成工作任务。</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（二）切实提高立法质量</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法规起草、审查、修改过程中，法规项目责任单位要紧紧围绕自治州党委中心工作和人民群众关注的热点问题，坚决贯彻落实中央、自治区党委决策部署，结合自治州实际，深入开展立法调研论证，细化规范工作程序，自治州司法局要严格按照立法相关工作要求督促法规项目责任单位履行法定程序，确保法规草案高质量落地实施。</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（三）贯彻人民民主理念</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规项目责任单位和自治州司法局在工作中，要坚持以人民为中心，不断拓展和健全人民群众有序参与立法、表达意愿关切的途径形式，广泛征求意见建议，把全过程人民民主理念贯彻到地方立法全过程、各方面，倾听民声、汇聚民意、凝聚民心，积极回应人民群众的新要求、新期待，系统研究和解决人民群众反应强烈的突出问题，做到制定出台的每一件地方性法规都装满民意，切实增强全州人民群众的获得感、幸福感、安全感。</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（四）强化联系沟通协调</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规草案责任（起草）部门要把握工作进度，加强与自治州人民政府办公室、自治州司法局及相关部门的联系沟通，密切配合。对涉及其他部门职责、职权的内容，要与相关部门充分协商、沟通，在报送材料时一并说明对相关意见建议的处理情况。各有关部门要积极参与，研究、协调解决立法工作中的重大问题，形成立法工作合力，提高立法工作质量和效率。</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420"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仿宋_GB2312" w:hAnsi="仿宋_GB2312" w:eastAsia="仿宋_GB2312" w:cs="仿宋_GB2312"/>
          <w:sz w:val="32"/>
          <w:szCs w:val="32"/>
          <w:lang w:val="en-US" w:eastAsia="zh-CN"/>
        </w:rPr>
        <w:sectPr>
          <w:headerReference r:id="rId3" w:type="default"/>
          <w:footerReference r:id="rId4" w:type="default"/>
          <w:pgSz w:w="11906" w:h="16838"/>
          <w:pgMar w:top="2098" w:right="1531" w:bottom="1984" w:left="1531" w:header="1134" w:footer="1134" w:gutter="0"/>
          <w:pgNumType w:fmt="decimal"/>
          <w:cols w:space="720" w:num="1"/>
          <w:rtlGutter w:val="0"/>
          <w:docGrid w:type="lines" w:linePitch="312" w:charSpace="0"/>
        </w:sect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方正小标宋_GBK" w:hAnsi="方正小标宋_GBK" w:eastAsia="方正小标宋_GBK" w:cs="方正小标宋_GBK"/>
          <w:spacing w:val="-11"/>
          <w:sz w:val="44"/>
          <w:szCs w:val="44"/>
          <w:lang w:eastAsia="zh-CN"/>
        </w:rPr>
      </w:pPr>
      <w:r>
        <w:rPr>
          <w:rFonts w:hint="eastAsia" w:ascii="方正小标宋_GBK" w:hAnsi="方正小标宋_GBK" w:eastAsia="方正小标宋_GBK" w:cs="方正小标宋_GBK"/>
          <w:spacing w:val="-11"/>
          <w:sz w:val="44"/>
          <w:szCs w:val="44"/>
          <w:lang w:eastAsia="zh-CN"/>
        </w:rPr>
        <w:t>克孜勒苏柯尔克孜自治州人民政府2023年行政立法工作计划项目建议表</w:t>
      </w:r>
    </w:p>
    <w:p>
      <w:pPr>
        <w:keepNext w:val="0"/>
        <w:keepLines w:val="0"/>
        <w:pageBreakBefore w:val="0"/>
        <w:widowControl w:val="0"/>
        <w:kinsoku/>
        <w:wordWrap/>
        <w:overflowPunct/>
        <w:topLinePunct w:val="0"/>
        <w:autoSpaceDE/>
        <w:autoSpaceDN/>
        <w:bidi w:val="0"/>
        <w:adjustRightInd/>
        <w:snapToGrid/>
        <w:spacing w:line="578" w:lineRule="exact"/>
        <w:ind w:left="0" w:leftChars="0"/>
        <w:jc w:val="both"/>
        <w:textAlignment w:val="auto"/>
        <w:rPr>
          <w:rFonts w:hint="eastAsia" w:ascii="黑体" w:hAnsi="黑体" w:eastAsia="黑体" w:cs="黑体"/>
          <w:spacing w:val="-11"/>
          <w:sz w:val="32"/>
          <w:szCs w:val="32"/>
          <w:lang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jc w:val="both"/>
        <w:textAlignment w:val="auto"/>
        <w:rPr>
          <w:rFonts w:hint="eastAsia" w:ascii="黑体" w:hAnsi="黑体" w:eastAsia="黑体" w:cs="黑体"/>
          <w:sz w:val="32"/>
          <w:szCs w:val="32"/>
          <w:lang w:val="en-US" w:eastAsia="zh-CN"/>
        </w:rPr>
      </w:pPr>
      <w:r>
        <w:rPr>
          <w:rFonts w:hint="eastAsia" w:ascii="黑体" w:hAnsi="黑体" w:eastAsia="黑体" w:cs="黑体"/>
          <w:spacing w:val="-11"/>
          <w:sz w:val="32"/>
          <w:szCs w:val="32"/>
          <w:lang w:eastAsia="zh-CN"/>
        </w:rPr>
        <w:t>一、拟提请自治州人大常委会审议的地方性法规项目（</w:t>
      </w:r>
      <w:r>
        <w:rPr>
          <w:rFonts w:hint="eastAsia" w:ascii="黑体" w:hAnsi="黑体" w:eastAsia="黑体" w:cs="黑体"/>
          <w:spacing w:val="-11"/>
          <w:sz w:val="32"/>
          <w:szCs w:val="32"/>
          <w:lang w:val="en-US" w:eastAsia="zh-CN"/>
        </w:rPr>
        <w:t>3</w:t>
      </w:r>
      <w:r>
        <w:rPr>
          <w:rFonts w:hint="eastAsia" w:ascii="黑体" w:hAnsi="黑体" w:eastAsia="黑体" w:cs="黑体"/>
          <w:spacing w:val="-11"/>
          <w:sz w:val="32"/>
          <w:szCs w:val="32"/>
          <w:lang w:eastAsia="zh-CN"/>
        </w:rPr>
        <w:t>件）</w:t>
      </w:r>
    </w:p>
    <w:tbl>
      <w:tblPr>
        <w:tblStyle w:val="14"/>
        <w:tblW w:w="15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409"/>
        <w:gridCol w:w="2324"/>
        <w:gridCol w:w="1765"/>
        <w:gridCol w:w="2535"/>
        <w:gridCol w:w="2070"/>
        <w:gridCol w:w="1035"/>
        <w:gridCol w:w="1200"/>
        <w:gridCol w:w="12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8" w:hRule="atLeast"/>
          <w:tblHeader/>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序号</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pacing w:val="-11"/>
                <w:sz w:val="24"/>
                <w:szCs w:val="24"/>
                <w:vertAlign w:val="baseline"/>
                <w:lang w:val="en-US" w:eastAsia="zh-CN"/>
              </w:rPr>
              <w:t>项目名称</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必要性</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立法依据</w:t>
            </w:r>
          </w:p>
        </w:tc>
        <w:tc>
          <w:tcPr>
            <w:tcW w:w="25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需要解决的问题</w:t>
            </w:r>
          </w:p>
        </w:tc>
        <w:tc>
          <w:tcPr>
            <w:tcW w:w="2070" w:type="dxa"/>
            <w:tcMar>
              <w:top w:w="0" w:type="dxa"/>
              <w:left w:w="51" w:type="dxa"/>
              <w:bottom w:w="0" w:type="dxa"/>
              <w:right w:w="51"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拟规范的主要内容</w:t>
            </w:r>
          </w:p>
        </w:tc>
        <w:tc>
          <w:tcPr>
            <w:tcW w:w="1035" w:type="dxa"/>
            <w:tcMar>
              <w:top w:w="0" w:type="dxa"/>
              <w:left w:w="51" w:type="dxa"/>
              <w:bottom w:w="0" w:type="dxa"/>
              <w:right w:w="51"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pacing w:val="-17"/>
                <w:sz w:val="24"/>
                <w:szCs w:val="24"/>
                <w:vertAlign w:val="baseline"/>
                <w:lang w:val="en-US" w:eastAsia="zh-CN"/>
              </w:rPr>
              <w:t>起草单位</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责任单位</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auto"/>
                <w:spacing w:val="-17"/>
                <w:sz w:val="24"/>
                <w:szCs w:val="24"/>
                <w:vertAlign w:val="baseline"/>
                <w:lang w:val="en-US" w:eastAsia="zh-CN"/>
              </w:rPr>
            </w:pPr>
            <w:r>
              <w:rPr>
                <w:rFonts w:hint="eastAsia" w:ascii="黑体" w:hAnsi="黑体" w:eastAsia="黑体" w:cs="黑体"/>
                <w:color w:val="auto"/>
                <w:spacing w:val="-17"/>
                <w:sz w:val="24"/>
                <w:szCs w:val="24"/>
                <w:vertAlign w:val="baseline"/>
                <w:lang w:val="en-US" w:eastAsia="zh-CN"/>
              </w:rPr>
              <w:t>报送自治州人大</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auto"/>
                <w:spacing w:val="-17"/>
                <w:sz w:val="24"/>
                <w:szCs w:val="24"/>
                <w:vertAlign w:val="baseline"/>
                <w:lang w:val="en-US" w:eastAsia="zh-CN"/>
              </w:rPr>
              <w:t>审议时间</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0" w:hRule="atLeast"/>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default" w:ascii="宋体" w:hAnsi="宋体" w:eastAsia="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1</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《克孜勒苏柯尔克孜自治州加强矿业权监督管理的决定（草案）》</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spacing w:val="-11"/>
                <w:kern w:val="2"/>
                <w:sz w:val="24"/>
                <w:szCs w:val="24"/>
                <w:lang w:val="en-US" w:eastAsia="zh-CN" w:bidi="ar-SA"/>
              </w:rPr>
            </w:pPr>
            <w:r>
              <w:rPr>
                <w:rFonts w:hint="eastAsia" w:ascii="宋体" w:hAnsi="宋体" w:eastAsia="宋体" w:cs="宋体"/>
                <w:spacing w:val="-11"/>
                <w:kern w:val="2"/>
                <w:sz w:val="24"/>
                <w:szCs w:val="24"/>
                <w:lang w:val="en-US" w:eastAsia="zh-CN" w:bidi="ar-SA"/>
              </w:rPr>
              <w:t>为了加强对矿产资源的保护和合理开发利用，规范矿产资源监督管理行为，促进矿业经济健康发展和生态文明建设，严格按照要求对“圈而不探”“占而不采”矿业权增加运营维护成本，压缩矿业权人违规获利空间，强化矿产资源监督管理，开展《克孜勒苏柯尔克孜自治州矿产资源监督管理条例》立法工作是十分必要和迫切的。</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《中华人民共和国土地管理法》《中华人民共和国矿产资源法》《中华人民共和国测绘法》《新疆维吾尔自治区矿产资源管理条例》《新疆维吾尔自治区地质环境保护条例》等法律、法规</w:t>
            </w:r>
          </w:p>
        </w:tc>
        <w:tc>
          <w:tcPr>
            <w:tcW w:w="25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针对自治州矿产资源开发利用水平不足、矿产资源监管难度较大、矿山生态环境恢复治理任务艰巨、矿山安全生产形势严峻、资源保障能力不足等问题，强化对矿产资源勘探、开采、保护等环节的监管力度，解决矿山开发布局不合理，大矿小开、一矿多开、采富弃贫、采易弃难等资源浪费的情况，规范矿山企业“小、乱、散、差”现象。</w:t>
            </w:r>
          </w:p>
        </w:tc>
        <w:tc>
          <w:tcPr>
            <w:tcW w:w="20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共</w:t>
            </w:r>
            <w:r>
              <w:rPr>
                <w:rFonts w:hint="eastAsia" w:ascii="宋体" w:hAnsi="宋体" w:cs="宋体"/>
                <w:color w:val="000000"/>
                <w:spacing w:val="-11"/>
                <w:sz w:val="24"/>
                <w:szCs w:val="24"/>
                <w:vertAlign w:val="baseline"/>
                <w:lang w:val="en-US" w:eastAsia="zh-CN"/>
              </w:rPr>
              <w:t>15</w:t>
            </w:r>
            <w:r>
              <w:rPr>
                <w:rFonts w:hint="eastAsia" w:ascii="宋体" w:hAnsi="宋体" w:eastAsia="宋体" w:cs="宋体"/>
                <w:color w:val="000000"/>
                <w:spacing w:val="-11"/>
                <w:sz w:val="24"/>
                <w:szCs w:val="24"/>
                <w:vertAlign w:val="baseline"/>
                <w:lang w:val="en-US" w:eastAsia="zh-CN"/>
              </w:rPr>
              <w:t>条，包括目的、各相关部门职责、法律责任。</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自治州自然资源局</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default" w:ascii="宋体" w:hAnsi="宋体" w:eastAsia="宋体" w:cs="宋体"/>
                <w:color w:val="FF0000"/>
                <w:spacing w:val="-17"/>
                <w:sz w:val="24"/>
                <w:szCs w:val="24"/>
                <w:lang w:val="en" w:eastAsia="zh-CN"/>
              </w:rPr>
            </w:pPr>
            <w:r>
              <w:rPr>
                <w:rFonts w:hint="eastAsia" w:ascii="宋体" w:hAnsi="宋体" w:cs="宋体"/>
                <w:color w:val="auto"/>
                <w:spacing w:val="-11"/>
                <w:sz w:val="24"/>
                <w:szCs w:val="24"/>
                <w:lang w:eastAsia="zh-CN"/>
              </w:rPr>
              <w:t>各县（市）人民政府、自治州发展和改革委员会、工信局、市场监督管理局等</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0"/>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2023年</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6月底前</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i w:val="0"/>
                <w:caps w:val="0"/>
                <w:color w:val="auto"/>
                <w:spacing w:val="-11"/>
                <w:sz w:val="24"/>
                <w:szCs w:val="24"/>
                <w:shd w:val="clear" w:fill="FFFFFF"/>
                <w:lang w:eastAsia="zh-CN"/>
              </w:rPr>
            </w:pPr>
            <w:r>
              <w:rPr>
                <w:rFonts w:hint="eastAsia" w:ascii="宋体" w:hAnsi="宋体" w:eastAsia="宋体" w:cs="宋体"/>
                <w:i w:val="0"/>
                <w:caps w:val="0"/>
                <w:color w:val="auto"/>
                <w:spacing w:val="-11"/>
                <w:sz w:val="24"/>
                <w:szCs w:val="24"/>
                <w:shd w:val="clear" w:fill="FFFFFF"/>
                <w:lang w:eastAsia="zh-CN"/>
              </w:rPr>
              <w:t>自治州司法局做好跟踪了解，加强督促和指导，同时对草案进行审查。</w:t>
            </w:r>
          </w:p>
        </w:tc>
      </w:tr>
    </w:tbl>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cs="宋体"/>
          <w:color w:val="000000"/>
          <w:sz w:val="24"/>
          <w:szCs w:val="24"/>
          <w:vertAlign w:val="baseline"/>
          <w:lang w:val="en-US" w:eastAsia="zh-CN"/>
        </w:rPr>
        <w:sectPr>
          <w:footerReference r:id="rId5" w:type="default"/>
          <w:pgSz w:w="16838" w:h="11906" w:orient="landscape"/>
          <w:pgMar w:top="1134" w:right="850" w:bottom="1134" w:left="850" w:header="1134" w:footer="1134" w:gutter="0"/>
          <w:pgNumType w:fmt="decimal"/>
          <w:cols w:space="0" w:num="1"/>
          <w:rtlGutter w:val="0"/>
          <w:docGrid w:type="lines" w:linePitch="312" w:charSpace="0"/>
        </w:sectPr>
      </w:pPr>
    </w:p>
    <w:tbl>
      <w:tblPr>
        <w:tblStyle w:val="14"/>
        <w:tblW w:w="15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409"/>
        <w:gridCol w:w="2324"/>
        <w:gridCol w:w="1765"/>
        <w:gridCol w:w="2535"/>
        <w:gridCol w:w="2070"/>
        <w:gridCol w:w="1035"/>
        <w:gridCol w:w="1200"/>
        <w:gridCol w:w="12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31" w:hRule="atLeast"/>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default" w:ascii="宋体" w:hAnsi="宋体" w:eastAsia="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2</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《克孜勒苏柯尔克孜自治州施工现场管理条例（草案）》</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spacing w:val="-11"/>
                <w:kern w:val="2"/>
                <w:sz w:val="24"/>
                <w:szCs w:val="24"/>
                <w:lang w:val="en-US" w:eastAsia="zh-CN" w:bidi="ar-SA"/>
              </w:rPr>
            </w:pPr>
            <w:r>
              <w:rPr>
                <w:rFonts w:hint="eastAsia" w:ascii="宋体" w:hAnsi="宋体" w:eastAsia="宋体" w:cs="宋体"/>
                <w:spacing w:val="-11"/>
                <w:kern w:val="2"/>
                <w:sz w:val="24"/>
                <w:szCs w:val="24"/>
                <w:lang w:val="en-US" w:eastAsia="zh-CN" w:bidi="ar-SA"/>
              </w:rPr>
              <w:t>建设工程施工安全不但是工程质量和效益的前提，而且直接关系到人民群众生命、财产安全。在全州建设规模不断扩大、建筑市场发展较快的背景下，建筑从业人员快速增加，新技术、新工艺、新设备和新方法不断应用，建筑业安全生产面临许多新挑战，《克孜勒苏柯尔克孜自治州施工现场管理条例》的立法工作，有利于保障建设工程施工现场管理的科学化、规范化和法治化，实现服务与监管相结合，有效解决建设工程施工现场管理存在的问题，进一步提升建设工程质量和施工安全</w:t>
            </w:r>
            <w:r>
              <w:rPr>
                <w:rFonts w:hint="eastAsia" w:ascii="宋体" w:hAnsi="宋体" w:cs="宋体"/>
                <w:spacing w:val="-11"/>
                <w:kern w:val="2"/>
                <w:sz w:val="24"/>
                <w:szCs w:val="24"/>
                <w:lang w:val="en-US" w:eastAsia="zh-CN" w:bidi="ar-SA"/>
              </w:rPr>
              <w:t>，十分有必要。</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《中华人民共和国建筑法》《中华人民共和国安全生产法》《建设工程质量管理条例》等法律法规</w:t>
            </w:r>
            <w:r>
              <w:rPr>
                <w:rFonts w:hint="eastAsia" w:ascii="宋体" w:hAnsi="宋体" w:cs="宋体"/>
                <w:color w:val="000000"/>
                <w:spacing w:val="-11"/>
                <w:sz w:val="24"/>
                <w:szCs w:val="24"/>
                <w:vertAlign w:val="baseline"/>
                <w:lang w:val="en-US" w:eastAsia="zh-CN"/>
              </w:rPr>
              <w:t>。</w:t>
            </w:r>
          </w:p>
        </w:tc>
        <w:tc>
          <w:tcPr>
            <w:tcW w:w="25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主要针对五方参建单位应当履行的职责、施工现场的组织与环境卫生防疫管理等方面存在的问题，规范建设施工现场管理，规范参建单位、个人从业行为，防范质量安全事故的发生，提高施工现场管理水平。</w:t>
            </w:r>
          </w:p>
        </w:tc>
        <w:tc>
          <w:tcPr>
            <w:tcW w:w="20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共设6章39条，包括总则、参建单位的职责、施工组织管理、环境卫生防疫管理、法律责任、附则</w:t>
            </w:r>
            <w:r>
              <w:rPr>
                <w:rFonts w:hint="eastAsia" w:ascii="宋体" w:hAnsi="宋体" w:cs="宋体"/>
                <w:color w:val="000000"/>
                <w:spacing w:val="-11"/>
                <w:sz w:val="24"/>
                <w:szCs w:val="24"/>
                <w:vertAlign w:val="baseline"/>
                <w:lang w:val="en-US" w:eastAsia="zh-CN"/>
              </w:rPr>
              <w:t>等方面</w:t>
            </w:r>
            <w:r>
              <w:rPr>
                <w:rFonts w:hint="eastAsia" w:ascii="宋体" w:hAnsi="宋体" w:eastAsia="宋体" w:cs="宋体"/>
                <w:color w:val="000000"/>
                <w:spacing w:val="-11"/>
                <w:sz w:val="24"/>
                <w:szCs w:val="24"/>
                <w:vertAlign w:val="baseline"/>
                <w:lang w:val="en-US" w:eastAsia="zh-CN"/>
              </w:rPr>
              <w:t>。</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自治州住房和城乡建设局</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FF0000"/>
                <w:spacing w:val="-17"/>
                <w:sz w:val="24"/>
                <w:szCs w:val="24"/>
                <w:lang w:eastAsia="zh-CN"/>
              </w:rPr>
            </w:pPr>
            <w:r>
              <w:rPr>
                <w:rFonts w:hint="eastAsia" w:ascii="宋体" w:hAnsi="宋体" w:eastAsia="宋体" w:cs="宋体"/>
                <w:color w:val="auto"/>
                <w:spacing w:val="-17"/>
                <w:sz w:val="24"/>
                <w:szCs w:val="24"/>
                <w:lang w:eastAsia="zh-CN"/>
              </w:rPr>
              <w:t>各县（市）人民政府、自治州</w:t>
            </w:r>
            <w:r>
              <w:rPr>
                <w:rFonts w:hint="eastAsia" w:ascii="宋体" w:hAnsi="宋体" w:cs="宋体"/>
                <w:color w:val="auto"/>
                <w:spacing w:val="-17"/>
                <w:sz w:val="24"/>
                <w:szCs w:val="24"/>
                <w:lang w:eastAsia="zh-CN"/>
              </w:rPr>
              <w:t>生态环境局</w:t>
            </w:r>
            <w:r>
              <w:rPr>
                <w:rFonts w:hint="eastAsia" w:ascii="宋体" w:hAnsi="宋体" w:eastAsia="宋体" w:cs="宋体"/>
                <w:color w:val="auto"/>
                <w:spacing w:val="-17"/>
                <w:sz w:val="24"/>
                <w:szCs w:val="24"/>
                <w:lang w:eastAsia="zh-CN"/>
              </w:rPr>
              <w:t>、</w:t>
            </w:r>
            <w:r>
              <w:rPr>
                <w:rFonts w:hint="eastAsia" w:ascii="宋体" w:hAnsi="宋体" w:cs="宋体"/>
                <w:color w:val="auto"/>
                <w:spacing w:val="-17"/>
                <w:sz w:val="24"/>
                <w:szCs w:val="24"/>
                <w:lang w:eastAsia="zh-CN"/>
              </w:rPr>
              <w:t>人力资源和社会保障</w:t>
            </w:r>
            <w:r>
              <w:rPr>
                <w:rFonts w:hint="eastAsia" w:ascii="宋体" w:hAnsi="宋体" w:eastAsia="宋体" w:cs="宋体"/>
                <w:color w:val="auto"/>
                <w:spacing w:val="-17"/>
                <w:sz w:val="24"/>
                <w:szCs w:val="24"/>
                <w:lang w:eastAsia="zh-CN"/>
              </w:rPr>
              <w:t>局、</w:t>
            </w:r>
            <w:r>
              <w:rPr>
                <w:rFonts w:hint="eastAsia" w:ascii="宋体" w:hAnsi="宋体" w:cs="宋体"/>
                <w:color w:val="auto"/>
                <w:spacing w:val="-17"/>
                <w:sz w:val="24"/>
                <w:szCs w:val="24"/>
                <w:lang w:eastAsia="zh-CN"/>
              </w:rPr>
              <w:t>消防救援支队</w:t>
            </w:r>
            <w:r>
              <w:rPr>
                <w:rFonts w:hint="eastAsia" w:ascii="宋体" w:hAnsi="宋体" w:eastAsia="宋体" w:cs="宋体"/>
                <w:color w:val="auto"/>
                <w:spacing w:val="-17"/>
                <w:sz w:val="24"/>
                <w:szCs w:val="24"/>
                <w:lang w:eastAsia="zh-CN"/>
              </w:rPr>
              <w:t>等</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0"/>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202</w:t>
            </w:r>
            <w:r>
              <w:rPr>
                <w:rFonts w:hint="eastAsia" w:ascii="宋体" w:hAnsi="宋体" w:cs="宋体"/>
                <w:color w:val="000000"/>
                <w:spacing w:val="0"/>
                <w:sz w:val="24"/>
                <w:szCs w:val="24"/>
                <w:vertAlign w:val="baseline"/>
                <w:lang w:val="en-US" w:eastAsia="zh-CN"/>
              </w:rPr>
              <w:t>3</w:t>
            </w:r>
            <w:r>
              <w:rPr>
                <w:rFonts w:hint="eastAsia" w:ascii="宋体" w:hAnsi="宋体" w:eastAsia="宋体" w:cs="宋体"/>
                <w:color w:val="000000"/>
                <w:spacing w:val="0"/>
                <w:sz w:val="24"/>
                <w:szCs w:val="24"/>
                <w:vertAlign w:val="baseline"/>
                <w:lang w:val="en-US" w:eastAsia="zh-CN"/>
              </w:rPr>
              <w:t>年</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6"/>
                <w:sz w:val="24"/>
                <w:szCs w:val="24"/>
                <w:vertAlign w:val="baseline"/>
                <w:lang w:val="en-US" w:eastAsia="zh-CN"/>
              </w:rPr>
              <w:t>6月底前</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i w:val="0"/>
                <w:caps w:val="0"/>
                <w:color w:val="auto"/>
                <w:spacing w:val="-11"/>
                <w:sz w:val="24"/>
                <w:szCs w:val="24"/>
                <w:shd w:val="clear" w:fill="FFFFFF"/>
                <w:lang w:eastAsia="zh-CN"/>
              </w:rPr>
            </w:pPr>
            <w:r>
              <w:rPr>
                <w:rFonts w:hint="eastAsia" w:ascii="宋体" w:hAnsi="宋体" w:eastAsia="宋体" w:cs="宋体"/>
                <w:i w:val="0"/>
                <w:caps w:val="0"/>
                <w:color w:val="auto"/>
                <w:spacing w:val="-11"/>
                <w:sz w:val="24"/>
                <w:szCs w:val="24"/>
                <w:shd w:val="clear" w:fill="FFFFFF"/>
                <w:lang w:eastAsia="zh-CN"/>
              </w:rPr>
              <w:t>自治州司法局做好跟踪了解，加强督促和指导，同时对草案进行审查。</w:t>
            </w:r>
          </w:p>
        </w:tc>
      </w:tr>
    </w:tbl>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cs="宋体"/>
          <w:color w:val="000000"/>
          <w:sz w:val="24"/>
          <w:szCs w:val="24"/>
          <w:vertAlign w:val="baseline"/>
          <w:lang w:val="en-US" w:eastAsia="zh-CN"/>
        </w:rPr>
        <w:sectPr>
          <w:footerReference r:id="rId6" w:type="default"/>
          <w:pgSz w:w="16838" w:h="11906" w:orient="landscape"/>
          <w:pgMar w:top="1134" w:right="850" w:bottom="1134" w:left="850" w:header="1134" w:footer="1134" w:gutter="0"/>
          <w:pgNumType w:fmt="decimal"/>
          <w:cols w:space="0" w:num="1"/>
          <w:rtlGutter w:val="0"/>
          <w:docGrid w:type="lines" w:linePitch="312" w:charSpace="0"/>
        </w:sectPr>
      </w:pPr>
    </w:p>
    <w:tbl>
      <w:tblPr>
        <w:tblStyle w:val="14"/>
        <w:tblW w:w="15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409"/>
        <w:gridCol w:w="2324"/>
        <w:gridCol w:w="1765"/>
        <w:gridCol w:w="2535"/>
        <w:gridCol w:w="2070"/>
        <w:gridCol w:w="1035"/>
        <w:gridCol w:w="1200"/>
        <w:gridCol w:w="12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39" w:hRule="atLeast"/>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3</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《克孜勒苏柯尔克孜自治州阿图什无花果产业高质量发展促进条例（草案）》</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spacing w:val="-11"/>
                <w:kern w:val="2"/>
                <w:sz w:val="24"/>
                <w:szCs w:val="24"/>
                <w:lang w:val="en-US" w:eastAsia="zh-CN" w:bidi="ar-SA"/>
              </w:rPr>
            </w:pPr>
            <w:r>
              <w:rPr>
                <w:rFonts w:hint="eastAsia" w:ascii="宋体" w:hAnsi="宋体" w:eastAsia="宋体" w:cs="宋体"/>
                <w:spacing w:val="-11"/>
                <w:kern w:val="2"/>
                <w:sz w:val="24"/>
                <w:szCs w:val="24"/>
                <w:lang w:val="en-US" w:eastAsia="zh-CN" w:bidi="ar-SA"/>
              </w:rPr>
              <w:t>根据克州党委人民政府提出的“稳粮、减棉、增饲、强蓄、优果”“三农”工作发展思路，为了保护阿图什无花果的市场竞争优势，维护品牌信誉，规范市场行为，促进克州阿图什无花果产业高质量发展，制定出台《条例》迫在眉睫、十分必要。</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《中华人民共和国农业法》《中华人民共和国农产品质量安全法》《中华人民共和国种子法》《中华人民共和国农村土地承包法》《中华人民共和国商标法》等法律法规</w:t>
            </w:r>
          </w:p>
        </w:tc>
        <w:tc>
          <w:tcPr>
            <w:tcW w:w="25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主要针对克州特色林果业重种植、轻管理、重产量、轻质量，树种布局失当，无规模优势，栽植过密，品种不纯不优，有机肥料不足，农药化肥滥用，科技支撑能力弱，标准化程度低，园艺机具落后，政策措施乏力，龙头企业缺失，品牌建设滞后，销售渠道传统等问题，从法律层面进行规范，提供保障，保护克州特色林果产品市场竞争优势，维护品牌信誉，规范市场行为，促进克州特色林果业高质量发展。</w:t>
            </w:r>
          </w:p>
        </w:tc>
        <w:tc>
          <w:tcPr>
            <w:tcW w:w="20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共</w:t>
            </w:r>
            <w:r>
              <w:rPr>
                <w:rFonts w:hint="eastAsia" w:ascii="宋体" w:hAnsi="宋体" w:cs="宋体"/>
                <w:color w:val="000000"/>
                <w:spacing w:val="-11"/>
                <w:sz w:val="24"/>
                <w:szCs w:val="24"/>
                <w:vertAlign w:val="baseline"/>
                <w:lang w:val="en-US" w:eastAsia="zh-CN"/>
              </w:rPr>
              <w:t>设</w:t>
            </w:r>
            <w:r>
              <w:rPr>
                <w:rFonts w:hint="eastAsia" w:ascii="宋体" w:hAnsi="宋体" w:eastAsia="宋体" w:cs="宋体"/>
                <w:color w:val="000000"/>
                <w:spacing w:val="-11"/>
                <w:sz w:val="24"/>
                <w:szCs w:val="24"/>
                <w:vertAlign w:val="baseline"/>
                <w:lang w:val="en-US" w:eastAsia="zh-CN"/>
              </w:rPr>
              <w:t>7章50条，包括种植管理与质量监督、产地保护、品牌建设与保护、保障措施、法律责任等方面</w:t>
            </w:r>
            <w:r>
              <w:rPr>
                <w:rFonts w:hint="eastAsia" w:ascii="宋体" w:hAnsi="宋体" w:cs="宋体"/>
                <w:color w:val="000000"/>
                <w:spacing w:val="-11"/>
                <w:sz w:val="24"/>
                <w:szCs w:val="24"/>
                <w:vertAlign w:val="baseline"/>
                <w:lang w:val="en-US" w:eastAsia="zh-CN"/>
              </w:rPr>
              <w:t>，目前正在修改当中。</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自治州林业和草原局</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auto"/>
                <w:spacing w:val="-17"/>
                <w:sz w:val="24"/>
                <w:szCs w:val="24"/>
                <w:lang w:eastAsia="zh-CN"/>
              </w:rPr>
              <w:t>各县（市）人民政府、自治州</w:t>
            </w:r>
            <w:r>
              <w:rPr>
                <w:rFonts w:hint="eastAsia" w:ascii="宋体" w:hAnsi="宋体" w:cs="宋体"/>
                <w:color w:val="auto"/>
                <w:spacing w:val="-17"/>
                <w:sz w:val="24"/>
                <w:szCs w:val="24"/>
                <w:lang w:eastAsia="zh-CN"/>
              </w:rPr>
              <w:t>农业农村局、乡村振兴局、生态环境局、市场监督管理局等</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0"/>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2023年</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default"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6</w:t>
            </w:r>
            <w:r>
              <w:rPr>
                <w:rFonts w:hint="eastAsia" w:ascii="宋体" w:hAnsi="宋体" w:cs="宋体"/>
                <w:color w:val="000000"/>
                <w:spacing w:val="0"/>
                <w:sz w:val="24"/>
                <w:szCs w:val="24"/>
                <w:vertAlign w:val="baseline"/>
                <w:lang w:val="en-US" w:eastAsia="zh-CN"/>
              </w:rPr>
              <w:t>月底前</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i w:val="0"/>
                <w:caps w:val="0"/>
                <w:color w:val="auto"/>
                <w:spacing w:val="-11"/>
                <w:sz w:val="24"/>
                <w:szCs w:val="24"/>
                <w:shd w:val="clear" w:fill="FFFFFF"/>
                <w:lang w:eastAsia="zh-CN"/>
              </w:rPr>
              <w:t>自治州</w:t>
            </w:r>
            <w:r>
              <w:rPr>
                <w:rFonts w:hint="eastAsia" w:ascii="宋体" w:hAnsi="宋体" w:eastAsia="宋体" w:cs="宋体"/>
                <w:i w:val="0"/>
                <w:caps w:val="0"/>
                <w:color w:val="auto"/>
                <w:spacing w:val="-11"/>
                <w:sz w:val="24"/>
                <w:szCs w:val="24"/>
                <w:shd w:val="clear" w:fill="FFFFFF"/>
              </w:rPr>
              <w:t>司法</w:t>
            </w:r>
            <w:r>
              <w:rPr>
                <w:rFonts w:hint="eastAsia" w:ascii="宋体" w:hAnsi="宋体" w:eastAsia="宋体" w:cs="宋体"/>
                <w:i w:val="0"/>
                <w:caps w:val="0"/>
                <w:color w:val="auto"/>
                <w:spacing w:val="-11"/>
                <w:sz w:val="24"/>
                <w:szCs w:val="24"/>
                <w:shd w:val="clear" w:fill="FFFFFF"/>
                <w:lang w:eastAsia="zh-CN"/>
              </w:rPr>
              <w:t>局做好</w:t>
            </w:r>
            <w:r>
              <w:rPr>
                <w:rFonts w:hint="eastAsia" w:ascii="宋体" w:hAnsi="宋体" w:eastAsia="宋体" w:cs="宋体"/>
                <w:i w:val="0"/>
                <w:caps w:val="0"/>
                <w:color w:val="auto"/>
                <w:spacing w:val="-11"/>
                <w:sz w:val="24"/>
                <w:szCs w:val="24"/>
                <w:shd w:val="clear" w:fill="FFFFFF"/>
              </w:rPr>
              <w:t>跟</w:t>
            </w:r>
            <w:r>
              <w:rPr>
                <w:rFonts w:hint="eastAsia" w:ascii="宋体" w:hAnsi="宋体" w:eastAsia="宋体" w:cs="宋体"/>
                <w:i w:val="0"/>
                <w:caps w:val="0"/>
                <w:color w:val="auto"/>
                <w:spacing w:val="-11"/>
                <w:sz w:val="24"/>
                <w:szCs w:val="24"/>
                <w:shd w:val="clear" w:fill="FFFFFF"/>
                <w:lang w:eastAsia="zh-CN"/>
              </w:rPr>
              <w:t>踪</w:t>
            </w:r>
            <w:r>
              <w:rPr>
                <w:rFonts w:hint="eastAsia" w:ascii="宋体" w:hAnsi="宋体" w:eastAsia="宋体" w:cs="宋体"/>
                <w:i w:val="0"/>
                <w:caps w:val="0"/>
                <w:color w:val="auto"/>
                <w:spacing w:val="-11"/>
                <w:sz w:val="24"/>
                <w:szCs w:val="24"/>
                <w:shd w:val="clear" w:fill="FFFFFF"/>
              </w:rPr>
              <w:t>了解，加强督促和指导</w:t>
            </w:r>
            <w:r>
              <w:rPr>
                <w:rFonts w:hint="eastAsia" w:ascii="宋体" w:hAnsi="宋体" w:eastAsia="宋体" w:cs="宋体"/>
                <w:i w:val="0"/>
                <w:caps w:val="0"/>
                <w:color w:val="auto"/>
                <w:spacing w:val="-11"/>
                <w:sz w:val="24"/>
                <w:szCs w:val="24"/>
                <w:shd w:val="clear" w:fill="FFFFFF"/>
                <w:lang w:eastAsia="zh-CN"/>
              </w:rPr>
              <w:t>，同时对草案进行审查。</w:t>
            </w:r>
          </w:p>
        </w:tc>
      </w:tr>
    </w:tbl>
    <w:p>
      <w:pPr>
        <w:keepNext w:val="0"/>
        <w:keepLines w:val="0"/>
        <w:pageBreakBefore w:val="0"/>
        <w:widowControl w:val="0"/>
        <w:kinsoku/>
        <w:wordWrap/>
        <w:overflowPunct/>
        <w:topLinePunct w:val="0"/>
        <w:autoSpaceDE/>
        <w:autoSpaceDN/>
        <w:bidi w:val="0"/>
        <w:adjustRightInd/>
        <w:snapToGrid/>
        <w:spacing w:line="578" w:lineRule="exact"/>
        <w:ind w:firstLine="596" w:firstLineChars="200"/>
        <w:jc w:val="both"/>
        <w:textAlignment w:val="auto"/>
        <w:rPr>
          <w:rFonts w:hint="eastAsia" w:ascii="黑体" w:hAnsi="黑体" w:eastAsia="黑体" w:cs="黑体"/>
          <w:spacing w:val="-11"/>
          <w:sz w:val="32"/>
          <w:szCs w:val="32"/>
          <w:lang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596"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pacing w:val="-11"/>
          <w:sz w:val="32"/>
          <w:szCs w:val="32"/>
          <w:lang w:eastAsia="zh-CN"/>
        </w:rPr>
        <w:t>二、调研预备的地方性法规项目（2件）</w:t>
      </w:r>
    </w:p>
    <w:tbl>
      <w:tblPr>
        <w:tblStyle w:val="14"/>
        <w:tblW w:w="15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409"/>
        <w:gridCol w:w="2324"/>
        <w:gridCol w:w="1765"/>
        <w:gridCol w:w="2535"/>
        <w:gridCol w:w="2070"/>
        <w:gridCol w:w="1035"/>
        <w:gridCol w:w="1185"/>
        <w:gridCol w:w="1275"/>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8" w:hRule="atLeast"/>
          <w:tblHeader/>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序号</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pacing w:val="-11"/>
                <w:sz w:val="24"/>
                <w:szCs w:val="24"/>
                <w:vertAlign w:val="baseline"/>
                <w:lang w:val="en-US" w:eastAsia="zh-CN"/>
              </w:rPr>
              <w:t>项目名称</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必要性</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立法依据</w:t>
            </w:r>
          </w:p>
        </w:tc>
        <w:tc>
          <w:tcPr>
            <w:tcW w:w="25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需要解决的问题</w:t>
            </w:r>
          </w:p>
        </w:tc>
        <w:tc>
          <w:tcPr>
            <w:tcW w:w="2070" w:type="dxa"/>
            <w:tcMar>
              <w:top w:w="0" w:type="dxa"/>
              <w:left w:w="51" w:type="dxa"/>
              <w:bottom w:w="0" w:type="dxa"/>
              <w:right w:w="51"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拟规范的主要内容</w:t>
            </w:r>
          </w:p>
        </w:tc>
        <w:tc>
          <w:tcPr>
            <w:tcW w:w="1035" w:type="dxa"/>
            <w:tcMar>
              <w:top w:w="0" w:type="dxa"/>
              <w:left w:w="51" w:type="dxa"/>
              <w:bottom w:w="0" w:type="dxa"/>
              <w:right w:w="51"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pacing w:val="-17"/>
                <w:sz w:val="24"/>
                <w:szCs w:val="24"/>
                <w:vertAlign w:val="baseline"/>
                <w:lang w:val="en-US" w:eastAsia="zh-CN"/>
              </w:rPr>
              <w:t>起草单位</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责任单位</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auto"/>
                <w:spacing w:val="-17"/>
                <w:sz w:val="24"/>
                <w:szCs w:val="24"/>
                <w:vertAlign w:val="baseline"/>
                <w:lang w:val="en-US" w:eastAsia="zh-CN"/>
              </w:rPr>
            </w:pPr>
            <w:r>
              <w:rPr>
                <w:rFonts w:hint="eastAsia" w:ascii="黑体" w:hAnsi="黑体" w:eastAsia="黑体" w:cs="黑体"/>
                <w:color w:val="auto"/>
                <w:spacing w:val="-17"/>
                <w:sz w:val="24"/>
                <w:szCs w:val="24"/>
                <w:vertAlign w:val="baseline"/>
                <w:lang w:val="en-US" w:eastAsia="zh-CN"/>
              </w:rPr>
              <w:t>提交调研</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auto"/>
                <w:spacing w:val="-17"/>
                <w:sz w:val="24"/>
                <w:szCs w:val="24"/>
                <w:vertAlign w:val="baseline"/>
                <w:lang w:val="en-US" w:eastAsia="zh-CN"/>
              </w:rPr>
            </w:pPr>
            <w:r>
              <w:rPr>
                <w:rFonts w:hint="eastAsia" w:ascii="黑体" w:hAnsi="黑体" w:eastAsia="黑体" w:cs="黑体"/>
                <w:color w:val="auto"/>
                <w:spacing w:val="-17"/>
                <w:sz w:val="24"/>
                <w:szCs w:val="24"/>
                <w:vertAlign w:val="baseline"/>
                <w:lang w:val="en-US" w:eastAsia="zh-CN"/>
              </w:rPr>
              <w:t>报告及草案</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auto"/>
                <w:spacing w:val="-17"/>
                <w:sz w:val="24"/>
                <w:szCs w:val="24"/>
                <w:vertAlign w:val="baseline"/>
                <w:lang w:val="en-US" w:eastAsia="zh-CN"/>
              </w:rPr>
              <w:t>时间</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黑体" w:hAnsi="黑体" w:eastAsia="黑体" w:cs="黑体"/>
                <w:color w:val="000000"/>
                <w:sz w:val="24"/>
                <w:szCs w:val="24"/>
                <w:vertAlign w:val="baseline"/>
                <w:lang w:val="en-US" w:eastAsia="zh-CN"/>
              </w:rPr>
            </w:pPr>
            <w:r>
              <w:rPr>
                <w:rFonts w:hint="eastAsia" w:ascii="黑体" w:hAnsi="黑体" w:eastAsia="黑体" w:cs="黑体"/>
                <w:color w:val="00000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5" w:hRule="atLeast"/>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default" w:ascii="宋体" w:hAnsi="宋体" w:eastAsia="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1</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《克孜勒苏柯尔克孜自治州城市机动车停车场管理条例（草案）》</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default" w:ascii="宋体" w:hAnsi="宋体" w:eastAsia="宋体" w:cs="宋体"/>
                <w:spacing w:val="-11"/>
                <w:kern w:val="2"/>
                <w:sz w:val="24"/>
                <w:szCs w:val="24"/>
                <w:lang w:val="en-US" w:eastAsia="zh-CN" w:bidi="ar-SA"/>
              </w:rPr>
            </w:pPr>
            <w:r>
              <w:rPr>
                <w:rFonts w:hint="eastAsia" w:ascii="宋体" w:hAnsi="宋体" w:cs="宋体"/>
                <w:spacing w:val="-11"/>
                <w:kern w:val="2"/>
                <w:sz w:val="24"/>
                <w:szCs w:val="24"/>
                <w:lang w:val="en-US" w:eastAsia="zh-CN" w:bidi="ar-SA"/>
              </w:rPr>
              <w:t>加强城市机动车停车 管理，规范停车行为。</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《中华人民共和国道路交通管理条例》《中华人民共和国城市道路管理条例》</w:t>
            </w:r>
            <w:r>
              <w:rPr>
                <w:rFonts w:hint="eastAsia" w:ascii="宋体" w:hAnsi="宋体" w:eastAsia="宋体" w:cs="宋体"/>
                <w:color w:val="000000"/>
                <w:spacing w:val="-11"/>
                <w:sz w:val="24"/>
                <w:szCs w:val="24"/>
                <w:vertAlign w:val="baseline"/>
                <w:lang w:val="en-US" w:eastAsia="zh-CN"/>
              </w:rPr>
              <w:t>等法律法规</w:t>
            </w:r>
            <w:r>
              <w:rPr>
                <w:rFonts w:hint="eastAsia" w:ascii="宋体" w:hAnsi="宋体" w:cs="宋体"/>
                <w:color w:val="000000"/>
                <w:spacing w:val="-11"/>
                <w:sz w:val="24"/>
                <w:szCs w:val="24"/>
                <w:vertAlign w:val="baseline"/>
                <w:lang w:val="en-US" w:eastAsia="zh-CN"/>
              </w:rPr>
              <w:t>。</w:t>
            </w:r>
          </w:p>
        </w:tc>
        <w:tc>
          <w:tcPr>
            <w:tcW w:w="25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有效解决市民停车难、停车管理不规范问题。</w:t>
            </w:r>
          </w:p>
        </w:tc>
        <w:tc>
          <w:tcPr>
            <w:tcW w:w="20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主要规范城市停车场的建设和管理。</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自治州住房和城乡建设局</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auto"/>
                <w:spacing w:val="-17"/>
                <w:sz w:val="24"/>
                <w:szCs w:val="24"/>
                <w:lang w:eastAsia="zh-CN"/>
              </w:rPr>
            </w:pPr>
            <w:r>
              <w:rPr>
                <w:rFonts w:hint="eastAsia" w:ascii="宋体" w:hAnsi="宋体" w:eastAsia="宋体" w:cs="宋体"/>
                <w:color w:val="auto"/>
                <w:spacing w:val="-17"/>
                <w:sz w:val="24"/>
                <w:szCs w:val="24"/>
                <w:lang w:eastAsia="zh-CN"/>
              </w:rPr>
              <w:t>各县（市）人民政府、自治州</w:t>
            </w:r>
            <w:r>
              <w:rPr>
                <w:rFonts w:hint="eastAsia" w:ascii="宋体" w:hAnsi="宋体" w:cs="宋体"/>
                <w:color w:val="auto"/>
                <w:spacing w:val="-17"/>
                <w:sz w:val="24"/>
                <w:szCs w:val="24"/>
                <w:lang w:eastAsia="zh-CN"/>
              </w:rPr>
              <w:t>发展和改革委员会</w:t>
            </w:r>
            <w:r>
              <w:rPr>
                <w:rFonts w:hint="eastAsia" w:ascii="宋体" w:hAnsi="宋体" w:eastAsia="宋体" w:cs="宋体"/>
                <w:color w:val="auto"/>
                <w:spacing w:val="-17"/>
                <w:sz w:val="24"/>
                <w:szCs w:val="24"/>
                <w:lang w:eastAsia="zh-CN"/>
              </w:rPr>
              <w:t>、</w:t>
            </w:r>
            <w:r>
              <w:rPr>
                <w:rFonts w:hint="eastAsia" w:ascii="宋体" w:hAnsi="宋体" w:cs="宋体"/>
                <w:color w:val="auto"/>
                <w:spacing w:val="-17"/>
                <w:sz w:val="24"/>
                <w:szCs w:val="24"/>
                <w:lang w:eastAsia="zh-CN"/>
              </w:rPr>
              <w:t>交通运输局、公安</w:t>
            </w:r>
            <w:r>
              <w:rPr>
                <w:rFonts w:hint="eastAsia" w:ascii="宋体" w:hAnsi="宋体" w:eastAsia="宋体" w:cs="宋体"/>
                <w:color w:val="auto"/>
                <w:spacing w:val="-17"/>
                <w:sz w:val="24"/>
                <w:szCs w:val="24"/>
                <w:lang w:eastAsia="zh-CN"/>
              </w:rPr>
              <w:t>局等</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0"/>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2023年</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0"/>
                <w:sz w:val="24"/>
                <w:szCs w:val="24"/>
                <w:vertAlign w:val="baseline"/>
                <w:lang w:val="en-US" w:eastAsia="zh-CN"/>
              </w:rPr>
              <w:t>10</w:t>
            </w:r>
            <w:r>
              <w:rPr>
                <w:rFonts w:hint="eastAsia" w:ascii="宋体" w:hAnsi="宋体" w:eastAsia="宋体" w:cs="宋体"/>
                <w:color w:val="000000"/>
                <w:spacing w:val="0"/>
                <w:sz w:val="24"/>
                <w:szCs w:val="24"/>
                <w:vertAlign w:val="baseline"/>
                <w:lang w:val="en-US" w:eastAsia="zh-CN"/>
              </w:rPr>
              <w:t>月底前</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i w:val="0"/>
                <w:caps w:val="0"/>
                <w:color w:val="auto"/>
                <w:spacing w:val="-11"/>
                <w:sz w:val="24"/>
                <w:szCs w:val="24"/>
                <w:shd w:val="clear" w:fill="FFFFFF"/>
                <w:lang w:eastAsia="zh-CN"/>
              </w:rPr>
            </w:pPr>
            <w:r>
              <w:rPr>
                <w:rFonts w:hint="eastAsia" w:ascii="宋体" w:hAnsi="宋体" w:eastAsia="宋体" w:cs="宋体"/>
                <w:i w:val="0"/>
                <w:caps w:val="0"/>
                <w:color w:val="auto"/>
                <w:spacing w:val="-11"/>
                <w:sz w:val="24"/>
                <w:szCs w:val="24"/>
                <w:shd w:val="clear" w:fill="FFFFFF"/>
                <w:lang w:eastAsia="zh-CN"/>
              </w:rPr>
              <w:t>自治州司法局做好跟踪了解，加强督促和指导，同时对草案进行审查。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85" w:hRule="atLeast"/>
          <w:jc w:val="center"/>
        </w:trPr>
        <w:tc>
          <w:tcPr>
            <w:tcW w:w="54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default" w:ascii="宋体" w:hAnsi="宋体" w:eastAsia="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2</w:t>
            </w:r>
          </w:p>
        </w:tc>
        <w:tc>
          <w:tcPr>
            <w:tcW w:w="14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eastAsia="宋体" w:cs="宋体"/>
                <w:color w:val="000000"/>
                <w:spacing w:val="-11"/>
                <w:sz w:val="24"/>
                <w:szCs w:val="24"/>
                <w:vertAlign w:val="baseline"/>
                <w:lang w:val="en-US" w:eastAsia="zh-CN"/>
              </w:rPr>
              <w:t>《克孜勒苏柯尔克孜自治州餐饮服务业污染防治条例（草案）》</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spacing w:val="-11"/>
                <w:kern w:val="2"/>
                <w:sz w:val="24"/>
                <w:szCs w:val="24"/>
                <w:lang w:val="en-US" w:eastAsia="zh-CN" w:bidi="ar-SA"/>
              </w:rPr>
            </w:pPr>
            <w:r>
              <w:rPr>
                <w:rFonts w:hint="eastAsia" w:ascii="宋体" w:hAnsi="宋体" w:cs="宋体"/>
                <w:spacing w:val="-11"/>
                <w:kern w:val="2"/>
                <w:sz w:val="24"/>
                <w:szCs w:val="24"/>
                <w:lang w:val="en-US" w:eastAsia="zh-CN" w:bidi="ar-SA"/>
              </w:rPr>
              <w:t>明确油烟污染防治要求及执法依据，对进一步提升全州空气质量，优化人居环境十分必要。</w:t>
            </w:r>
          </w:p>
        </w:tc>
        <w:tc>
          <w:tcPr>
            <w:tcW w:w="176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《中华人民共和国环境保护法》《中华人民共和国大气污染防治法》</w:t>
            </w:r>
            <w:r>
              <w:rPr>
                <w:rFonts w:hint="eastAsia" w:ascii="宋体" w:hAnsi="宋体" w:eastAsia="宋体" w:cs="宋体"/>
                <w:color w:val="000000"/>
                <w:spacing w:val="-11"/>
                <w:sz w:val="24"/>
                <w:szCs w:val="24"/>
                <w:vertAlign w:val="baseline"/>
                <w:lang w:val="en-US" w:eastAsia="zh-CN"/>
              </w:rPr>
              <w:t>等法律法规</w:t>
            </w:r>
            <w:r>
              <w:rPr>
                <w:rFonts w:hint="eastAsia" w:ascii="宋体" w:hAnsi="宋体" w:cs="宋体"/>
                <w:color w:val="000000"/>
                <w:spacing w:val="-11"/>
                <w:sz w:val="24"/>
                <w:szCs w:val="24"/>
                <w:vertAlign w:val="baseline"/>
                <w:lang w:val="en-US" w:eastAsia="zh-CN"/>
              </w:rPr>
              <w:t>。</w:t>
            </w:r>
          </w:p>
        </w:tc>
        <w:tc>
          <w:tcPr>
            <w:tcW w:w="25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加强餐饮油烟治理，解决餐饮油烟污染扰民问题，促进餐饮服务业有序发展，不断提升和改善环境质量，创造良好的生活环境。</w:t>
            </w:r>
          </w:p>
        </w:tc>
        <w:tc>
          <w:tcPr>
            <w:tcW w:w="207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明确餐饮油烟污染防治部门职责，建立执法联动机制，加强餐饮油烟污染监督管理。</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11"/>
                <w:sz w:val="24"/>
                <w:szCs w:val="24"/>
                <w:vertAlign w:val="baseline"/>
                <w:lang w:val="en-US" w:eastAsia="zh-CN"/>
              </w:rPr>
              <w:t>自治州生态环境局</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auto"/>
                <w:spacing w:val="-17"/>
                <w:sz w:val="24"/>
                <w:szCs w:val="24"/>
                <w:lang w:eastAsia="zh-CN"/>
              </w:rPr>
            </w:pPr>
            <w:r>
              <w:rPr>
                <w:rFonts w:hint="eastAsia" w:ascii="宋体" w:hAnsi="宋体" w:eastAsia="宋体" w:cs="宋体"/>
                <w:color w:val="auto"/>
                <w:spacing w:val="-17"/>
                <w:sz w:val="24"/>
                <w:szCs w:val="24"/>
                <w:lang w:eastAsia="zh-CN"/>
              </w:rPr>
              <w:t>各县（市）人民政府、自治州市场监督管理局</w:t>
            </w:r>
            <w:r>
              <w:rPr>
                <w:rFonts w:hint="eastAsia" w:ascii="宋体" w:hAnsi="宋体" w:cs="宋体"/>
                <w:color w:val="auto"/>
                <w:spacing w:val="-17"/>
                <w:sz w:val="24"/>
                <w:szCs w:val="24"/>
                <w:lang w:eastAsia="zh-CN"/>
              </w:rPr>
              <w:t>、公安局</w:t>
            </w:r>
            <w:r>
              <w:rPr>
                <w:rFonts w:hint="eastAsia" w:ascii="宋体" w:hAnsi="宋体" w:eastAsia="宋体" w:cs="宋体"/>
                <w:color w:val="auto"/>
                <w:spacing w:val="-17"/>
                <w:sz w:val="24"/>
                <w:szCs w:val="24"/>
                <w:lang w:eastAsia="zh-CN"/>
              </w:rPr>
              <w:t>等</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0"/>
                <w:sz w:val="24"/>
                <w:szCs w:val="24"/>
                <w:vertAlign w:val="baseline"/>
                <w:lang w:val="en-US" w:eastAsia="zh-CN"/>
              </w:rPr>
            </w:pPr>
            <w:r>
              <w:rPr>
                <w:rFonts w:hint="eastAsia" w:ascii="宋体" w:hAnsi="宋体" w:eastAsia="宋体" w:cs="宋体"/>
                <w:color w:val="000000"/>
                <w:spacing w:val="0"/>
                <w:sz w:val="24"/>
                <w:szCs w:val="24"/>
                <w:vertAlign w:val="baseline"/>
                <w:lang w:val="en-US" w:eastAsia="zh-CN"/>
              </w:rPr>
              <w:t>2023年</w:t>
            </w:r>
          </w:p>
          <w:p>
            <w:pPr>
              <w:keepNext w:val="0"/>
              <w:keepLines w:val="0"/>
              <w:pageBreakBefore w:val="0"/>
              <w:widowControl w:val="0"/>
              <w:kinsoku/>
              <w:wordWrap/>
              <w:overflowPunct/>
              <w:topLinePunct w:val="0"/>
              <w:autoSpaceDE/>
              <w:autoSpaceDN/>
              <w:bidi w:val="0"/>
              <w:adjustRightInd/>
              <w:snapToGrid/>
              <w:spacing w:line="240" w:lineRule="atLeast"/>
              <w:ind w:left="0" w:leftChars="0"/>
              <w:jc w:val="center"/>
              <w:textAlignment w:val="auto"/>
              <w:rPr>
                <w:rFonts w:hint="eastAsia" w:ascii="宋体" w:hAnsi="宋体" w:eastAsia="宋体" w:cs="宋体"/>
                <w:color w:val="000000"/>
                <w:spacing w:val="-11"/>
                <w:sz w:val="24"/>
                <w:szCs w:val="24"/>
                <w:vertAlign w:val="baseline"/>
                <w:lang w:val="en-US" w:eastAsia="zh-CN"/>
              </w:rPr>
            </w:pPr>
            <w:r>
              <w:rPr>
                <w:rFonts w:hint="eastAsia" w:ascii="宋体" w:hAnsi="宋体" w:cs="宋体"/>
                <w:color w:val="000000"/>
                <w:spacing w:val="0"/>
                <w:sz w:val="24"/>
                <w:szCs w:val="24"/>
                <w:vertAlign w:val="baseline"/>
                <w:lang w:val="en-US" w:eastAsia="zh-CN"/>
              </w:rPr>
              <w:t>10</w:t>
            </w:r>
            <w:r>
              <w:rPr>
                <w:rFonts w:hint="eastAsia" w:ascii="宋体" w:hAnsi="宋体" w:eastAsia="宋体" w:cs="宋体"/>
                <w:color w:val="000000"/>
                <w:spacing w:val="0"/>
                <w:sz w:val="24"/>
                <w:szCs w:val="24"/>
                <w:vertAlign w:val="baseline"/>
                <w:lang w:val="en-US" w:eastAsia="zh-CN"/>
              </w:rPr>
              <w:t>月底前</w:t>
            </w:r>
          </w:p>
        </w:tc>
        <w:tc>
          <w:tcPr>
            <w:tcW w:w="1141"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jc w:val="both"/>
              <w:textAlignment w:val="auto"/>
              <w:rPr>
                <w:rFonts w:hint="eastAsia" w:ascii="宋体" w:hAnsi="宋体" w:eastAsia="宋体" w:cs="宋体"/>
                <w:i w:val="0"/>
                <w:caps w:val="0"/>
                <w:color w:val="auto"/>
                <w:spacing w:val="-11"/>
                <w:sz w:val="24"/>
                <w:szCs w:val="24"/>
                <w:shd w:val="clear" w:fill="FFFFFF"/>
                <w:lang w:eastAsia="zh-CN"/>
              </w:rPr>
            </w:pPr>
            <w:r>
              <w:rPr>
                <w:rFonts w:hint="eastAsia" w:ascii="宋体" w:hAnsi="宋体" w:eastAsia="宋体" w:cs="宋体"/>
                <w:i w:val="0"/>
                <w:caps w:val="0"/>
                <w:color w:val="auto"/>
                <w:spacing w:val="-11"/>
                <w:sz w:val="24"/>
                <w:szCs w:val="24"/>
                <w:shd w:val="clear" w:fill="FFFFFF"/>
                <w:lang w:eastAsia="zh-CN"/>
              </w:rPr>
              <w:t>自治州司法局做好跟踪了解，加强督促和指导，同时对草案进行审查。</w:t>
            </w:r>
          </w:p>
        </w:tc>
      </w:tr>
    </w:tbl>
    <w:p>
      <w:pPr>
        <w:pStyle w:val="12"/>
        <w:ind w:left="0" w:leftChars="0" w:firstLine="0" w:firstLineChars="0"/>
        <w:rPr>
          <w:rFonts w:hint="default"/>
          <w:lang w:val="en-US" w:eastAsia="zh-CN"/>
        </w:rPr>
        <w:sectPr>
          <w:footerReference r:id="rId7" w:type="default"/>
          <w:pgSz w:w="16838" w:h="11906" w:orient="landscape"/>
          <w:pgMar w:top="1134" w:right="850" w:bottom="1134" w:left="850" w:header="851" w:footer="992" w:gutter="0"/>
          <w:pgNumType w:fmt="decimal"/>
          <w:cols w:space="0" w:num="1"/>
          <w:rtlGutter w:val="0"/>
          <w:docGrid w:type="lines" w:linePitch="321" w:charSpace="0"/>
        </w:sectPr>
      </w:pPr>
    </w:p>
    <w:p>
      <w:pPr>
        <w:pStyle w:val="9"/>
        <w:keepNext w:val="0"/>
        <w:keepLines w:val="0"/>
        <w:pageBreakBefore w:val="0"/>
        <w:widowControl/>
        <w:numPr>
          <w:ilvl w:val="0"/>
          <w:numId w:val="0"/>
        </w:numPr>
        <w:pBdr>
          <w:top w:val="single" w:color="auto" w:sz="4" w:space="0"/>
          <w:left w:val="none" w:color="auto" w:sz="0" w:space="0"/>
          <w:bottom w:val="single" w:color="auto" w:sz="4" w:space="0"/>
          <w:right w:val="none" w:color="auto" w:sz="0" w:space="0"/>
        </w:pBdr>
        <w:kinsoku/>
        <w:wordWrap/>
        <w:overflowPunct/>
        <w:topLinePunct w:val="0"/>
        <w:autoSpaceDE/>
        <w:autoSpaceDN/>
        <w:bidi w:val="0"/>
        <w:adjustRightInd/>
        <w:snapToGrid/>
        <w:spacing w:line="560" w:lineRule="exact"/>
        <w:ind w:firstLine="0"/>
        <w:textAlignment w:val="auto"/>
        <w:rPr>
          <w:rFonts w:hint="eastAsia" w:ascii="仿宋_GB2312" w:hAnsi="仿宋_GB2312" w:eastAsia="仿宋_GB2312" w:cs="仿宋_GB2312"/>
          <w:color w:val="000000"/>
          <w:spacing w:val="-1"/>
          <w:kern w:val="0"/>
          <w:sz w:val="32"/>
          <w:szCs w:val="32"/>
          <w:lang w:val="en-US" w:eastAsia="zh-CN" w:bidi="ar-SA"/>
        </w:rPr>
      </w:pPr>
    </w:p>
    <w:sectPr>
      <w:footerReference r:id="rId8" w:type="default"/>
      <w:pgSz w:w="11906" w:h="16838"/>
      <w:pgMar w:top="2098" w:right="1531" w:bottom="1984" w:left="1531" w:header="851" w:footer="992" w:gutter="0"/>
      <w:pgNumType w:fmt="decimal"/>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MS Mincho">
    <w:panose1 w:val="02020609040205080304"/>
    <w:charset w:val="80"/>
    <w:family w:val="modern"/>
    <w:pitch w:val="default"/>
    <w:sig w:usb0="E00002FF" w:usb1="6AC7FDFB" w:usb2="00000012" w:usb3="00000000" w:csb0="4002009F" w:csb1="DFD7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-476250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7.5pt;height:144pt;width:144pt;mso-position-horizontal:outside;mso-position-horizontal-relative:margin;mso-wrap-style:none;z-index:251659264;mso-width-relative:page;mso-height-relative:page;" filled="f" stroked="f" coordsize="21600,21600" o:gfxdata="UEsDBAoAAAAAAIdO4kAAAAAAAAAAAAAAAAAEAAAAZHJzL1BLAwQUAAAACACHTuJA2S/1o9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S/1o9UAAAAIAQAADwAAAAAAAAAB&#10;ACAAAAAiAAAAZHJzL2Rvd25yZXYueG1sUEsBAhQAFAAAAAgAh07iQAXccrATAgAAEwQAAA4AAAAA&#10;AAAAAQAgAAAAJAEAAGRycy9lMm9Eb2MueG1sUEsFBgAAAAAGAAYAWQEAAKk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20" w:lineRule="exact"/>
      <w:ind w:right="420" w:rightChars="200"/>
      <w:jc w:val="both"/>
      <w:textAlignment w:val="auto"/>
      <w:outlineLvl w:val="9"/>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0E4EC5"/>
    <w:multiLevelType w:val="singleLevel"/>
    <w:tmpl w:val="600E4EC5"/>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43A4A"/>
    <w:rsid w:val="00F279D2"/>
    <w:rsid w:val="016F3BAE"/>
    <w:rsid w:val="023426A4"/>
    <w:rsid w:val="040C6ED1"/>
    <w:rsid w:val="04B0129D"/>
    <w:rsid w:val="0724097D"/>
    <w:rsid w:val="0C163348"/>
    <w:rsid w:val="0E7C2455"/>
    <w:rsid w:val="115C5374"/>
    <w:rsid w:val="13360DCF"/>
    <w:rsid w:val="13D603BC"/>
    <w:rsid w:val="151F623B"/>
    <w:rsid w:val="1810126D"/>
    <w:rsid w:val="1B544CBC"/>
    <w:rsid w:val="1DC43D21"/>
    <w:rsid w:val="1E7D18E1"/>
    <w:rsid w:val="201802C1"/>
    <w:rsid w:val="22664026"/>
    <w:rsid w:val="276446B9"/>
    <w:rsid w:val="278A1E8F"/>
    <w:rsid w:val="2AEC51A8"/>
    <w:rsid w:val="2D141DAB"/>
    <w:rsid w:val="2DF66F59"/>
    <w:rsid w:val="34141FC6"/>
    <w:rsid w:val="35272F87"/>
    <w:rsid w:val="35F70E0F"/>
    <w:rsid w:val="38EC3738"/>
    <w:rsid w:val="3B664623"/>
    <w:rsid w:val="3B7D8BB1"/>
    <w:rsid w:val="3C6209AF"/>
    <w:rsid w:val="3E024247"/>
    <w:rsid w:val="3E05015A"/>
    <w:rsid w:val="3FFC2CD5"/>
    <w:rsid w:val="40910EA0"/>
    <w:rsid w:val="409B0003"/>
    <w:rsid w:val="41843A4A"/>
    <w:rsid w:val="48C326D9"/>
    <w:rsid w:val="4B4A611B"/>
    <w:rsid w:val="4CAF4A55"/>
    <w:rsid w:val="4D186478"/>
    <w:rsid w:val="4DEF6ABC"/>
    <w:rsid w:val="52EC38B0"/>
    <w:rsid w:val="53E16573"/>
    <w:rsid w:val="55564036"/>
    <w:rsid w:val="5BFF8B8B"/>
    <w:rsid w:val="5C91713D"/>
    <w:rsid w:val="5CA20183"/>
    <w:rsid w:val="5DEE21F1"/>
    <w:rsid w:val="607F5E42"/>
    <w:rsid w:val="65AB4261"/>
    <w:rsid w:val="67BA123E"/>
    <w:rsid w:val="68B83A21"/>
    <w:rsid w:val="6DBD594F"/>
    <w:rsid w:val="6E1B1B76"/>
    <w:rsid w:val="6E425832"/>
    <w:rsid w:val="6FBE3827"/>
    <w:rsid w:val="710803E2"/>
    <w:rsid w:val="716B73BC"/>
    <w:rsid w:val="71AC0D58"/>
    <w:rsid w:val="736E5403"/>
    <w:rsid w:val="7414781B"/>
    <w:rsid w:val="753A2D43"/>
    <w:rsid w:val="759F2666"/>
    <w:rsid w:val="7ABFC31F"/>
    <w:rsid w:val="7BB5017C"/>
    <w:rsid w:val="7E6BB062"/>
    <w:rsid w:val="7F2C1422"/>
    <w:rsid w:val="7F5F1F8E"/>
    <w:rsid w:val="9EB86E4A"/>
    <w:rsid w:val="B6FE1475"/>
    <w:rsid w:val="CB1BEE63"/>
    <w:rsid w:val="CF7DC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4">
    <w:name w:val="index 5"/>
    <w:basedOn w:val="1"/>
    <w:next w:val="1"/>
    <w:unhideWhenUsed/>
    <w:qFormat/>
    <w:uiPriority w:val="99"/>
    <w:pPr>
      <w:ind w:left="1680"/>
    </w:pPr>
  </w:style>
  <w:style w:type="paragraph" w:styleId="5">
    <w:name w:val="Body Text"/>
    <w:basedOn w:val="1"/>
    <w:next w:val="1"/>
    <w:unhideWhenUsed/>
    <w:qFormat/>
    <w:uiPriority w:val="99"/>
    <w:pPr>
      <w:jc w:val="center"/>
    </w:pPr>
    <w:rPr>
      <w:rFonts w:eastAsia="方正小标宋简体"/>
      <w:b/>
      <w:bCs/>
      <w:sz w:val="44"/>
    </w:rPr>
  </w:style>
  <w:style w:type="paragraph" w:styleId="6">
    <w:name w:val="Body Text Indent"/>
    <w:basedOn w:val="1"/>
    <w:unhideWhenUsed/>
    <w:qFormat/>
    <w:uiPriority w:val="99"/>
    <w:pPr>
      <w:spacing w:after="120"/>
      <w:ind w:left="420" w:leftChars="200"/>
    </w:pPr>
    <w:rPr>
      <w:rFonts w:ascii="Times New Roman" w:hAnsi="Times New Roman" w:eastAsia="宋体" w:cs="Times New Roman"/>
      <w:szCs w:val="22"/>
    </w:rPr>
  </w:style>
  <w:style w:type="paragraph" w:styleId="7">
    <w:name w:val="footer"/>
    <w:basedOn w:val="1"/>
    <w:next w:val="4"/>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List Number 5"/>
    <w:basedOn w:val="1"/>
    <w:qFormat/>
    <w:uiPriority w:val="0"/>
    <w:pPr>
      <w:numPr>
        <w:ilvl w:val="0"/>
        <w:numId w:val="1"/>
      </w:numPr>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qFormat/>
    <w:uiPriority w:val="0"/>
    <w:pPr>
      <w:ind w:firstLine="420" w:firstLineChars="100"/>
    </w:pPr>
    <w:rPr>
      <w:rFonts w:eastAsia="宋体" w:cs="Times New Roman"/>
      <w:szCs w:val="24"/>
    </w:rPr>
  </w:style>
  <w:style w:type="paragraph" w:styleId="12">
    <w:name w:val="Body Text First Indent 2"/>
    <w:basedOn w:val="6"/>
    <w:next w:val="1"/>
    <w:unhideWhenUsed/>
    <w:qFormat/>
    <w:uiPriority w:val="99"/>
    <w:pPr>
      <w:ind w:firstLine="420" w:firstLineChars="200"/>
    </w:pPr>
    <w:rPr>
      <w:rFonts w:ascii="Times New Roman" w:hAnsi="Times New Roman" w:cs="Times New Roman"/>
      <w:sz w:val="32"/>
      <w:szCs w:val="24"/>
    </w:rPr>
  </w:style>
  <w:style w:type="table" w:styleId="1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TableOfAuthoring"/>
    <w:next w:val="1"/>
    <w:qFormat/>
    <w:uiPriority w:val="99"/>
    <w:pPr>
      <w:widowControl w:val="0"/>
      <w:ind w:left="420" w:leftChars="200"/>
      <w:jc w:val="both"/>
    </w:pPr>
    <w:rPr>
      <w:rFonts w:ascii="Times New Roman" w:hAnsi="Times New Roman" w:eastAsia="宋体" w:cs="Times New Roman"/>
      <w:kern w:val="2"/>
      <w:sz w:val="21"/>
      <w:szCs w:val="24"/>
      <w:lang w:val="en-US" w:eastAsia="zh-CN" w:bidi="ar-SA"/>
    </w:rPr>
  </w:style>
  <w:style w:type="character" w:customStyle="1" w:styleId="1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2023-04-01T19:35:00Z</dcterms:created>
  <dc:creator> </dc:creator>
  <cp:lastModifiedBy>Administrator</cp:lastModifiedBy>
  <cp:lastPrinted>2023-07-04T18:47:00Z</cp:lastPrinted>
  <dcterms:modified xsi:type="dcterms:W3CDTF">2023-08-28T09:43:55Z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